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A6C74" w14:textId="77777777" w:rsidR="00D02E88" w:rsidRPr="00D02E88" w:rsidRDefault="00D02E88" w:rsidP="00D02E88">
      <w:pPr>
        <w:rPr>
          <w:b/>
          <w:bCs/>
        </w:rPr>
      </w:pPr>
      <w:r w:rsidRPr="00D02E88">
        <w:rPr>
          <w:b/>
          <w:bCs/>
        </w:rPr>
        <w:t>Abstract</w:t>
      </w:r>
    </w:p>
    <w:p w14:paraId="32AF7270" w14:textId="77777777" w:rsidR="00D02E88" w:rsidRPr="00D02E88" w:rsidRDefault="00D02E88" w:rsidP="00D02E88">
      <w:r w:rsidRPr="00D02E88">
        <w:t xml:space="preserve">The Indian Financial Information System, managed by the Income Tax Department, integrates data from diverse sources to generate the Annual Information Statement (AIS) and Taxpayer Information Summary (TIS) for enhanced tax compliance. This system aggregates financial transaction data from entities such as banks, employers, stock exchanges, GST authorities, foreign exchange dealers, credit card issuers, and TDS </w:t>
      </w:r>
      <w:proofErr w:type="spellStart"/>
      <w:r w:rsidRPr="00D02E88">
        <w:t>deductors</w:t>
      </w:r>
      <w:proofErr w:type="spellEnd"/>
      <w:r w:rsidRPr="00D02E88">
        <w:t>. It supports accurate income tax return (ITR) filing and allows taxpayer feedback for data corrections. This document details the system's architecture, key components, their thresholds, mandatory reporting requirements, and penalties for non-compliance.</w:t>
      </w:r>
    </w:p>
    <w:p w14:paraId="0FC5F36E" w14:textId="77777777" w:rsidR="00D02E88" w:rsidRPr="00D02E88" w:rsidRDefault="00D02E88" w:rsidP="00D02E88">
      <w:pPr>
        <w:rPr>
          <w:b/>
          <w:bCs/>
        </w:rPr>
      </w:pPr>
      <w:r w:rsidRPr="00D02E88">
        <w:rPr>
          <w:b/>
          <w:bCs/>
        </w:rPr>
        <w:t>Introduction</w:t>
      </w:r>
    </w:p>
    <w:p w14:paraId="3818740A" w14:textId="77777777" w:rsidR="00D02E88" w:rsidRPr="00D02E88" w:rsidRDefault="00D02E88" w:rsidP="00D02E88">
      <w:r w:rsidRPr="00D02E88">
        <w:t>The Annual Information Statement (AIS), introduced under Section 285BB of the Income Tax Act, 1961, provides taxpayers with a comprehensive record of financial transactions for a financial year. It builds on Form 26AS by including data from sources like TDS/TCS, Statement of Financial Transactions (SFT), GST, foreign remittances, and more. The Taxpayer Information Summary (TIS) offers a summarized view of AIS data, focusing on key income categories after deduplication. Managed by the Directorate of Income Tax (Systems), the system promotes transparency, pre-fills ITRs, and deters tax evasion through mandatory reporting and robust data integration. This document outlines the architecture, components, thresholds, mandatory requirements, and penalties for non-compliance.</w:t>
      </w:r>
    </w:p>
    <w:p w14:paraId="1D287C80" w14:textId="77777777" w:rsidR="00D02E88" w:rsidRPr="00D02E88" w:rsidRDefault="00D02E88" w:rsidP="00D02E88">
      <w:pPr>
        <w:rPr>
          <w:b/>
          <w:bCs/>
        </w:rPr>
      </w:pPr>
      <w:r w:rsidRPr="00D02E88">
        <w:rPr>
          <w:b/>
          <w:bCs/>
        </w:rPr>
        <w:t>System Architecture Overview</w:t>
      </w:r>
    </w:p>
    <w:p w14:paraId="353CFE50" w14:textId="77777777" w:rsidR="00D02E88" w:rsidRPr="00D02E88" w:rsidRDefault="00D02E88" w:rsidP="00D02E88">
      <w:r w:rsidRPr="00D02E88">
        <w:t xml:space="preserve">The system's architecture is centralized, handling data ingestion, processing, aggregation, and user interaction. Data is collected from reporting entities under provisions like Section 285BA (SFT), Sections 203AA (TDS/TCS), and </w:t>
      </w:r>
      <w:proofErr w:type="spellStart"/>
      <w:r w:rsidRPr="00D02E88">
        <w:t>MoUs</w:t>
      </w:r>
      <w:proofErr w:type="spellEnd"/>
      <w:r w:rsidRPr="00D02E88">
        <w:t xml:space="preserve"> (e.g., GST Network). The system validates, deduplicates, and integrates data using PAN as the primary identifier, generating AIS (detailed) and TIS (summarized). Taxpayers access these via the e-filing portal, with a feedback mechanism for corrections.</w:t>
      </w:r>
    </w:p>
    <w:p w14:paraId="7FF5054C" w14:textId="77777777" w:rsidR="00D02E88" w:rsidRPr="00D02E88" w:rsidRDefault="00D02E88" w:rsidP="00D02E88">
      <w:pPr>
        <w:rPr>
          <w:b/>
          <w:bCs/>
        </w:rPr>
      </w:pPr>
      <w:r w:rsidRPr="00D02E88">
        <w:rPr>
          <w:b/>
          <w:bCs/>
        </w:rPr>
        <w:t>Data Collection and Ingestion</w:t>
      </w:r>
    </w:p>
    <w:p w14:paraId="75D92453" w14:textId="77777777" w:rsidR="00D02E88" w:rsidRPr="00D02E88" w:rsidRDefault="00D02E88" w:rsidP="00D02E88">
      <w:r w:rsidRPr="00D02E88">
        <w:t xml:space="preserve">Reporting entities, such as banks, employers, and registrars, submit data in prescribed forms (e.g., Form 24Q for salary TDS, Form 61B for SFT). Sources include GST turnover, </w:t>
      </w:r>
      <w:r w:rsidRPr="00D02E88">
        <w:lastRenderedPageBreak/>
        <w:t>stock exchange transactions, customs data (via GST/SFT), forex dealings, credit card spending, and TDS from employers/contractors.</w:t>
      </w:r>
    </w:p>
    <w:p w14:paraId="26537DC3" w14:textId="77777777" w:rsidR="00D02E88" w:rsidRPr="00D02E88" w:rsidRDefault="00D02E88" w:rsidP="00D02E88">
      <w:pPr>
        <w:rPr>
          <w:b/>
          <w:bCs/>
        </w:rPr>
      </w:pPr>
      <w:r w:rsidRPr="00D02E88">
        <w:rPr>
          <w:b/>
          <w:bCs/>
        </w:rPr>
        <w:t>Processing and Integration</w:t>
      </w:r>
    </w:p>
    <w:p w14:paraId="6C0C742F" w14:textId="77777777" w:rsidR="00D02E88" w:rsidRPr="00D02E88" w:rsidRDefault="00D02E88" w:rsidP="00D02E88">
      <w:r w:rsidRPr="00D02E88">
        <w:t>The Directorate of Income Tax (Systems) validates and deduplicates data, integrating it into a unified database. PAN or Aadhaar links transactions where available. Data is processed periodically, with uploads to Form 26AS within three months for certain categories.</w:t>
      </w:r>
    </w:p>
    <w:p w14:paraId="34D220D1" w14:textId="77777777" w:rsidR="00D02E88" w:rsidRPr="00D02E88" w:rsidRDefault="00D02E88" w:rsidP="00D02E88">
      <w:pPr>
        <w:rPr>
          <w:b/>
          <w:bCs/>
        </w:rPr>
      </w:pPr>
      <w:r w:rsidRPr="00D02E88">
        <w:rPr>
          <w:b/>
          <w:bCs/>
        </w:rPr>
        <w:t>Generation of AIS and TIS</w:t>
      </w:r>
    </w:p>
    <w:p w14:paraId="7C41C192" w14:textId="77777777" w:rsidR="00D02E88" w:rsidRPr="00D02E88" w:rsidRDefault="00D02E88" w:rsidP="00D02E88">
      <w:r w:rsidRPr="00D02E88">
        <w:t>AIS comprises Part A (taxpayer details) and Part B (57 transaction categories), while TIS aggregates data per income type. Both are accessible via the e-filing portal or offline utility in PDF, JSON, or CSV formats.</w:t>
      </w:r>
    </w:p>
    <w:p w14:paraId="01AC0178" w14:textId="77777777" w:rsidR="00D02E88" w:rsidRPr="00D02E88" w:rsidRDefault="00D02E88" w:rsidP="00D02E88">
      <w:pPr>
        <w:rPr>
          <w:b/>
          <w:bCs/>
        </w:rPr>
      </w:pPr>
      <w:r w:rsidRPr="00D02E88">
        <w:rPr>
          <w:b/>
          <w:bCs/>
        </w:rPr>
        <w:t>User Interface and Feedback Mechanism</w:t>
      </w:r>
    </w:p>
    <w:p w14:paraId="3EC0FCC9" w14:textId="77777777" w:rsidR="00D02E88" w:rsidRPr="00D02E88" w:rsidRDefault="00D02E88" w:rsidP="00D02E88">
      <w:r w:rsidRPr="00D02E88">
        <w:t>The e-filing portal enables secure access to AIS/TIS. Taxpayers can submit feedback on inaccuracies, triggering source verification and updates to ensure ITR accuracy.</w:t>
      </w:r>
    </w:p>
    <w:p w14:paraId="0CAE7A99" w14:textId="77777777" w:rsidR="00D02E88" w:rsidRPr="00D02E88" w:rsidRDefault="00D02E88" w:rsidP="00D02E88">
      <w:pPr>
        <w:rPr>
          <w:b/>
          <w:bCs/>
        </w:rPr>
      </w:pPr>
      <w:r w:rsidRPr="00D02E88">
        <w:rPr>
          <w:b/>
          <w:bCs/>
        </w:rPr>
        <w:t>Key Components, Thresholds, and Compliance Requirements</w:t>
      </w:r>
    </w:p>
    <w:p w14:paraId="1CA20651" w14:textId="77777777" w:rsidR="00D02E88" w:rsidRPr="00D02E88" w:rsidRDefault="00D02E88" w:rsidP="00D02E88">
      <w:r w:rsidRPr="00D02E88">
        <w:t>The table below details the system's key components, their roles, reporting thresholds, mandatory status, and penalties for non-compliance. It covers all sources contributing to AIS/TIS, including ITR linkages, GST, stock exchanges, customs, forex, credit card spending, and TDS.</w:t>
      </w:r>
    </w:p>
    <w:p w14:paraId="0ED916E3" w14:textId="77777777" w:rsidR="00D02E88" w:rsidRPr="00D02E88" w:rsidRDefault="00D02E88" w:rsidP="00D02E88">
      <w:r w:rsidRPr="00D02E88">
        <w:t>Indian_Financial_System_Components.md</w:t>
      </w:r>
    </w:p>
    <w:p w14:paraId="394FC48D" w14:textId="77777777" w:rsidR="00D02E88" w:rsidRPr="00D02E88" w:rsidRDefault="00D02E88" w:rsidP="00D02E88">
      <w:r w:rsidRPr="00D02E88">
        <w:t>markdown</w:t>
      </w:r>
    </w:p>
    <w:p w14:paraId="44343701" w14:textId="77777777" w:rsidR="00D02E88" w:rsidRPr="00D02E88" w:rsidRDefault="00D02E88" w:rsidP="00D02E88">
      <w:r w:rsidRPr="00D02E88">
        <w:t>•</w:t>
      </w:r>
    </w:p>
    <w:p w14:paraId="222EFCC7" w14:textId="77777777" w:rsidR="00D02E88" w:rsidRPr="00D02E88" w:rsidRDefault="00D02E88" w:rsidP="00D02E88">
      <w:pPr>
        <w:rPr>
          <w:b/>
          <w:bCs/>
        </w:rPr>
      </w:pPr>
      <w:r w:rsidRPr="00D02E88">
        <w:rPr>
          <w:b/>
          <w:bCs/>
        </w:rPr>
        <w:t>Conclusion</w:t>
      </w:r>
    </w:p>
    <w:p w14:paraId="7FA428D8" w14:textId="77777777" w:rsidR="00D02E88" w:rsidRPr="00D02E88" w:rsidRDefault="00D02E88" w:rsidP="00D02E88">
      <w:r w:rsidRPr="00D02E88">
        <w:t>The Indian Financial Information System, underpinning AIS and TIS, integrates diverse data sources to enhance tax compliance and transparency. By setting clear thresholds and mandating reporting from entities like employers, banks, GST authorities, and forex dealers, it ensures comprehensive data capture. Penalties for non-compliance, ranging from daily fines to prosecution, enforce accountability. The system's feedback mechanism and centralized processing further improve data accuracy, supporting seamless ITR pre-filling. As the system evolves, stricter enforcement and real-time integrations may further strengthen its role in India's tax ecosystem.</w:t>
      </w:r>
    </w:p>
    <w:p w14:paraId="75CC84C4" w14:textId="77777777" w:rsidR="00D02E88" w:rsidRDefault="00D02E88"/>
    <w:sectPr w:rsidR="00D02E88" w:rsidSect="0079455F">
      <w:headerReference w:type="default" r:id="rId6"/>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BABA4" w14:textId="77777777" w:rsidR="00D45D79" w:rsidRDefault="00D45D79" w:rsidP="004432B0">
      <w:pPr>
        <w:spacing w:after="0" w:line="240" w:lineRule="auto"/>
      </w:pPr>
      <w:r>
        <w:separator/>
      </w:r>
    </w:p>
  </w:endnote>
  <w:endnote w:type="continuationSeparator" w:id="0">
    <w:p w14:paraId="59C9D594" w14:textId="77777777" w:rsidR="00D45D79" w:rsidRDefault="00D45D79" w:rsidP="00443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4191"/>
      <w:docPartObj>
        <w:docPartGallery w:val="Page Numbers (Bottom of Page)"/>
        <w:docPartUnique/>
      </w:docPartObj>
    </w:sdtPr>
    <w:sdtContent>
      <w:sdt>
        <w:sdtPr>
          <w:id w:val="1728636285"/>
          <w:docPartObj>
            <w:docPartGallery w:val="Page Numbers (Top of Page)"/>
            <w:docPartUnique/>
          </w:docPartObj>
        </w:sdtPr>
        <w:sdtContent>
          <w:p w14:paraId="746F5A0F" w14:textId="7A4E00F6" w:rsidR="0079455F" w:rsidRDefault="0079455F">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4B15D97F" w14:textId="77777777" w:rsidR="004432B0" w:rsidRDefault="004432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82FE8" w14:textId="77777777" w:rsidR="00D45D79" w:rsidRDefault="00D45D79" w:rsidP="004432B0">
      <w:pPr>
        <w:spacing w:after="0" w:line="240" w:lineRule="auto"/>
      </w:pPr>
      <w:r>
        <w:separator/>
      </w:r>
    </w:p>
  </w:footnote>
  <w:footnote w:type="continuationSeparator" w:id="0">
    <w:p w14:paraId="0B744263" w14:textId="77777777" w:rsidR="00D45D79" w:rsidRDefault="00D45D79" w:rsidP="004432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19B90" w14:textId="77777777" w:rsidR="004432B0" w:rsidRPr="00D02E88" w:rsidRDefault="004432B0" w:rsidP="004432B0">
    <w:pPr>
      <w:pStyle w:val="Title"/>
    </w:pPr>
    <w:r w:rsidRPr="00D02E88">
      <w:t>The Architecture of the Indian Financial Information System for AIS and TIS Generation</w:t>
    </w:r>
  </w:p>
  <w:p w14:paraId="736D5C12" w14:textId="77777777" w:rsidR="004432B0" w:rsidRDefault="004432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E88"/>
    <w:rsid w:val="00311FD3"/>
    <w:rsid w:val="004432B0"/>
    <w:rsid w:val="0079455F"/>
    <w:rsid w:val="007E02F5"/>
    <w:rsid w:val="00D02E88"/>
    <w:rsid w:val="00D45D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6EE30"/>
  <w15:chartTrackingRefBased/>
  <w15:docId w15:val="{E69FFF6C-B16C-4726-9CB6-56901BECA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E8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02E8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02E8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02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E8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02E8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02E8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02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E88"/>
    <w:rPr>
      <w:rFonts w:eastAsiaTheme="majorEastAsia" w:cstheme="majorBidi"/>
      <w:color w:val="272727" w:themeColor="text1" w:themeTint="D8"/>
    </w:rPr>
  </w:style>
  <w:style w:type="paragraph" w:styleId="Title">
    <w:name w:val="Title"/>
    <w:basedOn w:val="Normal"/>
    <w:next w:val="Normal"/>
    <w:link w:val="TitleChar"/>
    <w:uiPriority w:val="10"/>
    <w:qFormat/>
    <w:rsid w:val="00D02E8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02E8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02E8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02E8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02E88"/>
    <w:pPr>
      <w:spacing w:before="160"/>
      <w:jc w:val="center"/>
    </w:pPr>
    <w:rPr>
      <w:i/>
      <w:iCs/>
      <w:color w:val="404040" w:themeColor="text1" w:themeTint="BF"/>
    </w:rPr>
  </w:style>
  <w:style w:type="character" w:customStyle="1" w:styleId="QuoteChar">
    <w:name w:val="Quote Char"/>
    <w:basedOn w:val="DefaultParagraphFont"/>
    <w:link w:val="Quote"/>
    <w:uiPriority w:val="29"/>
    <w:rsid w:val="00D02E88"/>
    <w:rPr>
      <w:i/>
      <w:iCs/>
      <w:color w:val="404040" w:themeColor="text1" w:themeTint="BF"/>
    </w:rPr>
  </w:style>
  <w:style w:type="paragraph" w:styleId="ListParagraph">
    <w:name w:val="List Paragraph"/>
    <w:basedOn w:val="Normal"/>
    <w:uiPriority w:val="34"/>
    <w:qFormat/>
    <w:rsid w:val="00D02E88"/>
    <w:pPr>
      <w:ind w:left="720"/>
      <w:contextualSpacing/>
    </w:pPr>
  </w:style>
  <w:style w:type="character" w:styleId="IntenseEmphasis">
    <w:name w:val="Intense Emphasis"/>
    <w:basedOn w:val="DefaultParagraphFont"/>
    <w:uiPriority w:val="21"/>
    <w:qFormat/>
    <w:rsid w:val="00D02E88"/>
    <w:rPr>
      <w:i/>
      <w:iCs/>
      <w:color w:val="0F4761" w:themeColor="accent1" w:themeShade="BF"/>
    </w:rPr>
  </w:style>
  <w:style w:type="paragraph" w:styleId="IntenseQuote">
    <w:name w:val="Intense Quote"/>
    <w:basedOn w:val="Normal"/>
    <w:next w:val="Normal"/>
    <w:link w:val="IntenseQuoteChar"/>
    <w:uiPriority w:val="30"/>
    <w:qFormat/>
    <w:rsid w:val="00D02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E88"/>
    <w:rPr>
      <w:i/>
      <w:iCs/>
      <w:color w:val="0F4761" w:themeColor="accent1" w:themeShade="BF"/>
    </w:rPr>
  </w:style>
  <w:style w:type="character" w:styleId="IntenseReference">
    <w:name w:val="Intense Reference"/>
    <w:basedOn w:val="DefaultParagraphFont"/>
    <w:uiPriority w:val="32"/>
    <w:qFormat/>
    <w:rsid w:val="00D02E88"/>
    <w:rPr>
      <w:b/>
      <w:bCs/>
      <w:smallCaps/>
      <w:color w:val="0F4761" w:themeColor="accent1" w:themeShade="BF"/>
      <w:spacing w:val="5"/>
    </w:rPr>
  </w:style>
  <w:style w:type="paragraph" w:styleId="Header">
    <w:name w:val="header"/>
    <w:basedOn w:val="Normal"/>
    <w:link w:val="HeaderChar"/>
    <w:uiPriority w:val="99"/>
    <w:unhideWhenUsed/>
    <w:rsid w:val="004432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32B0"/>
  </w:style>
  <w:style w:type="paragraph" w:styleId="Footer">
    <w:name w:val="footer"/>
    <w:basedOn w:val="Normal"/>
    <w:link w:val="FooterChar"/>
    <w:uiPriority w:val="99"/>
    <w:unhideWhenUsed/>
    <w:rsid w:val="004432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3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4</cp:revision>
  <cp:lastPrinted>2025-09-18T08:57:00Z</cp:lastPrinted>
  <dcterms:created xsi:type="dcterms:W3CDTF">2025-09-11T19:36:00Z</dcterms:created>
  <dcterms:modified xsi:type="dcterms:W3CDTF">2025-09-18T08:57:00Z</dcterms:modified>
</cp:coreProperties>
</file>