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40"/>
        <w:jc w:val="center"/>
      </w:pPr>
      <w:r>
        <w:rPr>
          <w:rFonts w:ascii="Noto Sans CJK SC" w:hAnsi="Noto Sans CJK SC" w:eastAsia="Noto Sans CJK SC"/>
          <w:b/>
          <w:sz w:val="40"/>
        </w:rPr>
        <w:t>用户配置主功能式样书</w:t>
      </w:r>
    </w:p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User Profile Main Function Spec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Document No.: 1001    Revision: Rev1.0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Project Scope: 24MM / Simulation</w:t>
      </w:r>
    </w:p>
    <w:p>
      <w:pPr>
        <w:jc w:val="center"/>
      </w:pPr>
      <w:r>
        <w:rPr>
          <w:rFonts w:ascii="Noto Sans CJK SC" w:hAnsi="Noto Sans CJK SC" w:eastAsia="Noto Sans CJK SC"/>
          <w:b/>
          <w:sz w:val="18"/>
        </w:rPr>
        <w:t>CONFIDENTIALITY: TEST DATA - NOT A REAL PRODUCT SPECIFICATION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Revision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Date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Description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Author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Rev0.9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2026-08-20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Initial simulation draft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 Team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Rev1.0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2026-09-07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Added cross-document reference test cases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 Team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1 Purpose and Scope / 目的与范围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本式样书规定 Head Unit 与 Center 之间用户配置功能的主流程、状态管理、错误恢复以及与通信接口式样书之间的责任边界。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This specification defines ownership and functional behavior for user-profile registration, synchronization, and local recovery. It intentionally contains deterministic cross-specification references for SQL-first extraction tests.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Scope: profile create/update/delete and synchronization state.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Out of scope: cryptographic algorithm design and radio transport implementation.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Reference extraction shall be completed before embedding/Qdrant processing.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1.1 Test Constraints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numeric value 2007 ms in this paragraph is a timeout value only. It is not a document reference and must not create a relation to specification 2007.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内部章节引用示例：状态迁移规则参照本书第5.1节。该句不得被识别为外部式样书引用。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2 Applicable Documents / 适用文书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following documents are normative or informative inputs to this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Document No.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Document Title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Revision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Usage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2007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 Profile Communication Interface Spec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Rev2.1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Normative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ISO 8601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 and time representation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 standard - informative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JIS Z 8301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Rules for drafting standards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External standard - informative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中心通信时序应依据 Specification ２００７ 第4.2节。这里故意使用全角数字“２００７”，系统应归一化为 2007 并解析到已登记的式样书。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错误恢复的接口参数定义参照《User Profile Communication Interface Spec》。该标题与目标式样书的 canonical name 完全一致。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安全扩展预留行为参照 Specification 3999 for details. 3999 不包含在本次两本测试式样书中，因此应保持 UNRESOLVED。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3 Terminology /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Term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Definition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Head Unit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Center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 service responsible for account synchronization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logical user-profile record stored by HU and Center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Owner Spec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The specification that owns a requirement or state machine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4 Functional Requirements / 功能要求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4.1 Profile Registration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REQ-PROFILE-1001. The HU shall create a local pending record before initiating remote registration.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Function Name: ProfileRegistration. The function shall expose registration state to the local UI layer.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Signal Name: UserProfileState; Direction: Tx. The signal shall be transmitted after each committed state transition.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4.2 Synchronization Trigger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REQ-PROFILE-1002. When network connectivity is available, the HU shall request synchronization through the communication contract defined in Specification 2007.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Protocol: SOMEIP. The exact service/interface definition is owned by the referenced communication specification.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retry interval shall be 2007 ms for the first backoff test profile. This is a numeric parameter, not a specification reference because no reference cue is present in the immediate semantic context.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4.3 Delete Profile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REQ-PROFILE-1003. Delete requests shall be idempotent. A repeated delete for an already removed profile shall return success with an informational reason code.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5 State Model / 状态模型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5.1 Main State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Current State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Event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Next State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Action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EMPTY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PENDING_CREATE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Persist local record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PENDING_CREATE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Center ACK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Publish UserProfileState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PENDING_UPDATE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 delta through interface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PENDING_DELETE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 new operations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PENDING_DELETE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Center ACK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EMPTY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Remove local record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接口重试与 ACK/timeout 的 wire-level definition 应参照 Specification 2007；本章节只定义业务状态。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6 Error Handling / 异常处理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If the Center is unreachable, the HU shall preserve the last committed profile and set a retry-required flag.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Interface Name: UserProfileSync; client uses interface. Invocation parameters and error payloads are defined by the communication interface specification.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REQ-PROFILE-1004. A transport failure shall not delete local profile data.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7 Verification Items / 验证项目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Test ID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Input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Expected Result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T-REF-01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Import 1001 before 2007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2007 reference initially UNRESOLVED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T-REF-02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Then import 2007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1001 -&gt; 2007 becomes CONFIRMED by exact reconciliation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T-REF-03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Search evidence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 maps exactly to contents.id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T-REF-04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Inspect ISO/JIS rows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 spec graph edge is created for external standards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T-REF-05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Inspect 3999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Reference remains UNRESOLVED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8 Acceptance Criteria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document passes this simulation when cross-specification references are extracted deterministically from PostgreSQL-backed registry data, evidence remains traceable to the source chunk, and no Qdrant lookup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5"/>
      </w:rPr>
      <w:t>For Document Intelligence Console reference-extraction testing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5"/>
      </w:rPr>
      <w:t>1001 | Rev1.0 | SIMULATION TEST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