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VISTA — Software Requirements Specification</w:t>
      </w:r>
    </w:p>
    <w:p>
      <w:pPr>
        <w:pStyle w:val="Heading1"/>
      </w:pPr>
      <w:r>
        <w:t xml:space="preserve">Problem and practical application</w:t>
      </w:r>
    </w:p>
    <w:p>
      <w:r>
        <w:t xml:space="preserve">VISTA supports operators arranging light objects on a table: pick a cube or pen and place it completely in a box. The verified proof-of-concept is safe bimanual teleoperation, dataset collection, simulation/sim-data, SmolVLA fine-tuning and safety-gated inference.</w:t>
      </w:r>
    </w:p>
    <w:p>
      <w:pPr>
        <w:pStyle w:val="Heading1"/>
      </w:pPr>
      <w:r>
        <w:t xml:space="preserve">Scope</w:t>
      </w:r>
    </w:p>
    <w:p>
      <w:r>
        <w:t xml:space="preserve">Local-first control host owns USB serial to two SO-101 followers. Web, phone and VR are operator surfaces. Observation uses two wrist and two overview head cameras. Internet control, RBAC, ACT and Diffusion Policy are out of scope.</w:t>
      </w:r>
    </w:p>
    <w:p>
      <w:pPr>
        <w:pStyle w:val="Heading1"/>
      </w:pPr>
      <w:r>
        <w:t xml:space="preserve">Acceptance</w:t>
      </w:r>
    </w:p>
    <w:p>
      <w:r>
        <w:t xml:space="preserve">Dataset: 150 real episodes, split 105/15/30. Timeout over one second causes Hold. E-stop locks motion; recovery requires reconnect, recenter and preflight. SmolVLA must pass at least 7 of 10 cube trials and 7 of 10 pen trials without safety violation.</w:t>
      </w:r>
    </w:p>
    <w:p>
      <w:pPr>
        <w:pStyle w:val="Heading1"/>
      </w:pPr>
      <w:r>
        <w:t xml:space="preserve">Traceability</w:t>
      </w:r>
    </w:p>
    <w:p>
      <w:r>
        <w:t xml:space="preserve">See docs/requirements/01-registration-extract.md through 12-traceability-matrix.md. Existing evidence: VR teleop video 7307978483558391289.mp4 and dual-follower video 8689445351821956196.mp4.</w:t>
      </w:r>
    </w:p>
    <w:p>
      <w:pPr>
        <w:pStyle w:val="Heading1"/>
      </w:pPr>
      <w:r>
        <w:t xml:space="preserve">Approval and open items</w:t>
      </w:r>
    </w:p>
    <w:p>
      <w:r>
        <w:t xml:space="preserve">GVHD must approve scope changes in registration v1.1. Dataset manifest, simulation run, model evaluation and timeout/E-stop evidence remain required before final acceptance.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2026-09-19T16:02:33.511Z</dcterms:created>
  <dcterms:modified xsi:type="dcterms:W3CDTF">2026-09-19T16:02:33.511Z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