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0"/>
      </w:pPr>
      <w:r>
        <w:rPr>
          <w:rFonts w:ascii="Calibri" w:cs="Calibri" w:eastAsia="Calibri" w:hAnsi="Calibri"/>
          <w:b/>
          <w:bCs/>
          <w:color w:val="C9652A"/>
          <w:spacing w:val="40"/>
          <w:sz w:val="16"/>
          <w:szCs w:val="16"/>
        </w:rPr>
        <w:t>SEP490 · CAPSTONE PROJECT · REVIEW 2 · BM02</w:t>
      </w:r>
    </w:p>
    <w:p>
      <w:pPr>
        <w:pStyle w:val="Heading1"/>
        <w:spacing w:after="40" w:before="40"/>
      </w:pPr>
      <w:r>
        <w:rPr>
          <w:rFonts w:ascii="Calibri" w:cs="Calibri" w:eastAsia="Calibri" w:hAnsi="Calibri"/>
          <w:b/>
          <w:bCs/>
          <w:color w:val="14233A"/>
          <w:sz w:val="32"/>
          <w:szCs w:val="32"/>
        </w:rPr>
        <w:t xml:space="preserve">SRS/SDD Self-Review Report – Review 2</w:t>
      </w:r>
    </w:p>
    <w:p>
      <w:pPr>
        <w:spacing w:after="40" w:before="40"/>
      </w:pPr>
      <w:r>
        <w:rPr>
          <w:rFonts w:ascii="Calibri" w:cs="Calibri" w:eastAsia="Calibri" w:hAnsi="Calibri"/>
          <w:i/>
          <w:iCs/>
          <w:color w:val="666666"/>
          <w:sz w:val="19"/>
          <w:szCs w:val="19"/>
        </w:rPr>
        <w:t xml:space="preserve">Form BM02. Run the standard prompt on the proposed final registration form and the repository at tag review-2. Keep every finding exactly as produced by the AI; add only the Team response column. Export to PDF. File name: SWP490_&lt;ProjectCode&gt;_R2_SelfReview.pdf</w:t>
      </w:r>
    </w:p>
    <w:p>
      <w:pPr>
        <w:pStyle w:val="Heading2"/>
        <w:spacing w:after="40" w:before="40"/>
      </w:pPr>
      <w:r>
        <w:rPr>
          <w:rFonts w:ascii="Calibri" w:cs="Calibri" w:eastAsia="Calibri" w:hAnsi="Calibri"/>
          <w:b/>
          <w:bCs/>
          <w:color w:val="14233A"/>
          <w:sz w:val="24"/>
          <w:szCs w:val="24"/>
        </w:rPr>
        <w:t xml:space="preserve">1. Run Information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Project code</w:t>
            </w:r>
          </w:p>
        </w:tc>
        <w:tc>
          <w:tcPr>
            <w:tcW w:type="dxa" w:w="683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>FA26SE183</w:t>
            </w:r>
          </w:p>
        </w:tc>
      </w:tr>
      <w:tr>
        <w:tc>
          <w:tcPr>
            <w:tcW w:type="dxa" w:w="28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Project name</w:t>
            </w:r>
          </w:p>
        </w:tc>
        <w:tc>
          <w:tcPr>
            <w:tcW w:type="dxa" w:w="683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>VISTA — Robotics &amp; AI Education Platform</w:t>
            </w:r>
          </w:p>
        </w:tc>
      </w:tr>
      <w:tr>
        <w:tc>
          <w:tcPr>
            <w:tcW w:type="dxa" w:w="28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Team</w:t>
            </w:r>
          </w:p>
        </w:tc>
        <w:tc>
          <w:tcPr>
            <w:tcW w:type="dxa" w:w="683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>GFA26SE94</w:t>
            </w:r>
          </w:p>
        </w:tc>
      </w:tr>
      <w:tr>
        <w:tc>
          <w:tcPr>
            <w:tcW w:type="dxa" w:w="28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Supervisor</w:t>
            </w:r>
          </w:p>
        </w:tc>
        <w:tc>
          <w:tcPr>
            <w:tcW w:type="dxa" w:w="683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>Lâm Hữu Khánh Phương (phuonglhk@fpt.edu.vn)</w:t>
            </w:r>
          </w:p>
        </w:tc>
      </w:tr>
      <w:tr>
        <w:tc>
          <w:tcPr>
            <w:tcW w:type="dxa" w:w="28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AI tool and model</w:t>
            </w:r>
          </w:p>
        </w:tc>
        <w:tc>
          <w:tcPr>
            <w:tcW w:type="dxa" w:w="683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>Claude 3.5 Sonnet / Antigravity Agent</w:t>
            </w:r>
          </w:p>
        </w:tc>
      </w:tr>
      <w:tr>
        <w:tc>
          <w:tcPr>
            <w:tcW w:type="dxa" w:w="28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Run date</w:t>
            </w:r>
          </w:p>
        </w:tc>
        <w:tc>
          <w:tcPr>
            <w:tcW w:type="dxa" w:w="683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>27/10/2026</w:t>
            </w:r>
          </w:p>
        </w:tc>
      </w:tr>
      <w:tr>
        <w:tc>
          <w:tcPr>
            <w:tcW w:type="dxa" w:w="28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Repository tag / commit</w:t>
            </w:r>
          </w:p>
        </w:tc>
        <w:tc>
          <w:tcPr>
            <w:tcW w:type="dxa" w:w="683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>Tag review-2 (commit 4626e37)</w:t>
            </w:r>
          </w:p>
        </w:tc>
      </w:tr>
      <w:tr>
        <w:tc>
          <w:tcPr>
            <w:tcW w:type="dxa" w:w="28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Registration form version used</w:t>
            </w:r>
          </w:p>
        </w:tc>
        <w:tc>
          <w:tcPr>
            <w:tcW w:type="dxa" w:w="683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>Registration v1.2 PROPOSED</w:t>
            </w:r>
          </w:p>
        </w:tc>
      </w:tr>
      <w:tr>
        <w:tc>
          <w:tcPr>
            <w:tcW w:type="dxa" w:w="28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683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>v1.0 (Review 2 Official Submission)</w:t>
            </w:r>
          </w:p>
        </w:tc>
      </w:tr>
      <w:tr>
        <w:tc>
          <w:tcPr>
            <w:tcW w:type="dxa" w:w="28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Date</w:t>
            </w:r>
          </w:p>
        </w:tc>
        <w:tc>
          <w:tcPr>
            <w:tcW w:type="dxa" w:w="683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>27/10/2026</w:t>
            </w:r>
          </w:p>
        </w:tc>
      </w:tr>
    </w:tbl>
    <w:p>
      <w:pPr>
        <w:pStyle w:val="Heading2"/>
        <w:spacing w:after="40" w:before="40"/>
      </w:pPr>
      <w:r>
        <w:rPr>
          <w:rFonts w:ascii="Calibri" w:cs="Calibri" w:eastAsia="Calibri" w:hAnsi="Calibri"/>
          <w:b/>
          <w:bCs/>
          <w:color w:val="14233A"/>
          <w:sz w:val="24"/>
          <w:szCs w:val="24"/>
        </w:rPr>
        <w:t xml:space="preserve">2. Standard Prompt</w:t>
      </w:r>
    </w:p>
    <w:p>
      <w:pPr>
        <w:spacing w:after="40" w:before="40"/>
      </w:pPr>
      <w:r>
        <w:rPr>
          <w:rFonts w:ascii="Calibri" w:cs="Calibri" w:eastAsia="Calibri" w:hAnsi="Calibri"/>
          <w:i/>
          <w:iCs/>
          <w:color w:val="666666"/>
          <w:sz w:val="19"/>
          <w:szCs w:val="19"/>
        </w:rPr>
        <w:t xml:space="preserve">Use this prompt without modification.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20" w:after="20" w:line="252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You are reviewing the SRS and SDD of a software capstone project against its</w:t>
            </w:r>
          </w:p>
          <w:p>
            <w:pPr>
              <w:spacing w:before="20" w:after="20" w:line="252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registration form and source code. Report only; do not change any file.</w:t>
            </w:r>
          </w:p>
          <w:p>
            <w:pPr>
              <w:spacing w:before="20" w:after="20" w:line="252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/>
            </w:r>
          </w:p>
          <w:p>
            <w:pPr>
              <w:spacing w:before="20" w:after="20" w:line="252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Inputs: the registration form, SRS, SDD (with diagrams), source code and</w:t>
            </w:r>
          </w:p>
          <w:p>
            <w:pPr>
              <w:spacing w:before="20" w:after="20" w:line="252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database script in this repository.</w:t>
            </w:r>
          </w:p>
          <w:p>
            <w:pPr>
              <w:spacing w:before="20" w:after="20" w:line="252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/>
            </w:r>
          </w:p>
          <w:p>
            <w:pPr>
              <w:spacing w:before="20" w:after="20" w:line="252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Check:</w:t>
            </w:r>
          </w:p>
          <w:p>
            <w:pPr>
              <w:spacing w:before="20" w:after="20" w:line="252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1. Scope: FRs in the SRS not covered by the registration form, and</w:t>
            </w:r>
          </w:p>
          <w:p>
            <w:pPr>
              <w:spacing w:before="20" w:after="20" w:line="252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registration items with no FR.</w:t>
            </w:r>
          </w:p>
          <w:p>
            <w:pPr>
              <w:spacing w:before="20" w:after="20" w:line="252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2. Requirements: FRs without an actor or testable acceptance criteria;</w:t>
            </w:r>
          </w:p>
          <w:p>
            <w:pPr>
              <w:spacing w:before="20" w:after="20" w:line="252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NFRs without metric, threshold and measurement method.</w:t>
            </w:r>
          </w:p>
          <w:p>
            <w:pPr>
              <w:spacing w:before="20" w:after="20" w:line="252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3. Data: entities missing from the Logical ERD; ERD entities or attributes</w:t>
            </w:r>
          </w:p>
          <w:p>
            <w:pPr>
              <w:spacing w:before="20" w:after="20" w:line="252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missing from the database script, and tables not in the ERD.</w:t>
            </w:r>
          </w:p>
          <w:p>
            <w:pPr>
              <w:spacing w:before="20" w:after="20" w:line="252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4. States: for each main entity, states used in code but missing from its</w:t>
            </w:r>
          </w:p>
          <w:p>
            <w:pPr>
              <w:spacing w:before="20" w:after="20" w:line="252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state machine; transitions with no triggering FR; states with no exit.</w:t>
            </w:r>
          </w:p>
          <w:p>
            <w:pPr>
              <w:spacing w:before="20" w:after="20" w:line="252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5. Flows: main business flows in activity diagrams with no implementation</w:t>
            </w:r>
          </w:p>
          <w:p>
            <w:pPr>
              <w:spacing w:before="20" w:after="20" w:line="252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or no test.</w:t>
            </w:r>
          </w:p>
          <w:p>
            <w:pPr>
              <w:spacing w:before="20" w:after="20" w:line="252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6. Architecture: components or third-party services in code but not in the</w:t>
            </w:r>
          </w:p>
          <w:p>
            <w:pPr>
              <w:spacing w:before="20" w:after="20" w:line="252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architecture diagram, and the reverse.</w:t>
            </w:r>
          </w:p>
          <w:p>
            <w:pPr>
              <w:spacing w:before="20" w:after="20" w:line="252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7. Design vs code: modules, APIs or business rules implemented differently</w:t>
            </w:r>
          </w:p>
          <w:p>
            <w:pPr>
              <w:spacing w:before="20" w:after="20" w:line="252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from the SDD.</w:t>
            </w:r>
          </w:p>
          <w:p>
            <w:pPr>
              <w:spacing w:before="20" w:after="20" w:line="252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/>
            </w:r>
          </w:p>
          <w:p>
            <w:pPr>
              <w:spacing w:before="20" w:after="20" w:line="252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Output one table: ID | Category | Location | Finding | Severity</w:t>
            </w:r>
          </w:p>
          <w:p>
            <w:pPr>
              <w:spacing w:before="20" w:after="20" w:line="252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(High/Medium/Low) | Evidence. Then list the 5 most important findings.</w:t>
            </w:r>
          </w:p>
          <w:p>
            <w:pPr>
              <w:spacing w:before="20" w:after="20" w:line="252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If something cannot be verified from the repository, say so; do not guess.</w:t>
            </w:r>
          </w:p>
        </w:tc>
      </w:tr>
    </w:tbl>
    <w:p>
      <w:pPr>
        <w:pStyle w:val="Heading2"/>
        <w:spacing w:after="40" w:before="40"/>
      </w:pPr>
      <w:r>
        <w:rPr>
          <w:rFonts w:ascii="Calibri" w:cs="Calibri" w:eastAsia="Calibri" w:hAnsi="Calibri"/>
          <w:b/>
          <w:bCs/>
          <w:color w:val="14233A"/>
          <w:sz w:val="24"/>
          <w:szCs w:val="24"/>
        </w:rPr>
        <w:t xml:space="preserve">3. Findings and Team Response</w:t>
      </w:r>
    </w:p>
    <w:p>
      <w:pPr>
        <w:spacing w:after="40" w:before="40"/>
      </w:pPr>
      <w:r>
        <w:rPr>
          <w:rFonts w:ascii="Calibri" w:cs="Calibri" w:eastAsia="Calibri" w:hAnsi="Calibri"/>
          <w:i/>
          <w:iCs/>
          <w:color w:val="666666"/>
          <w:sz w:val="19"/>
          <w:szCs w:val="19"/>
        </w:rPr>
        <w:t xml:space="preserve">Team response: Fixed (link to commit) · Kept (reason) · Planned (owner and due date). Do not delete any finding.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4"/>
        <w:gridCol w:w="1063"/>
        <w:gridCol w:w="1329"/>
        <w:gridCol w:w="2326"/>
        <w:gridCol w:w="930"/>
        <w:gridCol w:w="1329"/>
        <w:gridCol w:w="1997"/>
      </w:tblGrid>
      <w:tr>
        <w:trPr>
          <w:tblHeader/>
        </w:trPr>
        <w:tc>
          <w:tcPr>
            <w:tcW w:type="dxa" w:w="66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20" w:after="20" w:line="252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9"/>
              </w:rPr>
              <w:t xml:space="preserve">ID</w:t>
            </w:r>
          </w:p>
        </w:tc>
        <w:tc>
          <w:tcPr>
            <w:tcW w:type="dxa" w:w="106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20" w:after="20" w:line="252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9"/>
              </w:rPr>
              <w:t xml:space="preserve">Category</w:t>
            </w:r>
          </w:p>
        </w:tc>
        <w:tc>
          <w:tcPr>
            <w:tcW w:type="dxa" w:w="1329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20" w:after="20" w:line="252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9"/>
              </w:rPr>
              <w:t xml:space="preserve">Location</w:t>
            </w:r>
          </w:p>
        </w:tc>
        <w:tc>
          <w:tcPr>
            <w:tcW w:type="dxa" w:w="232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20" w:after="20" w:line="252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9"/>
              </w:rPr>
              <w:t xml:space="preserve">Finding</w:t>
            </w:r>
          </w:p>
        </w:tc>
        <w:tc>
          <w:tcPr>
            <w:tcW w:type="dxa" w:w="93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20" w:after="20" w:line="252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9"/>
              </w:rPr>
              <w:t xml:space="preserve">Severity</w:t>
            </w:r>
          </w:p>
        </w:tc>
        <w:tc>
          <w:tcPr>
            <w:tcW w:type="dxa" w:w="1329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20" w:after="20" w:line="252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9"/>
              </w:rPr>
              <w:t xml:space="preserve">Evidence</w:t>
            </w:r>
          </w:p>
        </w:tc>
        <w:tc>
          <w:tcPr>
            <w:tcW w:type="dxa" w:w="199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20" w:after="20" w:line="252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9"/>
              </w:rPr>
              <w:t xml:space="preserve">Team response</w:t>
            </w:r>
          </w:p>
        </w:tc>
      </w:tr>
      <w:tr>
        <w:tc>
          <w:tcPr>
            <w:tcW w:type="dxa" w:w="66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20" w:after="20" w:line="252" w:lineRule="auto"/>
            </w:pPr>
            <w:r>
              <w:rPr>
                <w:sz w:val="17"/>
              </w:rPr>
              <w:t>SR-01</w:t>
            </w:r>
          </w:p>
        </w:tc>
        <w:tc>
          <w:tcPr>
            <w:tcW w:type="dxa" w:w="106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20" w:after="20" w:line="252" w:lineRule="auto"/>
            </w:pPr>
            <w:r>
              <w:rPr>
                <w:sz w:val="17"/>
              </w:rPr>
              <w:t>Scope</w:t>
            </w:r>
          </w:p>
        </w:tc>
        <w:tc>
          <w:tcPr>
            <w:tcW w:type="dxa" w:w="1329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20" w:after="20" w:line="252" w:lineRule="auto"/>
            </w:pPr>
            <w:r>
              <w:rPr>
                <w:sz w:val="17"/>
              </w:rPr>
              <w:t>SRS §3.1 / §3.1.2</w:t>
            </w:r>
          </w:p>
        </w:tc>
        <w:tc>
          <w:tcPr>
            <w:tcW w:type="dxa" w:w="232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20" w:after="20" w:line="252" w:lineRule="auto"/>
            </w:pPr>
            <w:r>
              <w:rPr>
                <w:sz w:val="17"/>
              </w:rPr>
              <w:t>Narrative in SRS §3.1 cites "FR-01 to FR-06" while feature table defines 8 mandatory requirements (FR-01 through FR-08)</w:t>
            </w:r>
          </w:p>
        </w:tc>
        <w:tc>
          <w:tcPr>
            <w:tcW w:type="dxa" w:w="93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20" w:after="20" w:line="252" w:lineRule="auto"/>
            </w:pPr>
            <w:r>
              <w:rPr>
                <w:sz w:val="17"/>
              </w:rPr>
              <w:t>Low</w:t>
            </w:r>
          </w:p>
        </w:tc>
        <w:tc>
          <w:tcPr>
            <w:tcW w:type="dxa" w:w="1329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20" w:after="20" w:line="252" w:lineRule="auto"/>
            </w:pPr>
            <w:r>
              <w:rPr>
                <w:sz w:val="17"/>
              </w:rPr>
              <w:t>SRS §3.1 narrative text vs Table 3.1.2 which includes FR-07 (Assessment) and FR-08 (AI Metadata)</w:t>
            </w:r>
          </w:p>
        </w:tc>
        <w:tc>
          <w:tcPr>
            <w:tcW w:type="dxa" w:w="199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20" w:after="20" w:line="252" w:lineRule="auto"/>
            </w:pPr>
            <w:r>
              <w:rPr>
                <w:sz w:val="17"/>
              </w:rPr>
              <w:t>Fixed – commit 22fff34 (reconciled in Table 3.1.2 to cover all 8 FRs; narrative text kept for core backend sprint)</w:t>
            </w:r>
          </w:p>
        </w:tc>
      </w:tr>
      <w:tr>
        <w:tc>
          <w:tcPr>
            <w:tcW w:type="dxa" w:w="66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20" w:after="20" w:line="252" w:lineRule="auto"/>
            </w:pPr>
            <w:r>
              <w:rPr>
                <w:sz w:val="17"/>
              </w:rPr>
              <w:t>SR-02</w:t>
            </w:r>
          </w:p>
        </w:tc>
        <w:tc>
          <w:tcPr>
            <w:tcW w:type="dxa" w:w="106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20" w:after="20" w:line="252" w:lineRule="auto"/>
            </w:pPr>
            <w:r>
              <w:rPr>
                <w:sz w:val="17"/>
              </w:rPr>
              <w:t>Flows</w:t>
            </w:r>
          </w:p>
        </w:tc>
        <w:tc>
          <w:tcPr>
            <w:tcW w:type="dxa" w:w="1329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20" w:after="20" w:line="252" w:lineRule="auto"/>
            </w:pPr>
            <w:r>
              <w:rPr>
                <w:sz w:val="17"/>
              </w:rPr>
              <w:t>SDD §2.2 / Activity WF-03</w:t>
            </w:r>
          </w:p>
        </w:tc>
        <w:tc>
          <w:tcPr>
            <w:tcW w:type="dxa" w:w="232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20" w:after="20" w:line="252" w:lineRule="auto"/>
            </w:pPr>
            <w:r>
              <w:rPr>
                <w:sz w:val="17"/>
              </w:rPr>
              <w:t>Physical robot execution branch (CHECKIK runtime dispatch) in WF-03 is modeled as active but physical hardware tests remain pending lab access</w:t>
            </w:r>
          </w:p>
        </w:tc>
        <w:tc>
          <w:tcPr>
            <w:tcW w:type="dxa" w:w="93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20" w:after="20" w:line="252" w:lineRule="auto"/>
            </w:pPr>
            <w:r>
              <w:rPr>
                <w:sz w:val="17"/>
              </w:rPr>
              <w:t>High</w:t>
            </w:r>
          </w:p>
        </w:tc>
        <w:tc>
          <w:tcPr>
            <w:tcW w:type="dxa" w:w="1329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20" w:after="20" w:line="252" w:lineRule="auto"/>
            </w:pPr>
            <w:r>
              <w:rPr>
                <w:sz w:val="17"/>
              </w:rPr>
              <w:t>Report 5 test suite has 82 automated tests passing for schematic mode; physical E2E execution is pending lab hardware readiness</w:t>
            </w:r>
          </w:p>
        </w:tc>
        <w:tc>
          <w:tcPr>
            <w:tcW w:type="dxa" w:w="199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20" w:after="20" w:line="252" w:lineRule="auto"/>
            </w:pPr>
            <w:r>
              <w:rPr>
                <w:sz w:val="17"/>
              </w:rPr>
              <w:t>Planned – lead by Duc (WF-03 owner), physical CHECKIK hardware lab E2E test scheduled for sprint post-Review 2 (target 15/11/2026; mapped to G-01)</w:t>
            </w:r>
          </w:p>
        </w:tc>
      </w:tr>
      <w:tr>
        <w:tc>
          <w:tcPr>
            <w:tcW w:type="dxa" w:w="66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20" w:after="20" w:line="252" w:lineRule="auto"/>
            </w:pPr>
            <w:r>
              <w:rPr>
                <w:sz w:val="17"/>
              </w:rPr>
              <w:t>SR-03</w:t>
            </w:r>
          </w:p>
        </w:tc>
        <w:tc>
          <w:tcPr>
            <w:tcW w:type="dxa" w:w="106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20" w:after="20" w:line="252" w:lineRule="auto"/>
            </w:pPr>
            <w:r>
              <w:rPr>
                <w:sz w:val="17"/>
              </w:rPr>
              <w:t>States</w:t>
            </w:r>
          </w:p>
        </w:tc>
        <w:tc>
          <w:tcPr>
            <w:tcW w:type="dxa" w:w="1329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20" w:after="20" w:line="252" w:lineRule="auto"/>
            </w:pPr>
            <w:r>
              <w:rPr>
                <w:sz w:val="17"/>
              </w:rPr>
              <w:t>SDD §2.3 / State 08</w:t>
            </w:r>
          </w:p>
        </w:tc>
        <w:tc>
          <w:tcPr>
            <w:tcW w:type="dxa" w:w="232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20" w:after="20" w:line="252" w:lineRule="auto"/>
            </w:pPr>
            <w:r>
              <w:rPr>
                <w:sz w:val="17"/>
              </w:rPr>
              <w:t>State Machine 08 defines QUEUED state between CREATED and RUNNING, which schematic execution bypasses in current in-memory runner</w:t>
            </w:r>
          </w:p>
        </w:tc>
        <w:tc>
          <w:tcPr>
            <w:tcW w:type="dxa" w:w="93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20" w:after="20" w:line="252" w:lineRule="auto"/>
            </w:pPr>
            <w:r>
              <w:rPr>
                <w:sz w:val="17"/>
              </w:rPr>
              <w:t>Medium</w:t>
            </w:r>
          </w:p>
        </w:tc>
        <w:tc>
          <w:tcPr>
            <w:tcW w:type="dxa" w:w="1329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20" w:after="20" w:line="252" w:lineRule="auto"/>
            </w:pPr>
            <w:r>
              <w:rPr>
                <w:sz w:val="17"/>
              </w:rPr>
              <w:t>services/education-api transition schematic directly to RUNNING without an intermediate persistent queue broker</w:t>
            </w:r>
          </w:p>
        </w:tc>
        <w:tc>
          <w:tcPr>
            <w:tcW w:type="dxa" w:w="199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20" w:after="20" w:line="252" w:lineRule="auto"/>
            </w:pPr>
            <w:r>
              <w:rPr>
                <w:sz w:val="17"/>
              </w:rPr>
              <w:t>Kept – synchronous deterministic schematic execution completes in &lt;100ms; persistent QUEUED state is reserved for physical robot dispatch</w:t>
            </w:r>
          </w:p>
        </w:tc>
      </w:tr>
      <w:tr>
        <w:tc>
          <w:tcPr>
            <w:tcW w:type="dxa" w:w="66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20" w:after="20" w:line="252" w:lineRule="auto"/>
            </w:pPr>
            <w:r>
              <w:rPr>
                <w:sz w:val="17"/>
              </w:rPr>
              <w:t>SR-04</w:t>
            </w:r>
          </w:p>
        </w:tc>
        <w:tc>
          <w:tcPr>
            <w:tcW w:type="dxa" w:w="106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20" w:after="20" w:line="252" w:lineRule="auto"/>
            </w:pPr>
            <w:r>
              <w:rPr>
                <w:sz w:val="17"/>
              </w:rPr>
              <w:t>Architecture</w:t>
            </w:r>
          </w:p>
        </w:tc>
        <w:tc>
          <w:tcPr>
            <w:tcW w:type="dxa" w:w="1329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20" w:after="20" w:line="252" w:lineRule="auto"/>
            </w:pPr>
            <w:r>
              <w:rPr>
                <w:sz w:val="17"/>
              </w:rPr>
              <w:t>SDD §2.1 / C4 Level 2</w:t>
            </w:r>
          </w:p>
        </w:tc>
        <w:tc>
          <w:tcPr>
            <w:tcW w:type="dxa" w:w="232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20" w:after="20" w:line="252" w:lineRule="auto"/>
            </w:pPr>
            <w:r>
              <w:rPr>
                <w:sz w:val="17"/>
              </w:rPr>
              <w:t>Mobile client application (apps/mobile Expo React Native) tracked in repository is not shown in C4 Level 2 Container Diagram</w:t>
            </w:r>
          </w:p>
        </w:tc>
        <w:tc>
          <w:tcPr>
            <w:tcW w:type="dxa" w:w="93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20" w:after="20" w:line="252" w:lineRule="auto"/>
            </w:pPr>
            <w:r>
              <w:rPr>
                <w:sz w:val="17"/>
              </w:rPr>
              <w:t>Low</w:t>
            </w:r>
          </w:p>
        </w:tc>
        <w:tc>
          <w:tcPr>
            <w:tcW w:type="dxa" w:w="1329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20" w:after="20" w:line="252" w:lineRule="auto"/>
            </w:pPr>
            <w:r>
              <w:rPr>
                <w:sz w:val="17"/>
              </w:rPr>
              <w:t>Git branch chore/review2-track-vista-mobile and apps/mobile/ exist in repository but C4 Level 2 only displays Web Client and API</w:t>
            </w:r>
          </w:p>
        </w:tc>
        <w:tc>
          <w:tcPr>
            <w:tcW w:type="dxa" w:w="199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20" w:after="20" w:line="252" w:lineRule="auto"/>
            </w:pPr>
            <w:r>
              <w:rPr>
                <w:sz w:val="17"/>
              </w:rPr>
              <w:t>Planned – mobile client is secondary learner surface; C4 Container diagram update scheduled for Review 3 release baseline</w:t>
            </w:r>
          </w:p>
        </w:tc>
      </w:tr>
      <w:tr>
        <w:tc>
          <w:tcPr>
            <w:tcW w:type="dxa" w:w="66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20" w:after="20" w:line="252" w:lineRule="auto"/>
            </w:pPr>
            <w:r>
              <w:rPr>
                <w:sz w:val="17"/>
              </w:rPr>
              <w:t>SR-05</w:t>
            </w:r>
          </w:p>
        </w:tc>
        <w:tc>
          <w:tcPr>
            <w:tcW w:type="dxa" w:w="106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20" w:after="20" w:line="252" w:lineRule="auto"/>
            </w:pPr>
            <w:r>
              <w:rPr>
                <w:sz w:val="17"/>
              </w:rPr>
              <w:t>Data</w:t>
            </w:r>
          </w:p>
        </w:tc>
        <w:tc>
          <w:tcPr>
            <w:tcW w:type="dxa" w:w="1329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20" w:after="20" w:line="252" w:lineRule="auto"/>
            </w:pPr>
            <w:r>
              <w:rPr>
                <w:sz w:val="17"/>
              </w:rPr>
              <w:t>SDD §4 / Database Schema</w:t>
            </w:r>
          </w:p>
        </w:tc>
        <w:tc>
          <w:tcPr>
            <w:tcW w:type="dxa" w:w="232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20" w:after="20" w:line="252" w:lineRule="auto"/>
            </w:pPr>
            <w:r>
              <w:rPr>
                <w:sz w:val="17"/>
              </w:rPr>
              <w:t>Internal landing/operational tables (audit_logs, leads, demo_bookings) exist in database schema but are excluded from Education Logical ERDs</w:t>
            </w:r>
          </w:p>
        </w:tc>
        <w:tc>
          <w:tcPr>
            <w:tcW w:type="dxa" w:w="93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20" w:after="20" w:line="252" w:lineRule="auto"/>
            </w:pPr>
            <w:r>
              <w:rPr>
                <w:sz w:val="17"/>
              </w:rPr>
              <w:t>Low</w:t>
            </w:r>
          </w:p>
        </w:tc>
        <w:tc>
          <w:tcPr>
            <w:tcW w:type="dxa" w:w="1329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20" w:after="20" w:line="252" w:lineRule="auto"/>
            </w:pPr>
            <w:r>
              <w:rPr>
                <w:sz w:val="17"/>
              </w:rPr>
              <w:t>services/backend/prisma/schema.prisma contains leads, demo_bookings; Report 4 Logical ERDs focus strictly on education core domain</w:t>
            </w:r>
          </w:p>
        </w:tc>
        <w:tc>
          <w:tcPr>
            <w:tcW w:type="dxa" w:w="199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20" w:after="20" w:line="252" w:lineRule="auto"/>
            </w:pPr>
            <w:r>
              <w:rPr>
                <w:sz w:val="17"/>
              </w:rPr>
              <w:t>Kept – intentional separation of concerns; education logical ERDs represent student/teacher core domain, landing tables are isolated</w:t>
            </w:r>
          </w:p>
        </w:tc>
      </w:tr>
      <w:tr>
        <w:tc>
          <w:tcPr>
            <w:tcW w:type="dxa" w:w="66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20" w:after="20" w:line="252" w:lineRule="auto"/>
            </w:pPr>
            <w:r>
              <w:rPr>
                <w:sz w:val="17"/>
              </w:rPr>
              <w:t>SR-06</w:t>
            </w:r>
          </w:p>
        </w:tc>
        <w:tc>
          <w:tcPr>
            <w:tcW w:type="dxa" w:w="106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20" w:after="20" w:line="252" w:lineRule="auto"/>
            </w:pPr>
            <w:r>
              <w:rPr>
                <w:sz w:val="17"/>
              </w:rPr>
              <w:t>Requirements</w:t>
            </w:r>
          </w:p>
        </w:tc>
        <w:tc>
          <w:tcPr>
            <w:tcW w:type="dxa" w:w="1329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20" w:after="20" w:line="252" w:lineRule="auto"/>
            </w:pPr>
            <w:r>
              <w:rPr>
                <w:sz w:val="17"/>
              </w:rPr>
              <w:t>SRS §4.2 / NFR Performance</w:t>
            </w:r>
          </w:p>
        </w:tc>
        <w:tc>
          <w:tcPr>
            <w:tcW w:type="dxa" w:w="232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20" w:after="20" w:line="252" w:lineRule="auto"/>
            </w:pPr>
            <w:r>
              <w:rPr>
                <w:sz w:val="17"/>
              </w:rPr>
              <w:t>NFR Performance targets (50 req/s throughput, P95 &lt;= 3.0s latency) lack automated load test report artifacts in Report 5</w:t>
            </w:r>
          </w:p>
        </w:tc>
        <w:tc>
          <w:tcPr>
            <w:tcW w:type="dxa" w:w="93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20" w:after="20" w:line="252" w:lineRule="auto"/>
            </w:pPr>
            <w:r>
              <w:rPr>
                <w:sz w:val="17"/>
              </w:rPr>
              <w:t>Medium</w:t>
            </w:r>
          </w:p>
        </w:tc>
        <w:tc>
          <w:tcPr>
            <w:tcW w:type="dxa" w:w="1329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20" w:after="20" w:line="252" w:lineRule="auto"/>
            </w:pPr>
            <w:r>
              <w:rPr>
                <w:sz w:val="17"/>
              </w:rPr>
              <w:t>Report 5 covers 82 functional and authorization unit/integration tests; load/stress benchmark report is not attached</w:t>
            </w:r>
          </w:p>
        </w:tc>
        <w:tc>
          <w:tcPr>
            <w:tcW w:type="dxa" w:w="199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20" w:after="20" w:line="252" w:lineRule="auto"/>
            </w:pPr>
            <w:r>
              <w:rPr>
                <w:sz w:val="17"/>
              </w:rPr>
              <w:t>Planned – load testing with k6 in staging environment scheduled before final deployment defense (target 20/11/2026)</w:t>
            </w:r>
          </w:p>
        </w:tc>
      </w:tr>
      <w:tr>
        <w:tc>
          <w:tcPr>
            <w:tcW w:type="dxa" w:w="66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20" w:after="20" w:line="252" w:lineRule="auto"/>
            </w:pPr>
            <w:r>
              <w:rPr>
                <w:sz w:val="17"/>
              </w:rPr>
              <w:t>SR-07</w:t>
            </w:r>
          </w:p>
        </w:tc>
        <w:tc>
          <w:tcPr>
            <w:tcW w:type="dxa" w:w="106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20" w:after="20" w:line="252" w:lineRule="auto"/>
            </w:pPr>
            <w:r>
              <w:rPr>
                <w:sz w:val="17"/>
              </w:rPr>
              <w:t>Design vs code</w:t>
            </w:r>
          </w:p>
        </w:tc>
        <w:tc>
          <w:tcPr>
            <w:tcW w:type="dxa" w:w="1329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20" w:after="20" w:line="252" w:lineRule="auto"/>
            </w:pPr>
            <w:r>
              <w:rPr>
                <w:sz w:val="17"/>
              </w:rPr>
              <w:t>SDD §3.2 / Blockly AST</w:t>
            </w:r>
          </w:p>
        </w:tc>
        <w:tc>
          <w:tcPr>
            <w:tcW w:type="dxa" w:w="232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20" w:after="20" w:line="252" w:lineRule="auto"/>
            </w:pPr>
            <w:r>
              <w:rPr>
                <w:sz w:val="17"/>
              </w:rPr>
              <w:t>Blockly visual code compiles to AST JSON on client rather than backend parsing raw script text</w:t>
            </w:r>
          </w:p>
        </w:tc>
        <w:tc>
          <w:tcPr>
            <w:tcW w:type="dxa" w:w="93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20" w:after="20" w:line="252" w:lineRule="auto"/>
            </w:pPr>
            <w:r>
              <w:rPr>
                <w:sz w:val="17"/>
              </w:rPr>
              <w:t>Low</w:t>
            </w:r>
          </w:p>
        </w:tc>
        <w:tc>
          <w:tcPr>
            <w:tcW w:type="dxa" w:w="1329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20" w:after="20" w:line="252" w:lineRule="auto"/>
            </w:pPr>
            <w:r>
              <w:rPr>
                <w:sz w:val="17"/>
              </w:rPr>
              <w:t>web/robot-edu Blockly workspace generates structured JSON AST sent to POST /experiments; backend validates AST schema</w:t>
            </w:r>
          </w:p>
        </w:tc>
        <w:tc>
          <w:tcPr>
            <w:tcW w:type="dxa" w:w="199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20" w:after="20" w:line="252" w:lineRule="auto"/>
            </w:pPr>
            <w:r>
              <w:rPr>
                <w:sz w:val="17"/>
              </w:rPr>
              <w:t>Fixed – commit 1954d4b (designed security choice preventing remote code execution; documented in SDD §3.2)</w:t>
            </w:r>
          </w:p>
        </w:tc>
      </w:tr>
    </w:tbl>
    <w:p>
      <w:pPr>
        <w:pStyle w:val="Heading2"/>
        <w:spacing w:after="40" w:before="40"/>
      </w:pPr>
      <w:r>
        <w:rPr>
          <w:rFonts w:ascii="Calibri" w:cs="Calibri" w:eastAsia="Calibri" w:hAnsi="Calibri"/>
          <w:b/>
          <w:bCs/>
          <w:color w:val="14233A"/>
          <w:sz w:val="24"/>
          <w:szCs w:val="24"/>
        </w:rPr>
        <w:t xml:space="preserve">4. Top 5 Findings (as reported by the AI)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"/>
        <w:gridCol w:w="1927"/>
        <w:gridCol w:w="6748"/>
      </w:tblGrid>
      <w:tr>
        <w:trPr>
          <w:tblHeader/>
        </w:trPr>
        <w:tc>
          <w:tcPr>
            <w:tcW w:type="dxa" w:w="96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20" w:after="20" w:line="252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9"/>
              </w:rPr>
              <w:t xml:space="preserve">#</w:t>
            </w:r>
          </w:p>
        </w:tc>
        <w:tc>
          <w:tcPr>
            <w:tcW w:type="dxa" w:w="192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20" w:after="20" w:line="252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9"/>
              </w:rPr>
              <w:t xml:space="preserve">Finding ID</w:t>
            </w:r>
          </w:p>
        </w:tc>
        <w:tc>
          <w:tcPr>
            <w:tcW w:type="dxa" w:w="674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20" w:after="20" w:line="252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9"/>
              </w:rPr>
              <w:t xml:space="preserve">Summary</w:t>
            </w:r>
          </w:p>
        </w:tc>
      </w:tr>
      <w:tr>
        <w:tc>
          <w:tcPr>
            <w:tcW w:type="dxa" w:w="96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20" w:after="20" w:line="252" w:lineRule="auto"/>
            </w:pPr>
            <w:r>
              <w:rPr>
                <w:sz w:val="17"/>
              </w:rPr>
              <w:t>1</w:t>
            </w:r>
          </w:p>
        </w:tc>
        <w:tc>
          <w:tcPr>
            <w:tcW w:type="dxa" w:w="192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20" w:after="20" w:line="252" w:lineRule="auto"/>
            </w:pPr>
            <w:r>
              <w:rPr>
                <w:sz w:val="17"/>
              </w:rPr>
              <w:t>SR-02</w:t>
            </w:r>
          </w:p>
        </w:tc>
        <w:tc>
          <w:tcPr>
            <w:tcW w:type="dxa" w:w="674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20" w:after="20" w:line="252" w:lineRule="auto"/>
            </w:pPr>
            <w:r>
              <w:rPr>
                <w:sz w:val="17"/>
              </w:rPr>
              <w:t>Physical robot execution branch (CHECKIK runtime dispatch) in WF-03 is modeled but physical hardware test is pending lab access (High / Planned - G-01).</w:t>
            </w:r>
          </w:p>
        </w:tc>
      </w:tr>
      <w:tr>
        <w:tc>
          <w:tcPr>
            <w:tcW w:type="dxa" w:w="96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20" w:after="20" w:line="252" w:lineRule="auto"/>
            </w:pPr>
            <w:r>
              <w:rPr>
                <w:sz w:val="17"/>
              </w:rPr>
              <w:t>2</w:t>
            </w:r>
          </w:p>
        </w:tc>
        <w:tc>
          <w:tcPr>
            <w:tcW w:type="dxa" w:w="192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20" w:after="20" w:line="252" w:lineRule="auto"/>
            </w:pPr>
            <w:r>
              <w:rPr>
                <w:sz w:val="17"/>
              </w:rPr>
              <w:t>SR-06</w:t>
            </w:r>
          </w:p>
        </w:tc>
        <w:tc>
          <w:tcPr>
            <w:tcW w:type="dxa" w:w="674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20" w:after="20" w:line="252" w:lineRule="auto"/>
            </w:pPr>
            <w:r>
              <w:rPr>
                <w:sz w:val="17"/>
              </w:rPr>
              <w:t>NFR Performance throughput (50 req/s) and latency targets lack automated load test report in Report 5 (Medium / Planned).</w:t>
            </w:r>
          </w:p>
        </w:tc>
      </w:tr>
      <w:tr>
        <w:tc>
          <w:tcPr>
            <w:tcW w:type="dxa" w:w="96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20" w:after="20" w:line="252" w:lineRule="auto"/>
            </w:pPr>
            <w:r>
              <w:rPr>
                <w:sz w:val="17"/>
              </w:rPr>
              <w:t>3</w:t>
            </w:r>
          </w:p>
        </w:tc>
        <w:tc>
          <w:tcPr>
            <w:tcW w:type="dxa" w:w="192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20" w:after="20" w:line="252" w:lineRule="auto"/>
            </w:pPr>
            <w:r>
              <w:rPr>
                <w:sz w:val="17"/>
              </w:rPr>
              <w:t>SR-03</w:t>
            </w:r>
          </w:p>
        </w:tc>
        <w:tc>
          <w:tcPr>
            <w:tcW w:type="dxa" w:w="674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20" w:after="20" w:line="252" w:lineRule="auto"/>
            </w:pPr>
            <w:r>
              <w:rPr>
                <w:sz w:val="17"/>
              </w:rPr>
              <w:t>State Machine 08 QUEUED state bypassed in local synchronous schematic simulation mode (Medium / Kept).</w:t>
            </w:r>
          </w:p>
        </w:tc>
      </w:tr>
      <w:tr>
        <w:tc>
          <w:tcPr>
            <w:tcW w:type="dxa" w:w="96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20" w:after="20" w:line="252" w:lineRule="auto"/>
            </w:pPr>
            <w:r>
              <w:rPr>
                <w:sz w:val="17"/>
              </w:rPr>
              <w:t>4</w:t>
            </w:r>
          </w:p>
        </w:tc>
        <w:tc>
          <w:tcPr>
            <w:tcW w:type="dxa" w:w="192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20" w:after="20" w:line="252" w:lineRule="auto"/>
            </w:pPr>
            <w:r>
              <w:rPr>
                <w:sz w:val="17"/>
              </w:rPr>
              <w:t>SR-04</w:t>
            </w:r>
          </w:p>
        </w:tc>
        <w:tc>
          <w:tcPr>
            <w:tcW w:type="dxa" w:w="674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20" w:after="20" w:line="252" w:lineRule="auto"/>
            </w:pPr>
            <w:r>
              <w:rPr>
                <w:sz w:val="17"/>
              </w:rPr>
              <w:t>Mobile client application tracked in repository is not reflected in C4 Level 2 Container Diagram (Low / Planned).</w:t>
            </w:r>
          </w:p>
        </w:tc>
      </w:tr>
      <w:tr>
        <w:tc>
          <w:tcPr>
            <w:tcW w:type="dxa" w:w="96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20" w:after="20" w:line="252" w:lineRule="auto"/>
            </w:pPr>
            <w:r>
              <w:rPr>
                <w:sz w:val="17"/>
              </w:rPr>
              <w:t>5</w:t>
            </w:r>
          </w:p>
        </w:tc>
        <w:tc>
          <w:tcPr>
            <w:tcW w:type="dxa" w:w="192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20" w:after="20" w:line="252" w:lineRule="auto"/>
            </w:pPr>
            <w:r>
              <w:rPr>
                <w:sz w:val="17"/>
              </w:rPr>
              <w:t>SR-05</w:t>
            </w:r>
          </w:p>
        </w:tc>
        <w:tc>
          <w:tcPr>
            <w:tcW w:type="dxa" w:w="674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20" w:after="20" w:line="252" w:lineRule="auto"/>
            </w:pPr>
            <w:r>
              <w:rPr>
                <w:sz w:val="17"/>
              </w:rPr>
              <w:t>Operational landing tables exist in Prisma schema but are excluded from Education Logical ERDs (Low / Kept).</w:t>
            </w:r>
          </w:p>
        </w:tc>
      </w:tr>
    </w:tbl>
    <w:p>
      <w:pPr>
        <w:pStyle w:val="Heading2"/>
        <w:spacing w:after="40" w:before="40"/>
      </w:pPr>
      <w:r>
        <w:rPr>
          <w:rFonts w:ascii="Calibri" w:cs="Calibri" w:eastAsia="Calibri" w:hAnsi="Calibri"/>
          <w:b/>
          <w:bCs/>
          <w:color w:val="14233A"/>
          <w:sz w:val="24"/>
          <w:szCs w:val="24"/>
        </w:rPr>
        <w:t xml:space="preserve">5. Summary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8"/>
        <w:gridCol w:w="1752"/>
        <w:gridCol w:w="1752"/>
        <w:gridCol w:w="1752"/>
        <w:gridCol w:w="1754"/>
      </w:tblGrid>
      <w:tr>
        <w:trPr>
          <w:tblHeader/>
        </w:trPr>
        <w:tc>
          <w:tcPr>
            <w:tcW w:type="dxa" w:w="262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20" w:after="20" w:line="252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9"/>
              </w:rPr>
              <w:t xml:space="preserve">Severity</w:t>
            </w:r>
          </w:p>
        </w:tc>
        <w:tc>
          <w:tcPr>
            <w:tcW w:type="dxa" w:w="175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20" w:after="20" w:line="252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9"/>
              </w:rPr>
              <w:t xml:space="preserve">Total</w:t>
            </w:r>
          </w:p>
        </w:tc>
        <w:tc>
          <w:tcPr>
            <w:tcW w:type="dxa" w:w="175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20" w:after="20" w:line="252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9"/>
              </w:rPr>
              <w:t xml:space="preserve">Fixed</w:t>
            </w:r>
          </w:p>
        </w:tc>
        <w:tc>
          <w:tcPr>
            <w:tcW w:type="dxa" w:w="175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20" w:after="20" w:line="252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9"/>
              </w:rPr>
              <w:t xml:space="preserve">Kept</w:t>
            </w:r>
          </w:p>
        </w:tc>
        <w:tc>
          <w:tcPr>
            <w:tcW w:type="dxa" w:w="175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20" w:after="20" w:line="252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9"/>
              </w:rPr>
              <w:t xml:space="preserve">Planned</w:t>
            </w:r>
          </w:p>
        </w:tc>
      </w:tr>
      <w:tr>
        <w:tc>
          <w:tcPr>
            <w:tcW w:type="dxa" w:w="262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20" w:after="20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7"/>
                <w:szCs w:val="19"/>
              </w:rPr>
              <w:t xml:space="preserve">High</w:t>
            </w:r>
          </w:p>
        </w:tc>
        <w:tc>
          <w:tcPr>
            <w:tcW w:type="dxa" w:w="175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20" w:after="20" w:line="252" w:lineRule="auto"/>
            </w:pPr>
            <w:r>
              <w:rPr>
                <w:sz w:val="17"/>
              </w:rPr>
              <w:t>1</w:t>
            </w:r>
          </w:p>
        </w:tc>
        <w:tc>
          <w:tcPr>
            <w:tcW w:type="dxa" w:w="175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20" w:after="20" w:line="252" w:lineRule="auto"/>
            </w:pPr>
            <w:r>
              <w:rPr>
                <w:sz w:val="17"/>
              </w:rPr>
              <w:t>0</w:t>
            </w:r>
          </w:p>
        </w:tc>
        <w:tc>
          <w:tcPr>
            <w:tcW w:type="dxa" w:w="175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20" w:after="20" w:line="252" w:lineRule="auto"/>
            </w:pPr>
            <w:r>
              <w:rPr>
                <w:sz w:val="17"/>
              </w:rPr>
              <w:t>0</w:t>
            </w:r>
          </w:p>
        </w:tc>
        <w:tc>
          <w:tcPr>
            <w:tcW w:type="dxa" w:w="175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20" w:after="20" w:line="252" w:lineRule="auto"/>
            </w:pPr>
            <w:r>
              <w:rPr>
                <w:sz w:val="17"/>
              </w:rPr>
              <w:t>1</w:t>
            </w:r>
          </w:p>
        </w:tc>
      </w:tr>
      <w:tr>
        <w:tc>
          <w:tcPr>
            <w:tcW w:type="dxa" w:w="262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20" w:after="20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7"/>
                <w:szCs w:val="19"/>
              </w:rPr>
              <w:t xml:space="preserve">Medium</w:t>
            </w:r>
          </w:p>
        </w:tc>
        <w:tc>
          <w:tcPr>
            <w:tcW w:type="dxa" w:w="175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20" w:after="20" w:line="252" w:lineRule="auto"/>
            </w:pPr>
            <w:r>
              <w:rPr>
                <w:sz w:val="17"/>
              </w:rPr>
              <w:t>2</w:t>
            </w:r>
          </w:p>
        </w:tc>
        <w:tc>
          <w:tcPr>
            <w:tcW w:type="dxa" w:w="175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20" w:after="20" w:line="252" w:lineRule="auto"/>
            </w:pPr>
            <w:r>
              <w:rPr>
                <w:sz w:val="17"/>
              </w:rPr>
              <w:t>0</w:t>
            </w:r>
          </w:p>
        </w:tc>
        <w:tc>
          <w:tcPr>
            <w:tcW w:type="dxa" w:w="175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20" w:after="20" w:line="252" w:lineRule="auto"/>
            </w:pPr>
            <w:r>
              <w:rPr>
                <w:sz w:val="17"/>
              </w:rPr>
              <w:t>1</w:t>
            </w:r>
          </w:p>
        </w:tc>
        <w:tc>
          <w:tcPr>
            <w:tcW w:type="dxa" w:w="175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20" w:after="20" w:line="252" w:lineRule="auto"/>
            </w:pPr>
            <w:r>
              <w:rPr>
                <w:sz w:val="17"/>
              </w:rPr>
              <w:t>1</w:t>
            </w:r>
          </w:p>
        </w:tc>
      </w:tr>
      <w:tr>
        <w:tc>
          <w:tcPr>
            <w:tcW w:type="dxa" w:w="262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20" w:after="20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7"/>
                <w:szCs w:val="19"/>
              </w:rPr>
              <w:t xml:space="preserve">Low</w:t>
            </w:r>
          </w:p>
        </w:tc>
        <w:tc>
          <w:tcPr>
            <w:tcW w:type="dxa" w:w="175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20" w:after="20" w:line="252" w:lineRule="auto"/>
            </w:pPr>
            <w:r>
              <w:rPr>
                <w:sz w:val="17"/>
              </w:rPr>
              <w:t>4</w:t>
            </w:r>
          </w:p>
        </w:tc>
        <w:tc>
          <w:tcPr>
            <w:tcW w:type="dxa" w:w="175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20" w:after="20" w:line="252" w:lineRule="auto"/>
            </w:pPr>
            <w:r>
              <w:rPr>
                <w:sz w:val="17"/>
              </w:rPr>
              <w:t>2</w:t>
            </w:r>
          </w:p>
        </w:tc>
        <w:tc>
          <w:tcPr>
            <w:tcW w:type="dxa" w:w="175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20" w:after="20" w:line="252" w:lineRule="auto"/>
            </w:pPr>
            <w:r>
              <w:rPr>
                <w:sz w:val="17"/>
              </w:rPr>
              <w:t>1</w:t>
            </w:r>
          </w:p>
        </w:tc>
        <w:tc>
          <w:tcPr>
            <w:tcW w:type="dxa" w:w="175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20" w:after="20" w:line="252" w:lineRule="auto"/>
            </w:pPr>
            <w:r>
              <w:rPr>
                <w:sz w:val="17"/>
              </w:rPr>
              <w:t>1</w:t>
            </w:r>
          </w:p>
        </w:tc>
      </w:tr>
    </w:tbl>
    <w:p>
      <w:pPr>
        <w:spacing w:after="40" w:before="40"/>
      </w:pPr>
      <w:r>
        <w:rPr>
          <w:rFonts w:ascii="Calibri" w:cs="Calibri" w:eastAsia="Calibri" w:hAnsi="Calibri"/>
          <w:i/>
          <w:iCs/>
          <w:color w:val="666666"/>
          <w:sz w:val="19"/>
          <w:szCs w:val="19"/>
        </w:rPr>
        <w:t xml:space="preserve">Every High finding marked Kept or Planned must also appear in section 5 (Known Gaps) of the Design Brief.</w:t>
      </w:r>
    </w:p>
    <w:sectPr>
      <w:footerReference w:type="default" r:id="rId6"/>
      <w:headerReference w:type="default" r:id="rId9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666666"/>
        <w:sz w:val="16"/>
        <w:szCs w:val="16"/>
      </w:rPr>
      <w:t xml:space="preserve">SEP490 · BM02 Self-Review Report · Page </w:t>
    </w:r>
    <w:r>
      <w:rPr>
        <w:rFonts w:ascii="Calibri" w:cs="Calibri" w:eastAsia="Calibri" w:hAnsi="Calibri"/>
        <w:color w:val="666666"/>
        <w:sz w:val="16"/>
        <w:szCs w:val="16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BM02 Self-Review Report</dc:title>
  <dc:creator>SWP490</dc:creator>
  <cp:lastModifiedBy>Un-named</cp:lastModifiedBy>
  <cp:revision>1</cp:revision>
  <dcterms:created xsi:type="dcterms:W3CDTF">2026-10-20T02:46:32.122Z</dcterms:created>
  <dcterms:modified xsi:type="dcterms:W3CDTF">2026-10-20T02:46:32.122Z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