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irmala UI" w:hAnsi="Nirmala UI"/>
          <w:b/>
          <w:color w:val="176B87"/>
          <w:sz w:val="56"/>
        </w:rPr>
        <w:t>जलदृष्टि</w:t>
      </w:r>
    </w:p>
    <w:p>
      <w:pPr>
        <w:pStyle w:val="Title"/>
        <w:jc w:val="center"/>
      </w:pPr>
      <w:r>
        <w:t>JalDrishti</w:t>
      </w:r>
    </w:p>
    <w:p>
      <w:pPr>
        <w:jc w:val="center"/>
      </w:pPr>
      <w:r>
        <w:rPr>
          <w:b/>
          <w:color w:val="123B5D"/>
          <w:sz w:val="36"/>
        </w:rPr>
        <w:t>Product Requirements Document</w:t>
      </w:r>
    </w:p>
    <w:p>
      <w:pPr>
        <w:spacing w:before="200"/>
        <w:jc w:val="center"/>
      </w:pPr>
      <w:r>
        <w:rPr>
          <w:i/>
        </w:rPr>
        <w:t>Zero-Hardware Satellite-Assisted Groundwater Early Warning &amp; Governance Support</w:t>
      </w:r>
    </w:p>
    <w:p/>
    <w:tbl>
      <w:tblPr>
        <w:tblStyle w:val="TableGrid"/>
        <w:tblW w:type="auto" w:w="0"/>
        <w:tblLayout w:type="autofit"/>
        <w:tblLook w:firstColumn="1" w:firstRow="1" w:lastColumn="0" w:lastRow="0" w:noHBand="0" w:noVBand="1" w:val="04A0"/>
      </w:tblPr>
      <w:tblGrid>
        <w:gridCol w:w="4997"/>
        <w:gridCol w:w="4997"/>
      </w:tblGrid>
      <w:tr>
        <w:tc>
          <w:tcPr>
            <w:tcW w:type="dxa" w:w="4997"/>
            <w:vAlign w:val="center"/>
            <w:shd w:fill="123B5D"/>
          </w:tcPr>
          <w:p>
            <w:pPr>
              <w:spacing w:after="20"/>
            </w:pPr>
            <w:r/>
            <w:r>
              <w:rPr>
                <w:b/>
                <w:color w:val="FFFFFF"/>
                <w:sz w:val="16"/>
              </w:rPr>
              <w:t>Document field</w:t>
            </w:r>
          </w:p>
        </w:tc>
        <w:tc>
          <w:tcPr>
            <w:tcW w:type="dxa" w:w="4997"/>
            <w:vAlign w:val="center"/>
            <w:shd w:fill="123B5D"/>
          </w:tcPr>
          <w:p>
            <w:pPr>
              <w:spacing w:after="20"/>
            </w:pPr>
            <w:r/>
            <w:r>
              <w:rPr>
                <w:b/>
                <w:color w:val="FFFFFF"/>
                <w:sz w:val="16"/>
              </w:rPr>
              <w:t>Value</w:t>
            </w:r>
          </w:p>
        </w:tc>
      </w:tr>
      <w:tr>
        <w:tc>
          <w:tcPr>
            <w:tcW w:type="dxa" w:w="4997"/>
            <w:vAlign w:val="center"/>
          </w:tcPr>
          <w:p>
            <w:pPr>
              <w:spacing w:after="20"/>
            </w:pPr>
            <w:r/>
            <w:r>
              <w:rPr>
                <w:b w:val="0"/>
                <w:sz w:val="15"/>
              </w:rPr>
              <w:t>Version</w:t>
            </w:r>
          </w:p>
        </w:tc>
        <w:tc>
          <w:tcPr>
            <w:tcW w:type="dxa" w:w="4997"/>
            <w:vAlign w:val="center"/>
          </w:tcPr>
          <w:p>
            <w:pPr>
              <w:spacing w:after="20"/>
            </w:pPr>
            <w:r/>
            <w:r>
              <w:rPr>
                <w:b w:val="0"/>
                <w:sz w:val="15"/>
              </w:rPr>
              <w:t>1.0 — exhaustive working draft</w:t>
            </w:r>
          </w:p>
        </w:tc>
      </w:tr>
      <w:tr>
        <w:tc>
          <w:tcPr>
            <w:tcW w:type="dxa" w:w="4997"/>
            <w:vAlign w:val="center"/>
            <w:shd w:fill="F2F6F8"/>
          </w:tcPr>
          <w:p>
            <w:pPr>
              <w:spacing w:after="20"/>
            </w:pPr>
            <w:r/>
            <w:r>
              <w:rPr>
                <w:b w:val="0"/>
                <w:sz w:val="15"/>
              </w:rPr>
              <w:t>Date</w:t>
            </w:r>
          </w:p>
        </w:tc>
        <w:tc>
          <w:tcPr>
            <w:tcW w:type="dxa" w:w="4997"/>
            <w:vAlign w:val="center"/>
            <w:shd w:fill="F2F6F8"/>
          </w:tcPr>
          <w:p>
            <w:pPr>
              <w:spacing w:after="20"/>
            </w:pPr>
            <w:r/>
            <w:r>
              <w:rPr>
                <w:b w:val="0"/>
                <w:sz w:val="15"/>
              </w:rPr>
              <w:t>9 October 2026</w:t>
            </w:r>
          </w:p>
        </w:tc>
      </w:tr>
      <w:tr>
        <w:tc>
          <w:tcPr>
            <w:tcW w:type="dxa" w:w="4997"/>
            <w:vAlign w:val="center"/>
          </w:tcPr>
          <w:p>
            <w:pPr>
              <w:spacing w:after="20"/>
            </w:pPr>
            <w:r/>
            <w:r>
              <w:rPr>
                <w:b w:val="0"/>
                <w:sz w:val="15"/>
              </w:rPr>
              <w:t>Product</w:t>
            </w:r>
          </w:p>
        </w:tc>
        <w:tc>
          <w:tcPr>
            <w:tcW w:type="dxa" w:w="4997"/>
            <w:vAlign w:val="center"/>
          </w:tcPr>
          <w:p>
            <w:pPr>
              <w:spacing w:after="20"/>
            </w:pPr>
            <w:r/>
            <w:r>
              <w:rPr>
                <w:b w:val="0"/>
                <w:sz w:val="15"/>
              </w:rPr>
              <w:t>JalDrishti (जलदृष्टि)</w:t>
            </w:r>
          </w:p>
        </w:tc>
      </w:tr>
      <w:tr>
        <w:tc>
          <w:tcPr>
            <w:tcW w:type="dxa" w:w="4997"/>
            <w:vAlign w:val="center"/>
            <w:shd w:fill="F2F6F8"/>
          </w:tcPr>
          <w:p>
            <w:pPr>
              <w:spacing w:after="20"/>
            </w:pPr>
            <w:r/>
            <w:r>
              <w:rPr>
                <w:b w:val="0"/>
                <w:sz w:val="15"/>
              </w:rPr>
              <w:t>Pilot geography</w:t>
            </w:r>
          </w:p>
        </w:tc>
        <w:tc>
          <w:tcPr>
            <w:tcW w:type="dxa" w:w="4997"/>
            <w:vAlign w:val="center"/>
            <w:shd w:fill="F2F6F8"/>
          </w:tcPr>
          <w:p>
            <w:pPr>
              <w:spacing w:after="20"/>
            </w:pPr>
            <w:r/>
            <w:r>
              <w:rPr>
                <w:b w:val="0"/>
                <w:sz w:val="15"/>
              </w:rPr>
              <w:t>Bundelkhand region, Madhya Pradesh, India — exact districts/blocks to be approved</w:t>
            </w:r>
          </w:p>
        </w:tc>
      </w:tr>
      <w:tr>
        <w:tc>
          <w:tcPr>
            <w:tcW w:type="dxa" w:w="4997"/>
            <w:vAlign w:val="center"/>
          </w:tcPr>
          <w:p>
            <w:pPr>
              <w:spacing w:after="20"/>
            </w:pPr>
            <w:r/>
            <w:r>
              <w:rPr>
                <w:b w:val="0"/>
                <w:sz w:val="15"/>
              </w:rPr>
              <w:t>Primary users</w:t>
            </w:r>
          </w:p>
        </w:tc>
        <w:tc>
          <w:tcPr>
            <w:tcW w:type="dxa" w:w="4997"/>
            <w:vAlign w:val="center"/>
          </w:tcPr>
          <w:p>
            <w:pPr>
              <w:spacing w:after="20"/>
            </w:pPr>
            <w:r/>
            <w:r>
              <w:rPr>
                <w:b w:val="0"/>
                <w:sz w:val="15"/>
              </w:rPr>
              <w:t>District Collectors, Block Development Officers (BDOs), Gram Pradhans, Jal Samiti members</w:t>
            </w:r>
          </w:p>
        </w:tc>
      </w:tr>
      <w:tr>
        <w:tc>
          <w:tcPr>
            <w:tcW w:type="dxa" w:w="4997"/>
            <w:vAlign w:val="center"/>
            <w:shd w:fill="F2F6F8"/>
          </w:tcPr>
          <w:p>
            <w:pPr>
              <w:spacing w:after="20"/>
            </w:pPr>
            <w:r/>
            <w:r>
              <w:rPr>
                <w:b w:val="0"/>
                <w:sz w:val="15"/>
              </w:rPr>
              <w:t>Source basis</w:t>
            </w:r>
          </w:p>
        </w:tc>
        <w:tc>
          <w:tcPr>
            <w:tcW w:type="dxa" w:w="4997"/>
            <w:vAlign w:val="center"/>
            <w:shd w:fill="F2F6F8"/>
          </w:tcPr>
          <w:p>
            <w:pPr>
              <w:spacing w:after="20"/>
            </w:pPr>
            <w:r/>
            <w:r>
              <w:rPr>
                <w:b w:val="0"/>
                <w:sz w:val="15"/>
              </w:rPr>
              <w:t>User-provided JalDrishti PRD/TRD, including illustrative data pipeline, ML scoring, schema and alert code</w:t>
            </w:r>
          </w:p>
        </w:tc>
      </w:tr>
      <w:tr>
        <w:tc>
          <w:tcPr>
            <w:tcW w:type="dxa" w:w="4997"/>
            <w:vAlign w:val="center"/>
          </w:tcPr>
          <w:p>
            <w:pPr>
              <w:spacing w:after="20"/>
            </w:pPr>
            <w:r/>
            <w:r>
              <w:rPr>
                <w:b w:val="0"/>
                <w:sz w:val="15"/>
              </w:rPr>
              <w:t>Status</w:t>
            </w:r>
          </w:p>
        </w:tc>
        <w:tc>
          <w:tcPr>
            <w:tcW w:type="dxa" w:w="4997"/>
            <w:vAlign w:val="center"/>
          </w:tcPr>
          <w:p>
            <w:pPr>
              <w:spacing w:after="20"/>
            </w:pPr>
            <w:r/>
            <w:r>
              <w:rPr>
                <w:b w:val="0"/>
                <w:sz w:val="15"/>
              </w:rPr>
              <w:t>Proposed requirements; scientific, operational, data-access and policy assumptions require validation</w:t>
            </w:r>
          </w:p>
        </w:tc>
      </w:tr>
    </w:tbl>
    <w:p/>
    <w:p>
      <w:pPr>
        <w:spacing w:before="700"/>
        <w:jc w:val="center"/>
      </w:pPr>
      <w:r>
        <w:rPr>
          <w:b/>
          <w:color w:val="B45309"/>
          <w:sz w:val="24"/>
        </w:rPr>
        <w:t>IMPORTANT PRODUCT SAFEGUARD</w:t>
      </w:r>
    </w:p>
    <w:p>
      <w:pPr>
        <w:jc w:val="center"/>
      </w:pPr>
      <w:r>
        <w:t>JalDrishti must not present unvalidated satellite-derived block-level estimates or “days-to-crisis” values as authoritative groundwater measurements. Pilot use is decision support, with visible uncertainty and human review.</w:t>
      </w:r>
    </w:p>
    <w:p>
      <w:r>
        <w:br w:type="page"/>
      </w:r>
    </w:p>
    <w:p>
      <w:pPr>
        <w:pStyle w:val="Heading1"/>
        <w:keepNext/>
      </w:pPr>
      <w:r>
        <w:t>Document Control</w:t>
      </w:r>
    </w:p>
    <w:tbl>
      <w:tblPr>
        <w:tblStyle w:val="TableGrid"/>
        <w:tblW w:type="auto" w:w="0"/>
        <w:tblLayout w:type="autofit"/>
        <w:tblLook w:firstColumn="1" w:firstRow="1" w:lastColumn="0" w:lastRow="0" w:noHBand="0" w:noVBand="1" w:val="04A0"/>
      </w:tblPr>
      <w:tblGrid>
        <w:gridCol w:w="4997"/>
        <w:gridCol w:w="4997"/>
      </w:tblGrid>
      <w:tr>
        <w:tc>
          <w:tcPr>
            <w:tcW w:type="dxa" w:w="4997"/>
            <w:vAlign w:val="center"/>
            <w:shd w:fill="123B5D"/>
          </w:tcPr>
          <w:p>
            <w:pPr>
              <w:spacing w:after="20"/>
            </w:pPr>
            <w:r/>
            <w:r>
              <w:rPr>
                <w:b/>
                <w:color w:val="FFFFFF"/>
                <w:sz w:val="16"/>
              </w:rPr>
              <w:t>Item</w:t>
            </w:r>
          </w:p>
        </w:tc>
        <w:tc>
          <w:tcPr>
            <w:tcW w:type="dxa" w:w="4997"/>
            <w:vAlign w:val="center"/>
            <w:shd w:fill="123B5D"/>
          </w:tcPr>
          <w:p>
            <w:pPr>
              <w:spacing w:after="20"/>
            </w:pPr>
            <w:r/>
            <w:r>
              <w:rPr>
                <w:b/>
                <w:color w:val="FFFFFF"/>
                <w:sz w:val="16"/>
              </w:rPr>
              <w:t>Definition</w:t>
            </w:r>
          </w:p>
        </w:tc>
      </w:tr>
      <w:tr>
        <w:tc>
          <w:tcPr>
            <w:tcW w:type="dxa" w:w="4997"/>
            <w:vAlign w:val="center"/>
          </w:tcPr>
          <w:p>
            <w:pPr>
              <w:spacing w:after="20"/>
            </w:pPr>
            <w:r/>
            <w:r>
              <w:rPr>
                <w:b w:val="0"/>
                <w:sz w:val="15"/>
              </w:rPr>
              <w:t>Purpose</w:t>
            </w:r>
          </w:p>
        </w:tc>
        <w:tc>
          <w:tcPr>
            <w:tcW w:type="dxa" w:w="4997"/>
            <w:vAlign w:val="center"/>
          </w:tcPr>
          <w:p>
            <w:pPr>
              <w:spacing w:after="20"/>
            </w:pPr>
            <w:r/>
            <w:r>
              <w:rPr>
                <w:b w:val="0"/>
                <w:sz w:val="15"/>
              </w:rPr>
              <w:t>Define user needs, product scope, measurable requirements, acceptance criteria, constraints, rollout and validation gates for JalDrishti.</w:t>
            </w:r>
          </w:p>
        </w:tc>
      </w:tr>
      <w:tr>
        <w:tc>
          <w:tcPr>
            <w:tcW w:type="dxa" w:w="4997"/>
            <w:vAlign w:val="center"/>
            <w:shd w:fill="F2F6F8"/>
          </w:tcPr>
          <w:p>
            <w:pPr>
              <w:spacing w:after="20"/>
            </w:pPr>
            <w:r/>
            <w:r>
              <w:rPr>
                <w:b w:val="0"/>
                <w:sz w:val="15"/>
              </w:rPr>
              <w:t>Intended audience</w:t>
            </w:r>
          </w:p>
        </w:tc>
        <w:tc>
          <w:tcPr>
            <w:tcW w:type="dxa" w:w="4997"/>
            <w:vAlign w:val="center"/>
            <w:shd w:fill="F2F6F8"/>
          </w:tcPr>
          <w:p>
            <w:pPr>
              <w:spacing w:after="20"/>
            </w:pPr>
            <w:r/>
            <w:r>
              <w:rPr>
                <w:b w:val="0"/>
                <w:sz w:val="15"/>
              </w:rPr>
              <w:t>Product owner, groundwater/hydrogeology experts, remote-sensing scientists, state/district administration, engineers, data-protection/security reviewers and pilot partners.</w:t>
            </w:r>
          </w:p>
        </w:tc>
      </w:tr>
      <w:tr>
        <w:tc>
          <w:tcPr>
            <w:tcW w:type="dxa" w:w="4997"/>
            <w:vAlign w:val="center"/>
          </w:tcPr>
          <w:p>
            <w:pPr>
              <w:spacing w:after="20"/>
            </w:pPr>
            <w:r/>
            <w:r>
              <w:rPr>
                <w:b w:val="0"/>
                <w:sz w:val="15"/>
              </w:rPr>
              <w:t>Source-of-truth hierarchy</w:t>
            </w:r>
          </w:p>
        </w:tc>
        <w:tc>
          <w:tcPr>
            <w:tcW w:type="dxa" w:w="4997"/>
            <w:vAlign w:val="center"/>
          </w:tcPr>
          <w:p>
            <w:pPr>
              <w:spacing w:after="20"/>
            </w:pPr>
            <w:r/>
            <w:r>
              <w:rPr>
                <w:b w:val="0"/>
                <w:sz w:val="15"/>
              </w:rPr>
              <w:t>Official programme guidelines and data-provider documentation; validated ground observations; approved model card and validation reports; this PRD; implementation code.</w:t>
            </w:r>
          </w:p>
        </w:tc>
      </w:tr>
      <w:tr>
        <w:tc>
          <w:tcPr>
            <w:tcW w:type="dxa" w:w="4997"/>
            <w:vAlign w:val="center"/>
            <w:shd w:fill="F2F6F8"/>
          </w:tcPr>
          <w:p>
            <w:pPr>
              <w:spacing w:after="20"/>
            </w:pPr>
            <w:r/>
            <w:r>
              <w:rPr>
                <w:b w:val="0"/>
                <w:sz w:val="15"/>
              </w:rPr>
              <w:t>Change control</w:t>
            </w:r>
          </w:p>
        </w:tc>
        <w:tc>
          <w:tcPr>
            <w:tcW w:type="dxa" w:w="4997"/>
            <w:vAlign w:val="center"/>
            <w:shd w:fill="F2F6F8"/>
          </w:tcPr>
          <w:p>
            <w:pPr>
              <w:spacing w:after="20"/>
            </w:pPr>
            <w:r/>
            <w:r>
              <w:rPr>
                <w:b w:val="0"/>
                <w:sz w:val="15"/>
              </w:rPr>
              <w:t>Changes to risk labels, thresholds, scientific claims, alert content or scheme recommendations require documented review and approval.</w:t>
            </w:r>
          </w:p>
        </w:tc>
      </w:tr>
      <w:tr>
        <w:tc>
          <w:tcPr>
            <w:tcW w:type="dxa" w:w="4997"/>
            <w:vAlign w:val="center"/>
          </w:tcPr>
          <w:p>
            <w:pPr>
              <w:spacing w:after="20"/>
            </w:pPr>
            <w:r/>
            <w:r>
              <w:rPr>
                <w:b w:val="0"/>
                <w:sz w:val="15"/>
              </w:rPr>
              <w:t>Terms</w:t>
            </w:r>
          </w:p>
        </w:tc>
        <w:tc>
          <w:tcPr>
            <w:tcW w:type="dxa" w:w="4997"/>
            <w:vAlign w:val="center"/>
          </w:tcPr>
          <w:p>
            <w:pPr>
              <w:spacing w:after="20"/>
            </w:pPr>
            <w:r/>
            <w:r>
              <w:rPr>
                <w:b w:val="0"/>
                <w:sz w:val="15"/>
              </w:rPr>
              <w:t>GSS = proposed Groundwater Stress Score. TWSA = Terrestrial Water Storage Anomaly. CGWB = Central Ground Water Board. IMD = India Meteorological Department. GEE = Google Earth Engine.</w:t>
            </w:r>
          </w:p>
        </w:tc>
      </w:tr>
    </w:tbl>
    <w:p/>
    <w:p>
      <w:pPr>
        <w:pStyle w:val="Heading2"/>
        <w:keepNext/>
      </w:pPr>
      <w:r>
        <w:t>How to Read This PRD</w:t>
      </w:r>
    </w:p>
    <w:p>
      <w:pPr>
        <w:pStyle w:val="ListBullet"/>
        <w:spacing w:after="40"/>
      </w:pPr>
      <w:r>
        <w:t>Source-derived: details present in the supplied JalDrishti PRD/TRD.</w:t>
      </w:r>
    </w:p>
    <w:p>
      <w:pPr>
        <w:pStyle w:val="ListBullet"/>
        <w:spacing w:after="40"/>
      </w:pPr>
      <w:r>
        <w:t>Recommended: requirements added to make the product safer, testable and operationally credible.</w:t>
      </w:r>
    </w:p>
    <w:p>
      <w:pPr>
        <w:pStyle w:val="ListBullet"/>
        <w:spacing w:after="40"/>
      </w:pPr>
      <w:r>
        <w:t>Assumption / open question: a decision or capability not established by the source and requiring confirmation.</w:t>
      </w:r>
    </w:p>
    <w:p>
      <w:pPr>
        <w:pStyle w:val="ListBullet"/>
        <w:spacing w:after="40"/>
      </w:pPr>
      <w:r>
        <w:t>All numeric targets in this document are proposed pilot targets unless explicitly marked as source-provided.</w:t>
      </w:r>
    </w:p>
    <w:p>
      <w:pPr>
        <w:pStyle w:val="Heading1"/>
        <w:keepNext/>
      </w:pPr>
      <w:r>
        <w:t>1. Executive Summary</w:t>
      </w:r>
    </w:p>
    <w:p>
      <w:r>
        <w:t>JalDrishti is proposed as a satellite-assisted groundwater-risk intelligence and governance-support platform for Madhya Pradesh, initially piloted in Bundelkhand. It aims to combine earth-observation indicators, rainfall and evapotranspiration context, available groundwater observations, geospatial boundaries and time-series analysis into a map-based dashboard and concise Hindi alerts for administrative and community stakeholders.</w:t>
      </w:r>
    </w:p>
    <w:p>
      <w:r>
        <w:t>The product’s differentiator is not merely a new satellite model. It is the operational loop: ingest and quality-check data; show where evidence indicates elevated water stress; explain confidence and limitations; route a reviewable alert to authorized officials; suggest actions from a maintained, official scheme catalogue; and record whether the alert was acknowledged and acted upon.</w:t>
      </w:r>
    </w:p>
    <w:p>
      <w:r>
        <w:t>The supplied source proposes GRACE-FO, IMD precipitation, Google Earth Engine products, CGWB observations, a spatial downscaler, an LSTM prediction model, a 0–100 GSS, a “days-to-crisis” estimate, a GIS dashboard and WhatsApp/SMS notifications. Those are the concept baseline, not validated product facts.</w:t>
      </w:r>
    </w:p>
    <w:p>
      <w:r>
        <w:t>Critical scientific constraint: GRACE/GRACE-FO measures changes in total terrestrial water storage at coarse spatial scales. It cannot by itself establish groundwater depth or reliable block-level aquifer reserves. High-resolution vegetation, evapotranspiration and soil-moisture proxies do not automatically solve this identifiability problem. Any block-level output must be framed as an estimated risk indicator and validated against independent groundwater-level and hydrogeological observations before operational use.</w:t>
      </w:r>
    </w:p>
    <w:p>
      <w:r>
        <w:t>Critical delivery constraint: the source’s GSS and days-to-crisis equations, fixed model architecture and example downscaling coefficients are unvalidated. They must not be used as authoritative thresholds or as evidence of a measured countdown. The MVP should prioritize data provenance, quality, interpretable indicators, baseline comparisons, confidence flags and human-reviewed alerts before enabling predictive claims.</w:t>
      </w:r>
    </w:p>
    <w:p>
      <w:r>
        <w:t>Recommended launch approach: build a transparent monitoring dashboard and data-quality foundation first; conduct a retrospective validation study; run a shadow-mode pilot in selected blocks; only then activate reviewed alerts. Scale to statewide coverage only after scientific, operational, accessibility, security and cost gates pass.</w:t>
      </w:r>
    </w:p>
    <w:p>
      <w:pPr>
        <w:pStyle w:val="Heading1"/>
        <w:keepNext/>
      </w:pPr>
      <w:r>
        <w:t>2. Product Context &amp; Problem Definition</w:t>
      </w:r>
    </w:p>
    <w:p>
      <w:pPr>
        <w:pStyle w:val="Heading2"/>
        <w:keepNext/>
      </w:pPr>
      <w:r>
        <w:t>2.1 Problem statement</w:t>
      </w:r>
    </w:p>
    <w:p>
      <w:r>
        <w:t>Groundwater management decisions can be constrained by observations that are sparse, delayed, difficult to compare across sources, or not delivered in an actionable form to local decision-makers. Administrators may need to prioritize monitoring, water conservation planning and public-service preparedness before local stress becomes acute. JalDrishti seeks to organize available evidence into a shared, geographically contextualized view and provide earlier signals for investigation and action.</w:t>
      </w:r>
    </w:p>
    <w:p>
      <w:pPr>
        <w:pStyle w:val="Heading2"/>
        <w:keepNext/>
      </w:pPr>
      <w:r>
        <w:t>2.2 Current-state pain points to validate</w:t>
      </w:r>
    </w:p>
    <w:p>
      <w:pPr>
        <w:pStyle w:val="ListBullet"/>
        <w:spacing w:after="40"/>
      </w:pPr>
      <w:r>
        <w:t>Groundwater observations may be temporally sparse or spatially uneven; actual coverage and refresh intervals in the pilot geography must be inventoried.</w:t>
      </w:r>
    </w:p>
    <w:p>
      <w:pPr>
        <w:pStyle w:val="ListBullet"/>
        <w:spacing w:after="40"/>
      </w:pPr>
      <w:r>
        <w:t>Remote-sensing datasets use different spatial resolutions, temporal cadences, units, processing methods and missing-data patterns.</w:t>
      </w:r>
    </w:p>
    <w:p>
      <w:pPr>
        <w:pStyle w:val="ListBullet"/>
        <w:spacing w:after="40"/>
      </w:pPr>
      <w:r>
        <w:t>A regional satellite signal can be misinterpreted when displayed at a smaller administrative unit without resolution and uncertainty warnings.</w:t>
      </w:r>
    </w:p>
    <w:p>
      <w:pPr>
        <w:pStyle w:val="ListBullet"/>
        <w:spacing w:after="40"/>
      </w:pPr>
      <w:r>
        <w:t>Officials need an understandable explanation of why a block is flagged, not only a color or single score.</w:t>
      </w:r>
    </w:p>
    <w:p>
      <w:pPr>
        <w:pStyle w:val="ListBullet"/>
        <w:spacing w:after="40"/>
      </w:pPr>
      <w:r>
        <w:t>Scheme names alone do not establish eligibility, funding availability, engineering feasibility or authority to sanction a specific intervention.</w:t>
      </w:r>
    </w:p>
    <w:p>
      <w:pPr>
        <w:pStyle w:val="ListBullet"/>
        <w:spacing w:after="40"/>
      </w:pPr>
      <w:r>
        <w:t>Field users may rely on basic smartphones, low bandwidth, SMS, or shared devices; digital literacy and language preferences must be tested.</w:t>
      </w:r>
    </w:p>
    <w:p>
      <w:pPr>
        <w:pStyle w:val="ListBullet"/>
        <w:spacing w:after="40"/>
      </w:pPr>
      <w:r>
        <w:t>Alerts can create harm if they are inaccurate, repeated, alarming, or framed as certainty.</w:t>
      </w:r>
    </w:p>
    <w:p>
      <w:pPr>
        <w:pStyle w:val="Heading2"/>
        <w:keepNext/>
      </w:pPr>
      <w:r>
        <w:t>2.3 Competitive position (source claim, not independently verified)</w:t>
      </w:r>
    </w:p>
    <w:p>
      <w:r>
        <w:t>The supplied document contrasts JalDrishti with academic models, hardware-based monitoring and manual reporting workflows. The asserted cost ranges, named competitor capabilities and operational deficits are not substantiated in the source. Treat the comparison as a hypothesis to verify through a structured landscape review, interviews and procurement/data-source review; do not publish it as a factual competitive claim without evidence.</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2498"/>
            <w:vAlign w:val="center"/>
            <w:shd w:fill="123B5D"/>
          </w:tcPr>
          <w:p>
            <w:pPr>
              <w:spacing w:after="20"/>
            </w:pPr>
            <w:r/>
            <w:r>
              <w:rPr>
                <w:b/>
                <w:color w:val="FFFFFF"/>
                <w:sz w:val="16"/>
              </w:rPr>
              <w:t>Alternative category</w:t>
            </w:r>
          </w:p>
        </w:tc>
        <w:tc>
          <w:tcPr>
            <w:tcW w:type="dxa" w:w="2498"/>
            <w:vAlign w:val="center"/>
            <w:shd w:fill="123B5D"/>
          </w:tcPr>
          <w:p>
            <w:pPr>
              <w:spacing w:after="20"/>
            </w:pPr>
            <w:r/>
            <w:r>
              <w:rPr>
                <w:b/>
                <w:color w:val="FFFFFF"/>
                <w:sz w:val="16"/>
              </w:rPr>
              <w:t>Potential strength</w:t>
            </w:r>
          </w:p>
        </w:tc>
        <w:tc>
          <w:tcPr>
            <w:tcW w:type="dxa" w:w="2498"/>
            <w:vAlign w:val="center"/>
            <w:shd w:fill="123B5D"/>
          </w:tcPr>
          <w:p>
            <w:pPr>
              <w:spacing w:after="20"/>
            </w:pPr>
            <w:r/>
            <w:r>
              <w:rPr>
                <w:b/>
                <w:color w:val="FFFFFF"/>
                <w:sz w:val="16"/>
              </w:rPr>
              <w:t>Potential limitation to investigate</w:t>
            </w:r>
          </w:p>
        </w:tc>
        <w:tc>
          <w:tcPr>
            <w:tcW w:type="dxa" w:w="2498"/>
            <w:vAlign w:val="center"/>
            <w:shd w:fill="123B5D"/>
          </w:tcPr>
          <w:p>
            <w:pPr>
              <w:spacing w:after="20"/>
            </w:pPr>
            <w:r/>
            <w:r>
              <w:rPr>
                <w:b/>
                <w:color w:val="FFFFFF"/>
                <w:sz w:val="16"/>
              </w:rPr>
              <w:t>JalDrishti response</w:t>
            </w:r>
          </w:p>
        </w:tc>
      </w:tr>
      <w:tr>
        <w:tc>
          <w:tcPr>
            <w:tcW w:type="dxa" w:w="2498"/>
            <w:vAlign w:val="center"/>
          </w:tcPr>
          <w:p>
            <w:pPr>
              <w:spacing w:after="20"/>
            </w:pPr>
            <w:r/>
            <w:r>
              <w:rPr>
                <w:b w:val="0"/>
                <w:sz w:val="15"/>
              </w:rPr>
              <w:t>Groundwater monitoring and official reporting</w:t>
            </w:r>
          </w:p>
        </w:tc>
        <w:tc>
          <w:tcPr>
            <w:tcW w:type="dxa" w:w="2498"/>
            <w:vAlign w:val="center"/>
          </w:tcPr>
          <w:p>
            <w:pPr>
              <w:spacing w:after="20"/>
            </w:pPr>
            <w:r/>
            <w:r>
              <w:rPr>
                <w:b w:val="0"/>
                <w:sz w:val="15"/>
              </w:rPr>
              <w:t>Ground observations may be authoritative and interpretable</w:t>
            </w:r>
          </w:p>
        </w:tc>
        <w:tc>
          <w:tcPr>
            <w:tcW w:type="dxa" w:w="2498"/>
            <w:vAlign w:val="center"/>
          </w:tcPr>
          <w:p>
            <w:pPr>
              <w:spacing w:after="20"/>
            </w:pPr>
            <w:r/>
            <w:r>
              <w:rPr>
                <w:b w:val="0"/>
                <w:sz w:val="15"/>
              </w:rPr>
              <w:t>Coverage, frequency, accessibility and workflow fit vary</w:t>
            </w:r>
          </w:p>
        </w:tc>
        <w:tc>
          <w:tcPr>
            <w:tcW w:type="dxa" w:w="2498"/>
            <w:vAlign w:val="center"/>
          </w:tcPr>
          <w:p>
            <w:pPr>
              <w:spacing w:after="20"/>
            </w:pPr>
            <w:r/>
            <w:r>
              <w:rPr>
                <w:b w:val="0"/>
                <w:sz w:val="15"/>
              </w:rPr>
              <w:t>Complement—not replace—ground measurements; show provenance and gaps</w:t>
            </w:r>
          </w:p>
        </w:tc>
      </w:tr>
      <w:tr>
        <w:tc>
          <w:tcPr>
            <w:tcW w:type="dxa" w:w="2498"/>
            <w:vAlign w:val="center"/>
            <w:shd w:fill="F2F6F8"/>
          </w:tcPr>
          <w:p>
            <w:pPr>
              <w:spacing w:after="20"/>
            </w:pPr>
            <w:r/>
            <w:r>
              <w:rPr>
                <w:b w:val="0"/>
                <w:sz w:val="15"/>
              </w:rPr>
              <w:t>Remote-sensing/research products</w:t>
            </w:r>
          </w:p>
        </w:tc>
        <w:tc>
          <w:tcPr>
            <w:tcW w:type="dxa" w:w="2498"/>
            <w:vAlign w:val="center"/>
            <w:shd w:fill="F2F6F8"/>
          </w:tcPr>
          <w:p>
            <w:pPr>
              <w:spacing w:after="20"/>
            </w:pPr>
            <w:r/>
            <w:r>
              <w:rPr>
                <w:b w:val="0"/>
                <w:sz w:val="15"/>
              </w:rPr>
              <w:t>Regional trend detection and scientific methods</w:t>
            </w:r>
          </w:p>
        </w:tc>
        <w:tc>
          <w:tcPr>
            <w:tcW w:type="dxa" w:w="2498"/>
            <w:vAlign w:val="center"/>
            <w:shd w:fill="F2F6F8"/>
          </w:tcPr>
          <w:p>
            <w:pPr>
              <w:spacing w:after="20"/>
            </w:pPr>
            <w:r/>
            <w:r>
              <w:rPr>
                <w:b w:val="0"/>
                <w:sz w:val="15"/>
              </w:rPr>
              <w:t>May not deliver local workflows or scheme tracking</w:t>
            </w:r>
          </w:p>
        </w:tc>
        <w:tc>
          <w:tcPr>
            <w:tcW w:type="dxa" w:w="2498"/>
            <w:vAlign w:val="center"/>
            <w:shd w:fill="F2F6F8"/>
          </w:tcPr>
          <w:p>
            <w:pPr>
              <w:spacing w:after="20"/>
            </w:pPr>
            <w:r/>
            <w:r>
              <w:rPr>
                <w:b w:val="0"/>
                <w:sz w:val="15"/>
              </w:rPr>
              <w:t>Translate validated signals into reviewed operational workflows</w:t>
            </w:r>
          </w:p>
        </w:tc>
      </w:tr>
      <w:tr>
        <w:tc>
          <w:tcPr>
            <w:tcW w:type="dxa" w:w="2498"/>
            <w:vAlign w:val="center"/>
          </w:tcPr>
          <w:p>
            <w:pPr>
              <w:spacing w:after="20"/>
            </w:pPr>
            <w:r/>
            <w:r>
              <w:rPr>
                <w:b w:val="0"/>
                <w:sz w:val="15"/>
              </w:rPr>
              <w:t>Sensor/IoT networks</w:t>
            </w:r>
          </w:p>
        </w:tc>
        <w:tc>
          <w:tcPr>
            <w:tcW w:type="dxa" w:w="2498"/>
            <w:vAlign w:val="center"/>
          </w:tcPr>
          <w:p>
            <w:pPr>
              <w:spacing w:after="20"/>
            </w:pPr>
            <w:r/>
            <w:r>
              <w:rPr>
                <w:b w:val="0"/>
                <w:sz w:val="15"/>
              </w:rPr>
              <w:t>Direct local measurements at instrumented sites</w:t>
            </w:r>
          </w:p>
        </w:tc>
        <w:tc>
          <w:tcPr>
            <w:tcW w:type="dxa" w:w="2498"/>
            <w:vAlign w:val="center"/>
          </w:tcPr>
          <w:p>
            <w:pPr>
              <w:spacing w:after="20"/>
            </w:pPr>
            <w:r/>
            <w:r>
              <w:rPr>
                <w:b w:val="0"/>
                <w:sz w:val="15"/>
              </w:rPr>
              <w:t>Deployment, maintenance and coverage costs</w:t>
            </w:r>
          </w:p>
        </w:tc>
        <w:tc>
          <w:tcPr>
            <w:tcW w:type="dxa" w:w="2498"/>
            <w:vAlign w:val="center"/>
          </w:tcPr>
          <w:p>
            <w:pPr>
              <w:spacing w:after="20"/>
            </w:pPr>
            <w:r/>
            <w:r>
              <w:rPr>
                <w:b w:val="0"/>
                <w:sz w:val="15"/>
              </w:rPr>
              <w:t>Use satellite data as a supplement; do not claim it eliminates the need for field measurements</w:t>
            </w:r>
          </w:p>
        </w:tc>
      </w:tr>
      <w:tr>
        <w:tc>
          <w:tcPr>
            <w:tcW w:type="dxa" w:w="2498"/>
            <w:vAlign w:val="center"/>
            <w:shd w:fill="F2F6F8"/>
          </w:tcPr>
          <w:p>
            <w:pPr>
              <w:spacing w:after="20"/>
            </w:pPr>
            <w:r/>
            <w:r>
              <w:rPr>
                <w:b w:val="0"/>
                <w:sz w:val="15"/>
              </w:rPr>
              <w:t>Manual/local knowledge</w:t>
            </w:r>
          </w:p>
        </w:tc>
        <w:tc>
          <w:tcPr>
            <w:tcW w:type="dxa" w:w="2498"/>
            <w:vAlign w:val="center"/>
            <w:shd w:fill="F2F6F8"/>
          </w:tcPr>
          <w:p>
            <w:pPr>
              <w:spacing w:after="20"/>
            </w:pPr>
            <w:r/>
            <w:r>
              <w:rPr>
                <w:b w:val="0"/>
                <w:sz w:val="15"/>
              </w:rPr>
              <w:t>Contextual expertise and community knowledge</w:t>
            </w:r>
          </w:p>
        </w:tc>
        <w:tc>
          <w:tcPr>
            <w:tcW w:type="dxa" w:w="2498"/>
            <w:vAlign w:val="center"/>
            <w:shd w:fill="F2F6F8"/>
          </w:tcPr>
          <w:p>
            <w:pPr>
              <w:spacing w:after="20"/>
            </w:pPr>
            <w:r/>
            <w:r>
              <w:rPr>
                <w:b w:val="0"/>
                <w:sz w:val="15"/>
              </w:rPr>
              <w:t>May be difficult to aggregate consistently</w:t>
            </w:r>
          </w:p>
        </w:tc>
        <w:tc>
          <w:tcPr>
            <w:tcW w:type="dxa" w:w="2498"/>
            <w:vAlign w:val="center"/>
            <w:shd w:fill="F2F6F8"/>
          </w:tcPr>
          <w:p>
            <w:pPr>
              <w:spacing w:after="20"/>
            </w:pPr>
            <w:r/>
            <w:r>
              <w:rPr>
                <w:b w:val="0"/>
                <w:sz w:val="15"/>
              </w:rPr>
              <w:t>Capture local observations and feedback as evidence, not as an afterthought</w:t>
            </w:r>
          </w:p>
        </w:tc>
      </w:tr>
    </w:tbl>
    <w:p/>
    <w:p>
      <w:pPr>
        <w:pStyle w:val="Heading1"/>
        <w:keepNext/>
      </w:pPr>
      <w:r>
        <w:t>3. Product Vision, Principles, Goals &amp; Non-Goals</w:t>
      </w:r>
    </w:p>
    <w:p>
      <w:pPr>
        <w:pStyle w:val="Heading2"/>
        <w:keepNext/>
      </w:pPr>
      <w:r>
        <w:t>3.1 Vision</w:t>
      </w:r>
    </w:p>
    <w:p>
      <w:r>
        <w:t>Help public authorities detect and investigate groundwater-stress signals earlier, understand the evidence and uncertainty behind them, and coordinate proportionate, locally appropriate responses.</w:t>
      </w:r>
    </w:p>
    <w:p>
      <w:pPr>
        <w:pStyle w:val="Heading2"/>
        <w:keepNext/>
      </w:pPr>
      <w:r>
        <w:t>3.2 Product principles</w:t>
      </w:r>
    </w:p>
    <w:p>
      <w:pPr>
        <w:pStyle w:val="ListBullet"/>
        <w:spacing w:after="40"/>
      </w:pPr>
      <w:r>
        <w:t>Evidence before prediction: no score or forecast without traceable inputs, a defined method and validation evidence.</w:t>
      </w:r>
    </w:p>
    <w:p>
      <w:pPr>
        <w:pStyle w:val="ListBullet"/>
        <w:spacing w:after="40"/>
      </w:pPr>
      <w:r>
        <w:t>Groundwater depth is not inferred from a satellite anomaly without an independently validated conversion model.</w:t>
      </w:r>
    </w:p>
    <w:p>
      <w:pPr>
        <w:pStyle w:val="ListBullet"/>
        <w:spacing w:after="40"/>
      </w:pPr>
      <w:r>
        <w:t>Uncertainty is a first-class interface element: data age, spatial support, confidence and known gaps appear alongside results.</w:t>
      </w:r>
    </w:p>
    <w:p>
      <w:pPr>
        <w:pStyle w:val="ListBullet"/>
        <w:spacing w:after="40"/>
      </w:pPr>
      <w:r>
        <w:t>Human accountability: the system recommends and documents; authorized people decide and approve.</w:t>
      </w:r>
    </w:p>
    <w:p>
      <w:pPr>
        <w:pStyle w:val="ListBullet"/>
        <w:spacing w:after="40"/>
      </w:pPr>
      <w:r>
        <w:t>No false precision: avoid exact countdowns or decimal-level estimates when the evidence does not support them.</w:t>
      </w:r>
    </w:p>
    <w:p>
      <w:pPr>
        <w:pStyle w:val="ListBullet"/>
        <w:spacing w:after="40"/>
      </w:pPr>
      <w:r>
        <w:t>Official scheme integrity: maintain versioned, source-linked rules and require human eligibility checks.</w:t>
      </w:r>
    </w:p>
    <w:p>
      <w:pPr>
        <w:pStyle w:val="ListBullet"/>
        <w:spacing w:after="40"/>
      </w:pPr>
      <w:r>
        <w:t>Complement existing systems and field knowledge; do not frame satellite monitoring as a substitute for measurement wells.</w:t>
      </w:r>
    </w:p>
    <w:p>
      <w:pPr>
        <w:pStyle w:val="ListBullet"/>
        <w:spacing w:after="40"/>
      </w:pPr>
      <w:r>
        <w:t>Inclusive delivery: Hindi-first content, accessible visuals, low-bandwidth design and SMS fallback where approved.</w:t>
      </w:r>
    </w:p>
    <w:p>
      <w:pPr>
        <w:pStyle w:val="ListBullet"/>
        <w:spacing w:after="40"/>
      </w:pPr>
      <w:r>
        <w:t>Auditability: every displayed metric and sent alert can be traced to source data, code/model version and approval history.</w:t>
      </w:r>
    </w:p>
    <w:p>
      <w:pPr>
        <w:pStyle w:val="Heading2"/>
        <w:keepNext/>
      </w:pPr>
      <w:r>
        <w:t>3.3 Goals</w:t>
      </w:r>
    </w:p>
    <w:p>
      <w:pPr>
        <w:pStyle w:val="ListBullet"/>
        <w:spacing w:after="40"/>
      </w:pPr>
      <w:r>
        <w:t>Provide a reliable block/district GIS view of validated water-stress indicators and their data freshness.</w:t>
      </w:r>
    </w:p>
    <w:p>
      <w:pPr>
        <w:pStyle w:val="ListBullet"/>
        <w:spacing w:after="40"/>
      </w:pPr>
      <w:r>
        <w:t>Combine relevant datasets through reproducible, versioned pipelines with quality checks.</w:t>
      </w:r>
    </w:p>
    <w:p>
      <w:pPr>
        <w:pStyle w:val="ListBullet"/>
        <w:spacing w:after="40"/>
      </w:pPr>
      <w:r>
        <w:t>Establish whether selected indicators can predict independently observed groundwater changes at a useful lead time.</w:t>
      </w:r>
    </w:p>
    <w:p>
      <w:pPr>
        <w:pStyle w:val="ListBullet"/>
        <w:spacing w:after="40"/>
      </w:pPr>
      <w:r>
        <w:t>Deliver concise, comprehensible Hindi alerts to authorized recipients after configured validation and approval gates.</w:t>
      </w:r>
    </w:p>
    <w:p>
      <w:pPr>
        <w:pStyle w:val="ListBullet"/>
        <w:spacing w:after="40"/>
      </w:pPr>
      <w:r>
        <w:t>Support prioritization and follow-up through evidence-backed action suggestions and an auditable action log.</w:t>
      </w:r>
    </w:p>
    <w:p>
      <w:pPr>
        <w:pStyle w:val="ListBullet"/>
        <w:spacing w:after="40"/>
      </w:pPr>
      <w:r>
        <w:t>Measure the usefulness, false-alert burden, data completeness, operational adoption and intervention follow-through during a controlled pilot.</w:t>
      </w:r>
    </w:p>
    <w:p>
      <w:pPr>
        <w:pStyle w:val="Heading2"/>
        <w:keepNext/>
      </w:pPr>
      <w:r>
        <w:t>3.4 Non-goals for MVP</w:t>
      </w:r>
    </w:p>
    <w:p>
      <w:pPr>
        <w:pStyle w:val="ListBullet"/>
        <w:spacing w:after="40"/>
      </w:pPr>
      <w:r>
        <w:t>Guaranteeing a number of days of groundwater remaining in a block or village.</w:t>
      </w:r>
    </w:p>
    <w:p>
      <w:pPr>
        <w:pStyle w:val="ListBullet"/>
        <w:spacing w:after="40"/>
      </w:pPr>
      <w:r>
        <w:t>Replacing CGWB, state groundwater department, IMD or local measurement programmes.</w:t>
      </w:r>
    </w:p>
    <w:p>
      <w:pPr>
        <w:pStyle w:val="ListBullet"/>
        <w:spacing w:after="40"/>
      </w:pPr>
      <w:r>
        <w:t>Automatically sanctioning, financing or ordering public works.</w:t>
      </w:r>
    </w:p>
    <w:p>
      <w:pPr>
        <w:pStyle w:val="ListBullet"/>
        <w:spacing w:after="40"/>
      </w:pPr>
      <w:r>
        <w:t>Automatically prescribing a crop switch for every farmer or block.</w:t>
      </w:r>
    </w:p>
    <w:p>
      <w:pPr>
        <w:pStyle w:val="ListBullet"/>
        <w:spacing w:after="40"/>
      </w:pPr>
      <w:r>
        <w:t>Claiming all 313 blocks can be covered at no cost; compute, data, messaging, operations and support costs must be modelled.</w:t>
      </w:r>
    </w:p>
    <w:p>
      <w:pPr>
        <w:pStyle w:val="ListBullet"/>
        <w:spacing w:after="40"/>
      </w:pPr>
      <w:r>
        <w:t>Providing household-level groundwater predictions from regional satellite signals.</w:t>
      </w:r>
    </w:p>
    <w:p>
      <w:pPr>
        <w:pStyle w:val="ListBullet"/>
        <w:spacing w:after="40"/>
      </w:pPr>
      <w:r>
        <w:t>Using unvalidated ML outputs for emergency declarations, legal decisions or denial of public services.</w:t>
      </w:r>
    </w:p>
    <w:p>
      <w:pPr>
        <w:pStyle w:val="Heading1"/>
        <w:keepNext/>
      </w:pPr>
      <w:r>
        <w:t>4. Scope &amp; Release Strategy</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23B5D"/>
          </w:tcPr>
          <w:p>
            <w:pPr>
              <w:spacing w:after="20"/>
            </w:pPr>
            <w:r/>
            <w:r>
              <w:rPr>
                <w:b/>
                <w:color w:val="FFFFFF"/>
                <w:sz w:val="16"/>
              </w:rPr>
              <w:t>Release</w:t>
            </w:r>
          </w:p>
        </w:tc>
        <w:tc>
          <w:tcPr>
            <w:tcW w:type="dxa" w:w="3331"/>
            <w:vAlign w:val="center"/>
            <w:shd w:fill="123B5D"/>
          </w:tcPr>
          <w:p>
            <w:pPr>
              <w:spacing w:after="20"/>
            </w:pPr>
            <w:r/>
            <w:r>
              <w:rPr>
                <w:b/>
                <w:color w:val="FFFFFF"/>
                <w:sz w:val="16"/>
              </w:rPr>
              <w:t>Scope</w:t>
            </w:r>
          </w:p>
        </w:tc>
        <w:tc>
          <w:tcPr>
            <w:tcW w:type="dxa" w:w="3331"/>
            <w:vAlign w:val="center"/>
            <w:shd w:fill="123B5D"/>
          </w:tcPr>
          <w:p>
            <w:pPr>
              <w:spacing w:after="20"/>
            </w:pPr>
            <w:r/>
            <w:r>
              <w:rPr>
                <w:b/>
                <w:color w:val="FFFFFF"/>
                <w:sz w:val="16"/>
              </w:rPr>
              <w:t>Exit gate</w:t>
            </w:r>
          </w:p>
        </w:tc>
      </w:tr>
      <w:tr>
        <w:tc>
          <w:tcPr>
            <w:tcW w:type="dxa" w:w="3331"/>
            <w:vAlign w:val="center"/>
          </w:tcPr>
          <w:p>
            <w:pPr>
              <w:spacing w:after="20"/>
            </w:pPr>
            <w:r/>
            <w:r>
              <w:rPr>
                <w:b w:val="0"/>
                <w:sz w:val="15"/>
              </w:rPr>
              <w:t>Phase 0 — Feasibility &amp; data audit</w:t>
            </w:r>
          </w:p>
        </w:tc>
        <w:tc>
          <w:tcPr>
            <w:tcW w:type="dxa" w:w="3331"/>
            <w:vAlign w:val="center"/>
          </w:tcPr>
          <w:p>
            <w:pPr>
              <w:spacing w:after="20"/>
            </w:pPr>
            <w:r/>
            <w:r>
              <w:rPr>
                <w:b w:val="0"/>
                <w:sz w:val="15"/>
              </w:rPr>
              <w:t>Confirm data rights/access, boundary data, well-observation availability, stakeholder workflows, baseline methods and pilot locations.</w:t>
            </w:r>
          </w:p>
        </w:tc>
        <w:tc>
          <w:tcPr>
            <w:tcW w:type="dxa" w:w="3331"/>
            <w:vAlign w:val="center"/>
          </w:tcPr>
          <w:p>
            <w:pPr>
              <w:spacing w:after="20"/>
            </w:pPr>
            <w:r/>
            <w:r>
              <w:rPr>
                <w:b w:val="0"/>
                <w:sz w:val="15"/>
              </w:rPr>
              <w:t>Signed data inventory; science review; measurable validation plan; cost estimate.</w:t>
            </w:r>
          </w:p>
        </w:tc>
      </w:tr>
      <w:tr>
        <w:tc>
          <w:tcPr>
            <w:tcW w:type="dxa" w:w="3331"/>
            <w:vAlign w:val="center"/>
            <w:shd w:fill="F2F6F8"/>
          </w:tcPr>
          <w:p>
            <w:pPr>
              <w:spacing w:after="20"/>
            </w:pPr>
            <w:r/>
            <w:r>
              <w:rPr>
                <w:b w:val="0"/>
                <w:sz w:val="15"/>
              </w:rPr>
              <w:t>Phase 1 — Monitoring MVP</w:t>
            </w:r>
          </w:p>
        </w:tc>
        <w:tc>
          <w:tcPr>
            <w:tcW w:type="dxa" w:w="3331"/>
            <w:vAlign w:val="center"/>
            <w:shd w:fill="F2F6F8"/>
          </w:tcPr>
          <w:p>
            <w:pPr>
              <w:spacing w:after="20"/>
            </w:pPr>
            <w:r/>
            <w:r>
              <w:rPr>
                <w:b w:val="0"/>
                <w:sz w:val="15"/>
              </w:rPr>
              <w:t>Authenticated dashboard; administrative map; source metadata; rainfall/vegetation/ET and available groundwater observations; historical charts; data freshness and missingness; manual review notes.</w:t>
            </w:r>
          </w:p>
        </w:tc>
        <w:tc>
          <w:tcPr>
            <w:tcW w:type="dxa" w:w="3331"/>
            <w:vAlign w:val="center"/>
            <w:shd w:fill="F2F6F8"/>
          </w:tcPr>
          <w:p>
            <w:pPr>
              <w:spacing w:after="20"/>
            </w:pPr>
            <w:r/>
            <w:r>
              <w:rPr>
                <w:b w:val="0"/>
                <w:sz w:val="15"/>
              </w:rPr>
              <w:t>Reproducible ingestion; no misleading groundwater claims; usability and security checks passed.</w:t>
            </w:r>
          </w:p>
        </w:tc>
      </w:tr>
      <w:tr>
        <w:tc>
          <w:tcPr>
            <w:tcW w:type="dxa" w:w="3331"/>
            <w:vAlign w:val="center"/>
          </w:tcPr>
          <w:p>
            <w:pPr>
              <w:spacing w:after="20"/>
            </w:pPr>
            <w:r/>
            <w:r>
              <w:rPr>
                <w:b w:val="0"/>
                <w:sz w:val="15"/>
              </w:rPr>
              <w:t>Phase 2 — Retrospective model validation</w:t>
            </w:r>
          </w:p>
        </w:tc>
        <w:tc>
          <w:tcPr>
            <w:tcW w:type="dxa" w:w="3331"/>
            <w:vAlign w:val="center"/>
          </w:tcPr>
          <w:p>
            <w:pPr>
              <w:spacing w:after="20"/>
            </w:pPr>
            <w:r/>
            <w:r>
              <w:rPr>
                <w:b w:val="0"/>
                <w:sz w:val="15"/>
              </w:rPr>
              <w:t>Compare candidate indicators/models against held-out observed groundwater levels and relevant outcomes; benchmark against simple baselines.</w:t>
            </w:r>
          </w:p>
        </w:tc>
        <w:tc>
          <w:tcPr>
            <w:tcW w:type="dxa" w:w="3331"/>
            <w:vAlign w:val="center"/>
          </w:tcPr>
          <w:p>
            <w:pPr>
              <w:spacing w:after="20"/>
            </w:pPr>
            <w:r/>
            <w:r>
              <w:rPr>
                <w:b w:val="0"/>
                <w:sz w:val="15"/>
              </w:rPr>
              <w:t>Independent validation report, calibration, error bounds and agreed operational utility threshold.</w:t>
            </w:r>
          </w:p>
        </w:tc>
      </w:tr>
      <w:tr>
        <w:tc>
          <w:tcPr>
            <w:tcW w:type="dxa" w:w="3331"/>
            <w:vAlign w:val="center"/>
            <w:shd w:fill="F2F6F8"/>
          </w:tcPr>
          <w:p>
            <w:pPr>
              <w:spacing w:after="20"/>
            </w:pPr>
            <w:r/>
            <w:r>
              <w:rPr>
                <w:b w:val="0"/>
                <w:sz w:val="15"/>
              </w:rPr>
              <w:t>Phase 3 — Shadow-mode risk signals</w:t>
            </w:r>
          </w:p>
        </w:tc>
        <w:tc>
          <w:tcPr>
            <w:tcW w:type="dxa" w:w="3331"/>
            <w:vAlign w:val="center"/>
            <w:shd w:fill="F2F6F8"/>
          </w:tcPr>
          <w:p>
            <w:pPr>
              <w:spacing w:after="20"/>
            </w:pPr>
            <w:r/>
            <w:r>
              <w:rPr>
                <w:b w:val="0"/>
                <w:sz w:val="15"/>
              </w:rPr>
              <w:t>Generate internal risk classifications without automatic public/field dispatch; expert review and feedback capture.</w:t>
            </w:r>
          </w:p>
        </w:tc>
        <w:tc>
          <w:tcPr>
            <w:tcW w:type="dxa" w:w="3331"/>
            <w:vAlign w:val="center"/>
            <w:shd w:fill="F2F6F8"/>
          </w:tcPr>
          <w:p>
            <w:pPr>
              <w:spacing w:after="20"/>
            </w:pPr>
            <w:r/>
            <w:r>
              <w:rPr>
                <w:b w:val="0"/>
                <w:sz w:val="15"/>
              </w:rPr>
              <w:t>Alert precision/recall, calibration and false-alert burden acceptable to pilot governance group.</w:t>
            </w:r>
          </w:p>
        </w:tc>
      </w:tr>
      <w:tr>
        <w:tc>
          <w:tcPr>
            <w:tcW w:type="dxa" w:w="3331"/>
            <w:vAlign w:val="center"/>
          </w:tcPr>
          <w:p>
            <w:pPr>
              <w:spacing w:after="20"/>
            </w:pPr>
            <w:r/>
            <w:r>
              <w:rPr>
                <w:b w:val="0"/>
                <w:sz w:val="15"/>
              </w:rPr>
              <w:t>Phase 4 — Reviewed alerts &amp; action tracking</w:t>
            </w:r>
          </w:p>
        </w:tc>
        <w:tc>
          <w:tcPr>
            <w:tcW w:type="dxa" w:w="3331"/>
            <w:vAlign w:val="center"/>
          </w:tcPr>
          <w:p>
            <w:pPr>
              <w:spacing w:after="20"/>
            </w:pPr>
            <w:r/>
            <w:r>
              <w:rPr>
                <w:b w:val="0"/>
                <w:sz w:val="15"/>
              </w:rPr>
              <w:t>Approved Hindi WhatsApp/SMS alerts; role-based recipients; acknowledgement, escalation and action log; versioned scheme catalogue.</w:t>
            </w:r>
          </w:p>
        </w:tc>
        <w:tc>
          <w:tcPr>
            <w:tcW w:type="dxa" w:w="3331"/>
            <w:vAlign w:val="center"/>
          </w:tcPr>
          <w:p>
            <w:pPr>
              <w:spacing w:after="20"/>
            </w:pPr>
            <w:r/>
            <w:r>
              <w:rPr>
                <w:b w:val="0"/>
                <w:sz w:val="15"/>
              </w:rPr>
              <w:t>Operational approval, consent/recipient governance, delivery monitoring and rollback tested.</w:t>
            </w:r>
          </w:p>
        </w:tc>
      </w:tr>
      <w:tr>
        <w:tc>
          <w:tcPr>
            <w:tcW w:type="dxa" w:w="3331"/>
            <w:vAlign w:val="center"/>
            <w:shd w:fill="F2F6F8"/>
          </w:tcPr>
          <w:p>
            <w:pPr>
              <w:spacing w:after="20"/>
            </w:pPr>
            <w:r/>
            <w:r>
              <w:rPr>
                <w:b w:val="0"/>
                <w:sz w:val="15"/>
              </w:rPr>
              <w:t>Phase 5 — Controlled expansion</w:t>
            </w:r>
          </w:p>
        </w:tc>
        <w:tc>
          <w:tcPr>
            <w:tcW w:type="dxa" w:w="3331"/>
            <w:vAlign w:val="center"/>
            <w:shd w:fill="F2F6F8"/>
          </w:tcPr>
          <w:p>
            <w:pPr>
              <w:spacing w:after="20"/>
            </w:pPr>
            <w:r/>
            <w:r>
              <w:rPr>
                <w:b w:val="0"/>
                <w:sz w:val="15"/>
              </w:rPr>
              <w:t>Add blocks/districts and more robust integrations; support workload, costs, data governance and model monitoring.</w:t>
            </w:r>
          </w:p>
        </w:tc>
        <w:tc>
          <w:tcPr>
            <w:tcW w:type="dxa" w:w="3331"/>
            <w:vAlign w:val="center"/>
            <w:shd w:fill="F2F6F8"/>
          </w:tcPr>
          <w:p>
            <w:pPr>
              <w:spacing w:after="20"/>
            </w:pPr>
            <w:r/>
            <w:r>
              <w:rPr>
                <w:b w:val="0"/>
                <w:sz w:val="15"/>
              </w:rPr>
              <w:t>Each expansion passes readiness gates; no statewide release solely because the software scales.</w:t>
            </w:r>
          </w:p>
        </w:tc>
      </w:tr>
    </w:tbl>
    <w:p/>
    <w:p>
      <w:pPr>
        <w:pStyle w:val="Heading2"/>
        <w:keepNext/>
      </w:pPr>
      <w:r>
        <w:t>4.1 MVP boundaries</w:t>
      </w:r>
    </w:p>
    <w:p>
      <w:r>
        <w:t>The MVP should answer: What evidence is available for this block? How recent and complete is it? How does it compare with its own history and nearby context? What is the confidence and spatial support? What should an official review next? A predictive risk label is only included if a documented validation gate has passed.</w:t>
      </w:r>
    </w:p>
    <w:p>
      <w:pPr>
        <w:pStyle w:val="Heading2"/>
        <w:keepNext/>
      </w:pPr>
      <w:r>
        <w:t>4.2 Proposed pilot selection</w:t>
      </w:r>
    </w:p>
    <w:p>
      <w:pPr>
        <w:pStyle w:val="ListBullet"/>
        <w:spacing w:after="40"/>
      </w:pPr>
      <w:r>
        <w:t>Choose a small, diverse set of blocks in Bundelkhand with adequate historical observations and willing administrative partners.</w:t>
      </w:r>
    </w:p>
    <w:p>
      <w:pPr>
        <w:pStyle w:val="ListBullet"/>
        <w:spacing w:after="40"/>
      </w:pPr>
      <w:r>
        <w:t>Include variation in hydrogeology, rainfall regime, land cover, irrigation intensity and observation coverage.</w:t>
      </w:r>
    </w:p>
    <w:p>
      <w:pPr>
        <w:pStyle w:val="ListBullet"/>
        <w:spacing w:after="40"/>
      </w:pPr>
      <w:r>
        <w:t>Do not choose only the most data-rich blocks if the intended deployment includes data-poor blocks; explicitly test generalization limits.</w:t>
      </w:r>
    </w:p>
    <w:p>
      <w:pPr>
        <w:pStyle w:val="ListBullet"/>
        <w:spacing w:after="40"/>
      </w:pPr>
      <w:r>
        <w:t>Document the exact district/block list, data period, operational owner and local-language review before onboarding.</w:t>
      </w:r>
    </w:p>
    <w:p>
      <w:pPr>
        <w:pStyle w:val="Heading1"/>
        <w:keepNext/>
      </w:pPr>
      <w:r>
        <w:t>5. Stakeholders &amp; Personas</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2498"/>
            <w:vAlign w:val="center"/>
            <w:shd w:fill="123B5D"/>
          </w:tcPr>
          <w:p>
            <w:pPr>
              <w:spacing w:after="20"/>
            </w:pPr>
            <w:r/>
            <w:r>
              <w:rPr>
                <w:b/>
                <w:color w:val="FFFFFF"/>
                <w:sz w:val="16"/>
              </w:rPr>
              <w:t>Persona</w:t>
            </w:r>
          </w:p>
        </w:tc>
        <w:tc>
          <w:tcPr>
            <w:tcW w:type="dxa" w:w="2498"/>
            <w:vAlign w:val="center"/>
            <w:shd w:fill="123B5D"/>
          </w:tcPr>
          <w:p>
            <w:pPr>
              <w:spacing w:after="20"/>
            </w:pPr>
            <w:r/>
            <w:r>
              <w:rPr>
                <w:b/>
                <w:color w:val="FFFFFF"/>
                <w:sz w:val="16"/>
              </w:rPr>
              <w:t>Primary need</w:t>
            </w:r>
          </w:p>
        </w:tc>
        <w:tc>
          <w:tcPr>
            <w:tcW w:type="dxa" w:w="2498"/>
            <w:vAlign w:val="center"/>
            <w:shd w:fill="123B5D"/>
          </w:tcPr>
          <w:p>
            <w:pPr>
              <w:spacing w:after="20"/>
            </w:pPr>
            <w:r/>
            <w:r>
              <w:rPr>
                <w:b/>
                <w:color w:val="FFFFFF"/>
                <w:sz w:val="16"/>
              </w:rPr>
              <w:t>Product capability</w:t>
            </w:r>
          </w:p>
        </w:tc>
        <w:tc>
          <w:tcPr>
            <w:tcW w:type="dxa" w:w="2498"/>
            <w:vAlign w:val="center"/>
            <w:shd w:fill="123B5D"/>
          </w:tcPr>
          <w:p>
            <w:pPr>
              <w:spacing w:after="20"/>
            </w:pPr>
            <w:r/>
            <w:r>
              <w:rPr>
                <w:b/>
                <w:color w:val="FFFFFF"/>
                <w:sz w:val="16"/>
              </w:rPr>
              <w:t>Guardrail</w:t>
            </w:r>
          </w:p>
        </w:tc>
      </w:tr>
      <w:tr>
        <w:tc>
          <w:tcPr>
            <w:tcW w:type="dxa" w:w="2498"/>
            <w:vAlign w:val="center"/>
          </w:tcPr>
          <w:p>
            <w:pPr>
              <w:spacing w:after="20"/>
            </w:pPr>
            <w:r/>
            <w:r>
              <w:rPr>
                <w:b w:val="0"/>
                <w:sz w:val="15"/>
              </w:rPr>
              <w:t>District Collector / district administration</w:t>
            </w:r>
          </w:p>
        </w:tc>
        <w:tc>
          <w:tcPr>
            <w:tcW w:type="dxa" w:w="2498"/>
            <w:vAlign w:val="center"/>
          </w:tcPr>
          <w:p>
            <w:pPr>
              <w:spacing w:after="20"/>
            </w:pPr>
            <w:r/>
            <w:r>
              <w:rPr>
                <w:b w:val="0"/>
                <w:sz w:val="15"/>
              </w:rPr>
              <w:t>Compare risk signals, prioritize investigation and coordinate response</w:t>
            </w:r>
          </w:p>
        </w:tc>
        <w:tc>
          <w:tcPr>
            <w:tcW w:type="dxa" w:w="2498"/>
            <w:vAlign w:val="center"/>
          </w:tcPr>
          <w:p>
            <w:pPr>
              <w:spacing w:after="20"/>
            </w:pPr>
            <w:r/>
            <w:r>
              <w:rPr>
                <w:b w:val="0"/>
                <w:sz w:val="15"/>
              </w:rPr>
              <w:t>District overview, evidence summary, alerts, export and action tracking</w:t>
            </w:r>
          </w:p>
        </w:tc>
        <w:tc>
          <w:tcPr>
            <w:tcW w:type="dxa" w:w="2498"/>
            <w:vAlign w:val="center"/>
          </w:tcPr>
          <w:p>
            <w:pPr>
              <w:spacing w:after="20"/>
            </w:pPr>
            <w:r/>
            <w:r>
              <w:rPr>
                <w:b w:val="0"/>
                <w:sz w:val="15"/>
              </w:rPr>
              <w:t>Dashboard does not autonomously declare crisis or sanction works</w:t>
            </w:r>
          </w:p>
        </w:tc>
      </w:tr>
      <w:tr>
        <w:tc>
          <w:tcPr>
            <w:tcW w:type="dxa" w:w="2498"/>
            <w:vAlign w:val="center"/>
            <w:shd w:fill="F2F6F8"/>
          </w:tcPr>
          <w:p>
            <w:pPr>
              <w:spacing w:after="20"/>
            </w:pPr>
            <w:r/>
            <w:r>
              <w:rPr>
                <w:b w:val="0"/>
                <w:sz w:val="15"/>
              </w:rPr>
              <w:t>Block Development Officer</w:t>
            </w:r>
          </w:p>
        </w:tc>
        <w:tc>
          <w:tcPr>
            <w:tcW w:type="dxa" w:w="2498"/>
            <w:vAlign w:val="center"/>
            <w:shd w:fill="F2F6F8"/>
          </w:tcPr>
          <w:p>
            <w:pPr>
              <w:spacing w:after="20"/>
            </w:pPr>
            <w:r/>
            <w:r>
              <w:rPr>
                <w:b w:val="0"/>
                <w:sz w:val="15"/>
              </w:rPr>
              <w:t>Understand local signals and coordinate verification/actions</w:t>
            </w:r>
          </w:p>
        </w:tc>
        <w:tc>
          <w:tcPr>
            <w:tcW w:type="dxa" w:w="2498"/>
            <w:vAlign w:val="center"/>
            <w:shd w:fill="F2F6F8"/>
          </w:tcPr>
          <w:p>
            <w:pPr>
              <w:spacing w:after="20"/>
            </w:pPr>
            <w:r/>
            <w:r>
              <w:rPr>
                <w:b w:val="0"/>
                <w:sz w:val="15"/>
              </w:rPr>
              <w:t>Block detail, data-quality notes, tasks, acknowledgement and follow-up</w:t>
            </w:r>
          </w:p>
        </w:tc>
        <w:tc>
          <w:tcPr>
            <w:tcW w:type="dxa" w:w="2498"/>
            <w:vAlign w:val="center"/>
            <w:shd w:fill="F2F6F8"/>
          </w:tcPr>
          <w:p>
            <w:pPr>
              <w:spacing w:after="20"/>
            </w:pPr>
            <w:r/>
            <w:r>
              <w:rPr>
                <w:b w:val="0"/>
                <w:sz w:val="15"/>
              </w:rPr>
              <w:t>Recommendations show evidence, uncertainty and required verification</w:t>
            </w:r>
          </w:p>
        </w:tc>
      </w:tr>
      <w:tr>
        <w:tc>
          <w:tcPr>
            <w:tcW w:type="dxa" w:w="2498"/>
            <w:vAlign w:val="center"/>
          </w:tcPr>
          <w:p>
            <w:pPr>
              <w:spacing w:after="20"/>
            </w:pPr>
            <w:r/>
            <w:r>
              <w:rPr>
                <w:b w:val="0"/>
                <w:sz w:val="15"/>
              </w:rPr>
              <w:t>Gram Pradhan / Panchayat representative</w:t>
            </w:r>
          </w:p>
        </w:tc>
        <w:tc>
          <w:tcPr>
            <w:tcW w:type="dxa" w:w="2498"/>
            <w:vAlign w:val="center"/>
          </w:tcPr>
          <w:p>
            <w:pPr>
              <w:spacing w:after="20"/>
            </w:pPr>
            <w:r/>
            <w:r>
              <w:rPr>
                <w:b w:val="0"/>
                <w:sz w:val="15"/>
              </w:rPr>
              <w:t>Receive clear, actionable local information in Hindi</w:t>
            </w:r>
          </w:p>
        </w:tc>
        <w:tc>
          <w:tcPr>
            <w:tcW w:type="dxa" w:w="2498"/>
            <w:vAlign w:val="center"/>
          </w:tcPr>
          <w:p>
            <w:pPr>
              <w:spacing w:after="20"/>
            </w:pPr>
            <w:r/>
            <w:r>
              <w:rPr>
                <w:b w:val="0"/>
                <w:sz w:val="15"/>
              </w:rPr>
              <w:t>Short alert, plain-language explanation, reply/acknowledgement path</w:t>
            </w:r>
          </w:p>
        </w:tc>
        <w:tc>
          <w:tcPr>
            <w:tcW w:type="dxa" w:w="2498"/>
            <w:vAlign w:val="center"/>
          </w:tcPr>
          <w:p>
            <w:pPr>
              <w:spacing w:after="20"/>
            </w:pPr>
            <w:r/>
            <w:r>
              <w:rPr>
                <w:b w:val="0"/>
                <w:sz w:val="15"/>
              </w:rPr>
              <w:t>No unsupported countdowns or alarming certainty</w:t>
            </w:r>
          </w:p>
        </w:tc>
      </w:tr>
      <w:tr>
        <w:tc>
          <w:tcPr>
            <w:tcW w:type="dxa" w:w="2498"/>
            <w:vAlign w:val="center"/>
            <w:shd w:fill="F2F6F8"/>
          </w:tcPr>
          <w:p>
            <w:pPr>
              <w:spacing w:after="20"/>
            </w:pPr>
            <w:r/>
            <w:r>
              <w:rPr>
                <w:b w:val="0"/>
                <w:sz w:val="15"/>
              </w:rPr>
              <w:t>Jal Samiti member</w:t>
            </w:r>
          </w:p>
        </w:tc>
        <w:tc>
          <w:tcPr>
            <w:tcW w:type="dxa" w:w="2498"/>
            <w:vAlign w:val="center"/>
            <w:shd w:fill="F2F6F8"/>
          </w:tcPr>
          <w:p>
            <w:pPr>
              <w:spacing w:after="20"/>
            </w:pPr>
            <w:r/>
            <w:r>
              <w:rPr>
                <w:b w:val="0"/>
                <w:sz w:val="15"/>
              </w:rPr>
              <w:t>Support local water budgeting and community planning</w:t>
            </w:r>
          </w:p>
        </w:tc>
        <w:tc>
          <w:tcPr>
            <w:tcW w:type="dxa" w:w="2498"/>
            <w:vAlign w:val="center"/>
            <w:shd w:fill="F2F6F8"/>
          </w:tcPr>
          <w:p>
            <w:pPr>
              <w:spacing w:after="20"/>
            </w:pPr>
            <w:r/>
            <w:r>
              <w:rPr>
                <w:b w:val="0"/>
                <w:sz w:val="15"/>
              </w:rPr>
              <w:t>Community-friendly summaries, meeting/action notes</w:t>
            </w:r>
          </w:p>
        </w:tc>
        <w:tc>
          <w:tcPr>
            <w:tcW w:type="dxa" w:w="2498"/>
            <w:vAlign w:val="center"/>
            <w:shd w:fill="F2F6F8"/>
          </w:tcPr>
          <w:p>
            <w:pPr>
              <w:spacing w:after="20"/>
            </w:pPr>
            <w:r/>
            <w:r>
              <w:rPr>
                <w:b w:val="0"/>
                <w:sz w:val="15"/>
              </w:rPr>
              <w:t>Do not expose private contact lists or sensitive individual data</w:t>
            </w:r>
          </w:p>
        </w:tc>
      </w:tr>
      <w:tr>
        <w:tc>
          <w:tcPr>
            <w:tcW w:type="dxa" w:w="2498"/>
            <w:vAlign w:val="center"/>
          </w:tcPr>
          <w:p>
            <w:pPr>
              <w:spacing w:after="20"/>
            </w:pPr>
            <w:r/>
            <w:r>
              <w:rPr>
                <w:b w:val="0"/>
                <w:sz w:val="15"/>
              </w:rPr>
              <w:t>Groundwater/hydrogeology expert</w:t>
            </w:r>
          </w:p>
        </w:tc>
        <w:tc>
          <w:tcPr>
            <w:tcW w:type="dxa" w:w="2498"/>
            <w:vAlign w:val="center"/>
          </w:tcPr>
          <w:p>
            <w:pPr>
              <w:spacing w:after="20"/>
            </w:pPr>
            <w:r/>
            <w:r>
              <w:rPr>
                <w:b w:val="0"/>
                <w:sz w:val="15"/>
              </w:rPr>
              <w:t>Review validity and explain limitations</w:t>
            </w:r>
          </w:p>
        </w:tc>
        <w:tc>
          <w:tcPr>
            <w:tcW w:type="dxa" w:w="2498"/>
            <w:vAlign w:val="center"/>
          </w:tcPr>
          <w:p>
            <w:pPr>
              <w:spacing w:after="20"/>
            </w:pPr>
            <w:r/>
            <w:r>
              <w:rPr>
                <w:b w:val="0"/>
                <w:sz w:val="15"/>
              </w:rPr>
              <w:t>Observation comparison, model diagnostics, spatial resolution and residuals</w:t>
            </w:r>
          </w:p>
        </w:tc>
        <w:tc>
          <w:tcPr>
            <w:tcW w:type="dxa" w:w="2498"/>
            <w:vAlign w:val="center"/>
          </w:tcPr>
          <w:p>
            <w:pPr>
              <w:spacing w:after="20"/>
            </w:pPr>
            <w:r/>
            <w:r>
              <w:rPr>
                <w:b w:val="0"/>
                <w:sz w:val="15"/>
              </w:rPr>
              <w:t>Scientific approval required for new model versions</w:t>
            </w:r>
          </w:p>
        </w:tc>
      </w:tr>
      <w:tr>
        <w:tc>
          <w:tcPr>
            <w:tcW w:type="dxa" w:w="2498"/>
            <w:vAlign w:val="center"/>
            <w:shd w:fill="F2F6F8"/>
          </w:tcPr>
          <w:p>
            <w:pPr>
              <w:spacing w:after="20"/>
            </w:pPr>
            <w:r/>
            <w:r>
              <w:rPr>
                <w:b w:val="0"/>
                <w:sz w:val="15"/>
              </w:rPr>
              <w:t>Data steward / GIS analyst</w:t>
            </w:r>
          </w:p>
        </w:tc>
        <w:tc>
          <w:tcPr>
            <w:tcW w:type="dxa" w:w="2498"/>
            <w:vAlign w:val="center"/>
            <w:shd w:fill="F2F6F8"/>
          </w:tcPr>
          <w:p>
            <w:pPr>
              <w:spacing w:after="20"/>
            </w:pPr>
            <w:r/>
            <w:r>
              <w:rPr>
                <w:b w:val="0"/>
                <w:sz w:val="15"/>
              </w:rPr>
              <w:t>Maintain boundaries, data lineage and quality</w:t>
            </w:r>
          </w:p>
        </w:tc>
        <w:tc>
          <w:tcPr>
            <w:tcW w:type="dxa" w:w="2498"/>
            <w:vAlign w:val="center"/>
            <w:shd w:fill="F2F6F8"/>
          </w:tcPr>
          <w:p>
            <w:pPr>
              <w:spacing w:after="20"/>
            </w:pPr>
            <w:r/>
            <w:r>
              <w:rPr>
                <w:b w:val="0"/>
                <w:sz w:val="15"/>
              </w:rPr>
              <w:t>Ingestion health, schema validation, correction workflow</w:t>
            </w:r>
          </w:p>
        </w:tc>
        <w:tc>
          <w:tcPr>
            <w:tcW w:type="dxa" w:w="2498"/>
            <w:vAlign w:val="center"/>
            <w:shd w:fill="F2F6F8"/>
          </w:tcPr>
          <w:p>
            <w:pPr>
              <w:spacing w:after="20"/>
            </w:pPr>
            <w:r/>
            <w:r>
              <w:rPr>
                <w:b w:val="0"/>
                <w:sz w:val="15"/>
              </w:rPr>
              <w:t>Corrections are versioned and auditable</w:t>
            </w:r>
          </w:p>
        </w:tc>
      </w:tr>
      <w:tr>
        <w:tc>
          <w:tcPr>
            <w:tcW w:type="dxa" w:w="2498"/>
            <w:vAlign w:val="center"/>
          </w:tcPr>
          <w:p>
            <w:pPr>
              <w:spacing w:after="20"/>
            </w:pPr>
            <w:r/>
            <w:r>
              <w:rPr>
                <w:b w:val="0"/>
                <w:sz w:val="15"/>
              </w:rPr>
              <w:t>Programme/scheme officer</w:t>
            </w:r>
          </w:p>
        </w:tc>
        <w:tc>
          <w:tcPr>
            <w:tcW w:type="dxa" w:w="2498"/>
            <w:vAlign w:val="center"/>
          </w:tcPr>
          <w:p>
            <w:pPr>
              <w:spacing w:after="20"/>
            </w:pPr>
            <w:r/>
            <w:r>
              <w:rPr>
                <w:b w:val="0"/>
                <w:sz w:val="15"/>
              </w:rPr>
              <w:t>Ensure suggestions align with active rules and local eligibility</w:t>
            </w:r>
          </w:p>
        </w:tc>
        <w:tc>
          <w:tcPr>
            <w:tcW w:type="dxa" w:w="2498"/>
            <w:vAlign w:val="center"/>
          </w:tcPr>
          <w:p>
            <w:pPr>
              <w:spacing w:after="20"/>
            </w:pPr>
            <w:r/>
            <w:r>
              <w:rPr>
                <w:b w:val="0"/>
                <w:sz w:val="15"/>
              </w:rPr>
              <w:t>Versioned scheme catalogue with official links and effective dates</w:t>
            </w:r>
          </w:p>
        </w:tc>
        <w:tc>
          <w:tcPr>
            <w:tcW w:type="dxa" w:w="2498"/>
            <w:vAlign w:val="center"/>
          </w:tcPr>
          <w:p>
            <w:pPr>
              <w:spacing w:after="20"/>
            </w:pPr>
            <w:r/>
            <w:r>
              <w:rPr>
                <w:b w:val="0"/>
                <w:sz w:val="15"/>
              </w:rPr>
              <w:t>No scheme-specific recommendation without verified rules</w:t>
            </w:r>
          </w:p>
        </w:tc>
      </w:tr>
      <w:tr>
        <w:tc>
          <w:tcPr>
            <w:tcW w:type="dxa" w:w="2498"/>
            <w:vAlign w:val="center"/>
            <w:shd w:fill="F2F6F8"/>
          </w:tcPr>
          <w:p>
            <w:pPr>
              <w:spacing w:after="20"/>
            </w:pPr>
            <w:r/>
            <w:r>
              <w:rPr>
                <w:b w:val="0"/>
                <w:sz w:val="15"/>
              </w:rPr>
              <w:t>System administrator / security owner</w:t>
            </w:r>
          </w:p>
        </w:tc>
        <w:tc>
          <w:tcPr>
            <w:tcW w:type="dxa" w:w="2498"/>
            <w:vAlign w:val="center"/>
            <w:shd w:fill="F2F6F8"/>
          </w:tcPr>
          <w:p>
            <w:pPr>
              <w:spacing w:after="20"/>
            </w:pPr>
            <w:r/>
            <w:r>
              <w:rPr>
                <w:b w:val="0"/>
                <w:sz w:val="15"/>
              </w:rPr>
              <w:t>Control access, monitor services and respond to incidents</w:t>
            </w:r>
          </w:p>
        </w:tc>
        <w:tc>
          <w:tcPr>
            <w:tcW w:type="dxa" w:w="2498"/>
            <w:vAlign w:val="center"/>
            <w:shd w:fill="F2F6F8"/>
          </w:tcPr>
          <w:p>
            <w:pPr>
              <w:spacing w:after="20"/>
            </w:pPr>
            <w:r/>
            <w:r>
              <w:rPr>
                <w:b w:val="0"/>
                <w:sz w:val="15"/>
              </w:rPr>
              <w:t>RBAC, audit logs, secrets management, health dashboard</w:t>
            </w:r>
          </w:p>
        </w:tc>
        <w:tc>
          <w:tcPr>
            <w:tcW w:type="dxa" w:w="2498"/>
            <w:vAlign w:val="center"/>
            <w:shd w:fill="F2F6F8"/>
          </w:tcPr>
          <w:p>
            <w:pPr>
              <w:spacing w:after="20"/>
            </w:pPr>
            <w:r/>
            <w:r>
              <w:rPr>
                <w:b w:val="0"/>
                <w:sz w:val="15"/>
              </w:rPr>
              <w:t>Least privilege and documented incident response</w:t>
            </w:r>
          </w:p>
        </w:tc>
      </w:tr>
    </w:tbl>
    <w:p/>
    <w:p>
      <w:pPr>
        <w:pStyle w:val="Heading1"/>
        <w:keepNext/>
      </w:pPr>
      <w:r>
        <w:t>6. Core Use Cases</w:t>
      </w:r>
    </w:p>
    <w:p>
      <w:pPr>
        <w:pStyle w:val="ListBullet"/>
        <w:spacing w:after="40"/>
      </w:pPr>
      <w:r>
        <w:t>UC-01: District official opens a map and identifies blocks with deteriorating evidence indicators and adequate data confidence.</w:t>
      </w:r>
    </w:p>
    <w:p>
      <w:pPr>
        <w:pStyle w:val="ListBullet"/>
        <w:spacing w:after="40"/>
      </w:pPr>
      <w:r>
        <w:t>UC-02: BDO opens a block detail page and inspects observations, anomalies, trends, source dates and data gaps.</w:t>
      </w:r>
    </w:p>
    <w:p>
      <w:pPr>
        <w:pStyle w:val="ListBullet"/>
        <w:spacing w:after="40"/>
      </w:pPr>
      <w:r>
        <w:t>UC-03: Scientific reviewer compares candidate risk signals with observed groundwater levels for a historical period.</w:t>
      </w:r>
    </w:p>
    <w:p>
      <w:pPr>
        <w:pStyle w:val="ListBullet"/>
        <w:spacing w:after="40"/>
      </w:pPr>
      <w:r>
        <w:t>UC-04: Authorized reviewer approves or suppresses a proposed alert, records the reason and selects an action from a verified catalogue.</w:t>
      </w:r>
    </w:p>
    <w:p>
      <w:pPr>
        <w:pStyle w:val="ListBullet"/>
        <w:spacing w:after="40"/>
      </w:pPr>
      <w:r>
        <w:t>UC-05: Panchayat recipient receives a Hindi message with the signal, uncertainty, recommended verification step and contact/feedback route.</w:t>
      </w:r>
    </w:p>
    <w:p>
      <w:pPr>
        <w:pStyle w:val="ListBullet"/>
        <w:spacing w:after="40"/>
      </w:pPr>
      <w:r>
        <w:t>UC-06: Recipient acknowledges the alert and records whether the recommended investigation or action is planned, underway, completed or not feasible.</w:t>
      </w:r>
    </w:p>
    <w:p>
      <w:pPr>
        <w:pStyle w:val="ListBullet"/>
        <w:spacing w:after="40"/>
      </w:pPr>
      <w:r>
        <w:t>UC-07: Data steward flags a stale, missing or anomalous source and prevents unsupported downstream predictions.</w:t>
      </w:r>
    </w:p>
    <w:p>
      <w:pPr>
        <w:pStyle w:val="ListBullet"/>
        <w:spacing w:after="40"/>
      </w:pPr>
      <w:r>
        <w:t>UC-08: Administrator audits which data/model/rule version produced a displayed score or sent alert.</w:t>
      </w:r>
    </w:p>
    <w:p>
      <w:pPr>
        <w:pStyle w:val="Heading1"/>
        <w:keepNext/>
      </w:pPr>
      <w:r>
        <w:t>7. End-to-End Product Workflows</w:t>
      </w:r>
    </w:p>
    <w:p>
      <w:pPr>
        <w:pStyle w:val="Heading2"/>
        <w:keepNext/>
      </w:pPr>
      <w:r>
        <w:t>7.1 Data-to-dashboard workflow</w:t>
      </w:r>
    </w:p>
    <w:p>
      <w:pPr>
        <w:pStyle w:val="ListBullet"/>
        <w:spacing w:after="40"/>
      </w:pPr>
      <w:r>
        <w:t>Ingest from an approved source using a documented connector and data-use terms.</w:t>
      </w:r>
    </w:p>
    <w:p>
      <w:pPr>
        <w:pStyle w:val="ListBullet"/>
        <w:spacing w:after="40"/>
      </w:pPr>
      <w:r>
        <w:t>Validate schema, units, timestamps, spatial reference, completeness, duplicate records and plausible ranges.</w:t>
      </w:r>
    </w:p>
    <w:p>
      <w:pPr>
        <w:pStyle w:val="ListBullet"/>
        <w:spacing w:after="40"/>
      </w:pPr>
      <w:r>
        <w:t>Record source version, retrieval timestamp, temporal coverage, processing version and any transformation.</w:t>
      </w:r>
    </w:p>
    <w:p>
      <w:pPr>
        <w:pStyle w:val="ListBullet"/>
        <w:spacing w:after="40"/>
      </w:pPr>
      <w:r>
        <w:t>Aggregate to administrative units only when spatial support and methodology are defensible; otherwise display the native grid or an explicitly labelled regional indicator.</w:t>
      </w:r>
    </w:p>
    <w:p>
      <w:pPr>
        <w:pStyle w:val="ListBullet"/>
        <w:spacing w:after="40"/>
      </w:pPr>
      <w:r>
        <w:t>Compute descriptive indicators and baselines; attach quality and confidence metadata.</w:t>
      </w:r>
    </w:p>
    <w:p>
      <w:pPr>
        <w:pStyle w:val="ListBullet"/>
        <w:spacing w:after="40"/>
      </w:pPr>
      <w:r>
        <w:t>Publish only records that pass quality gates; show missing/stale states rather than silently substituting plausible defaults.</w:t>
      </w:r>
    </w:p>
    <w:p>
      <w:pPr>
        <w:pStyle w:val="ListBullet"/>
        <w:spacing w:after="40"/>
      </w:pPr>
      <w:r>
        <w:t>Log pipeline status and alert the data steward when failures or unusual shifts occur.</w:t>
      </w:r>
    </w:p>
    <w:p>
      <w:pPr>
        <w:pStyle w:val="Heading2"/>
        <w:keepNext/>
      </w:pPr>
      <w:r>
        <w:t>7.2 Risk-review workflow</w:t>
      </w:r>
    </w:p>
    <w:p>
      <w:pPr>
        <w:pStyle w:val="ListBullet"/>
        <w:spacing w:after="40"/>
      </w:pPr>
      <w:r>
        <w:t>Candidate signal is produced with model/version, input dates, prediction horizon and uncertainty.</w:t>
      </w:r>
    </w:p>
    <w:p>
      <w:pPr>
        <w:pStyle w:val="ListBullet"/>
        <w:spacing w:after="40"/>
      </w:pPr>
      <w:r>
        <w:t>Automated gates check freshness, minimum coverage, out-of-distribution conditions and required observation support.</w:t>
      </w:r>
    </w:p>
    <w:p>
      <w:pPr>
        <w:pStyle w:val="ListBullet"/>
        <w:spacing w:after="40"/>
      </w:pPr>
      <w:r>
        <w:t>If a gate fails, mark the result 'insufficient evidence' and do not issue a risk alert.</w:t>
      </w:r>
    </w:p>
    <w:p>
      <w:pPr>
        <w:pStyle w:val="ListBullet"/>
        <w:spacing w:after="40"/>
      </w:pPr>
      <w:r>
        <w:t>Eligible candidates enter a review queue for the groundwater expert or designated official.</w:t>
      </w:r>
    </w:p>
    <w:p>
      <w:pPr>
        <w:pStyle w:val="ListBullet"/>
        <w:spacing w:after="40"/>
      </w:pPr>
      <w:r>
        <w:t>Reviewer sees evidence, historical context, comparable baseline performance and suggested verification steps.</w:t>
      </w:r>
    </w:p>
    <w:p>
      <w:pPr>
        <w:pStyle w:val="ListBullet"/>
        <w:spacing w:after="40"/>
      </w:pPr>
      <w:r>
        <w:t>Reviewer approves, edits, defers or rejects the alert with a reason; every action is logged.</w:t>
      </w:r>
    </w:p>
    <w:p>
      <w:pPr>
        <w:pStyle w:val="ListBullet"/>
        <w:spacing w:after="40"/>
      </w:pPr>
      <w:r>
        <w:t>Only approved alerts are dispatched; recipients and channel eligibility are checked immediately before sending.</w:t>
      </w:r>
    </w:p>
    <w:p>
      <w:pPr>
        <w:pStyle w:val="Heading2"/>
        <w:keepNext/>
      </w:pPr>
      <w:r>
        <w:t>7.3 Recipient action workflow</w:t>
      </w:r>
    </w:p>
    <w:p>
      <w:pPr>
        <w:pStyle w:val="ListBullet"/>
        <w:spacing w:after="40"/>
      </w:pPr>
      <w:r>
        <w:t>Alert identifies the area, observation/signal period, concern, confidence and next verification step.</w:t>
      </w:r>
    </w:p>
    <w:p>
      <w:pPr>
        <w:pStyle w:val="ListBullet"/>
        <w:spacing w:after="40"/>
      </w:pPr>
      <w:r>
        <w:t>Recipient acknowledges or chooses a response such as 'verify locally', 'already under action', 'not applicable' or 'need support'.</w:t>
      </w:r>
    </w:p>
    <w:p>
      <w:pPr>
        <w:pStyle w:val="ListBullet"/>
        <w:spacing w:after="40"/>
      </w:pPr>
      <w:r>
        <w:t>The system records status and routes follow-up to the responsible official.</w:t>
      </w:r>
    </w:p>
    <w:p>
      <w:pPr>
        <w:pStyle w:val="ListBullet"/>
        <w:spacing w:after="40"/>
      </w:pPr>
      <w:r>
        <w:t>Completed actions can include a date, type, optional evidence and official reference; personal information is minimized.</w:t>
      </w:r>
    </w:p>
    <w:p>
      <w:pPr>
        <w:pStyle w:val="ListBullet"/>
        <w:spacing w:after="40"/>
      </w:pPr>
      <w:r>
        <w:t>Pilot reporting compares alerts with verified outcomes and actions, not just message delivery counts.</w:t>
      </w:r>
    </w:p>
    <w:p>
      <w:pPr>
        <w:pStyle w:val="Heading1"/>
        <w:keepNext/>
      </w:pPr>
      <w:r>
        <w:t>8. Functional Requirements</w:t>
      </w:r>
    </w:p>
    <w:p>
      <w:r>
        <w:t>Priorities: Must = required for a safe pilot; Should = valuable for pilot or near-term; Could = later enhancement. Acceptance criteria below are proposed and should be finalized with pilot stakeholders.</w:t>
      </w:r>
    </w:p>
    <w:p>
      <w:pPr>
        <w:pStyle w:val="Heading2"/>
        <w:keepNext/>
      </w:pPr>
      <w:r>
        <w:t>8.1 Identity, access and administration</w:t>
      </w:r>
    </w:p>
    <w:p>
      <w:pPr>
        <w:spacing w:before="80"/>
      </w:pPr>
      <w:r>
        <w:rPr>
          <w:b/>
          <w:color w:val="176B87"/>
        </w:rPr>
        <w:t>FR-001 — Authentication and roles [Must]</w:t>
      </w:r>
    </w:p>
    <w:p>
      <w:r>
        <w:t>The dashboard shall require authentication for administrative and scientific functions. Roles shall include administrator, district official, block official, scientific reviewer, data steward, scheme curator and read-only auditor.</w:t>
      </w:r>
    </w:p>
    <w:p>
      <w:pPr>
        <w:spacing w:after="100"/>
        <w:ind w:left="259"/>
      </w:pPr>
      <w:r>
        <w:rPr>
          <w:b/>
        </w:rPr>
        <w:t xml:space="preserve">Acceptance criteria: </w:t>
      </w:r>
      <w:r>
        <w:t>Unauthenticated users cannot access protected records; each role can perform only its approved actions; permission tests cover allow and deny cases.</w:t>
      </w:r>
    </w:p>
    <w:p>
      <w:pPr>
        <w:spacing w:before="80"/>
      </w:pPr>
      <w:r>
        <w:rPr>
          <w:b/>
          <w:color w:val="176B87"/>
        </w:rPr>
        <w:t>FR-002 — Geographic access scope [Must]</w:t>
      </w:r>
    </w:p>
    <w:p>
      <w:r>
        <w:t>Users may be restricted to assigned districts/blocks. Cross-district access must be explicitly granted.</w:t>
      </w:r>
    </w:p>
    <w:p>
      <w:pPr>
        <w:spacing w:after="100"/>
        <w:ind w:left="259"/>
      </w:pPr>
      <w:r>
        <w:rPr>
          <w:b/>
        </w:rPr>
        <w:t xml:space="preserve">Acceptance criteria: </w:t>
      </w:r>
      <w:r>
        <w:t>A block-scoped user cannot view/export another block's restricted operational records through UI or API.</w:t>
      </w:r>
    </w:p>
    <w:p>
      <w:pPr>
        <w:spacing w:before="80"/>
      </w:pPr>
      <w:r>
        <w:rPr>
          <w:b/>
          <w:color w:val="176B87"/>
        </w:rPr>
        <w:t>FR-003 — Recipient registry governance [Must]</w:t>
      </w:r>
    </w:p>
    <w:p>
      <w:r>
        <w:t>Maintain recipient name, role, administrative jurisdiction, preferred language/channel, contact details, authorization status, consent/notice status where applicable, source and last verification date.</w:t>
      </w:r>
    </w:p>
    <w:p>
      <w:pPr>
        <w:spacing w:after="100"/>
        <w:ind w:left="259"/>
      </w:pPr>
      <w:r>
        <w:rPr>
          <w:b/>
        </w:rPr>
        <w:t xml:space="preserve">Acceptance criteria: </w:t>
      </w:r>
      <w:r>
        <w:t>Unverified or inactive contacts cannot receive alerts; changes and exports are auditable.</w:t>
      </w:r>
    </w:p>
    <w:p>
      <w:pPr>
        <w:spacing w:before="80"/>
      </w:pPr>
      <w:r>
        <w:rPr>
          <w:b/>
          <w:color w:val="176B87"/>
        </w:rPr>
        <w:t>FR-004 — Configuration versioning [Must]</w:t>
      </w:r>
    </w:p>
    <w:p>
      <w:r>
        <w:t>Risk thresholds, data-source settings, alert templates and scheme rules must be versioned with effective dates and approver identity.</w:t>
      </w:r>
    </w:p>
    <w:p>
      <w:pPr>
        <w:spacing w:after="100"/>
        <w:ind w:left="259"/>
      </w:pPr>
      <w:r>
        <w:rPr>
          <w:b/>
        </w:rPr>
        <w:t xml:space="preserve">Acceptance criteria: </w:t>
      </w:r>
      <w:r>
        <w:t>Historical results retain the versions used at the time; configuration changes cannot silently rewrite history.</w:t>
      </w:r>
    </w:p>
    <w:p>
      <w:pPr>
        <w:pStyle w:val="Heading2"/>
        <w:keepNext/>
      </w:pPr>
      <w:r>
        <w:t>8.2 GIS dashboard and block detail</w:t>
      </w:r>
    </w:p>
    <w:p>
      <w:pPr>
        <w:spacing w:before="80"/>
      </w:pPr>
      <w:r>
        <w:rPr>
          <w:b/>
          <w:color w:val="176B87"/>
        </w:rPr>
        <w:t>FR-010 — Interactive administrative map [Must]</w:t>
      </w:r>
    </w:p>
    <w:p>
      <w:r>
        <w:t>Render verified district/block boundaries for the approved pilot area. Layer legends must state what each indicator represents and its spatial/temporal support.</w:t>
      </w:r>
    </w:p>
    <w:p>
      <w:pPr>
        <w:spacing w:after="100"/>
        <w:ind w:left="259"/>
      </w:pPr>
      <w:r>
        <w:rPr>
          <w:b/>
        </w:rPr>
        <w:t xml:space="preserve">Acceptance criteria: </w:t>
      </w:r>
      <w:r>
        <w:t>Map loads for the pilot geography; selecting a polygon opens the correct administrative record; geometry and identifiers are checked against the approved master dataset.</w:t>
      </w:r>
    </w:p>
    <w:p>
      <w:pPr>
        <w:spacing w:before="80"/>
      </w:pPr>
      <w:r>
        <w:rPr>
          <w:b/>
          <w:color w:val="176B87"/>
        </w:rPr>
        <w:t>FR-011 — Risk/status symbology [Must]</w:t>
      </w:r>
    </w:p>
    <w:p>
      <w:r>
        <w:t>Use neutral status categories such as Stable signal, Watch, Elevated signal, Critical signal and Insufficient evidence only after the indicator definition is approved. Do not equate GSS with days of water remaining.</w:t>
      </w:r>
    </w:p>
    <w:p>
      <w:pPr>
        <w:spacing w:after="100"/>
        <w:ind w:left="259"/>
      </w:pPr>
      <w:r>
        <w:rPr>
          <w:b/>
        </w:rPr>
        <w:t xml:space="preserve">Acceptance criteria: </w:t>
      </w:r>
      <w:r>
        <w:t>Legend defines each category, data period, thresholds, confidence gate and caveat; color is paired with text/icon so it is not color-only.</w:t>
      </w:r>
    </w:p>
    <w:p>
      <w:pPr>
        <w:spacing w:before="80"/>
      </w:pPr>
      <w:r>
        <w:rPr>
          <w:b/>
          <w:color w:val="176B87"/>
        </w:rPr>
        <w:t>FR-012 — Block detail view [Must]</w:t>
      </w:r>
    </w:p>
    <w:p>
      <w:r>
        <w:t>Display source observations, data freshness, historical trend, missingness, model/indicator version, uncertainty, comparison baseline and reviewer notes.</w:t>
      </w:r>
    </w:p>
    <w:p>
      <w:pPr>
        <w:spacing w:after="100"/>
        <w:ind w:left="259"/>
      </w:pPr>
      <w:r>
        <w:rPr>
          <w:b/>
        </w:rPr>
        <w:t xml:space="preserve">Acceptance criteria: </w:t>
      </w:r>
      <w:r>
        <w:t>Every visible metric has a unit, date/window, source and explanation; missing values are not silently imputed for display.</w:t>
      </w:r>
    </w:p>
    <w:p>
      <w:pPr>
        <w:spacing w:before="80"/>
      </w:pPr>
      <w:r>
        <w:rPr>
          <w:b/>
          <w:color w:val="176B87"/>
        </w:rPr>
        <w:t>FR-013 — Time-series exploration [Must]</w:t>
      </w:r>
    </w:p>
    <w:p>
      <w:r>
        <w:t>Allow users to compare a selected block's history with relevant regional context and observed groundwater measurements where available.</w:t>
      </w:r>
    </w:p>
    <w:p>
      <w:pPr>
        <w:spacing w:after="100"/>
        <w:ind w:left="259"/>
      </w:pPr>
      <w:r>
        <w:rPr>
          <w:b/>
        </w:rPr>
        <w:t xml:space="preserve">Acceptance criteria: </w:t>
      </w:r>
      <w:r>
        <w:t>Chart axes and units are explicit; no misleading interpolation across missing intervals; downloads preserve metadata.</w:t>
      </w:r>
    </w:p>
    <w:p>
      <w:pPr>
        <w:spacing w:before="80"/>
      </w:pPr>
      <w:r>
        <w:rPr>
          <w:b/>
          <w:color w:val="176B87"/>
        </w:rPr>
        <w:t>FR-014 — Filters and search [Must]</w:t>
      </w:r>
    </w:p>
    <w:p>
      <w:r>
        <w:t>Support district/block search and filters by status, data freshness, confidence and review state.</w:t>
      </w:r>
    </w:p>
    <w:p>
      <w:pPr>
        <w:spacing w:after="100"/>
        <w:ind w:left="259"/>
      </w:pPr>
      <w:r>
        <w:rPr>
          <w:b/>
        </w:rPr>
        <w:t xml:space="preserve">Acceptance criteria: </w:t>
      </w:r>
      <w:r>
        <w:t>Filter results match the selected criteria and remain usable on supported mobile/tablet/desktop layouts.</w:t>
      </w:r>
    </w:p>
    <w:p>
      <w:pPr>
        <w:spacing w:before="80"/>
      </w:pPr>
      <w:r>
        <w:rPr>
          <w:b/>
          <w:color w:val="176B87"/>
        </w:rPr>
        <w:t>FR-015 — Map performance [Must]</w:t>
      </w:r>
    </w:p>
    <w:p>
      <w:r>
        <w:t>Optimize initial view and lazy-load detail layers for low-bandwidth networks.</w:t>
      </w:r>
    </w:p>
    <w:p>
      <w:pPr>
        <w:spacing w:after="100"/>
        <w:ind w:left="259"/>
      </w:pPr>
      <w:r>
        <w:rPr>
          <w:b/>
        </w:rPr>
        <w:t xml:space="preserve">Acceptance criteria: </w:t>
      </w:r>
      <w:r>
        <w:t>Proposed target: usable initial view within 4 seconds at a defined low-bandwidth test profile; test profile and percentile target agreed before release.</w:t>
      </w:r>
    </w:p>
    <w:p>
      <w:pPr>
        <w:spacing w:before="80"/>
      </w:pPr>
      <w:r>
        <w:rPr>
          <w:b/>
          <w:color w:val="176B87"/>
        </w:rPr>
        <w:t>FR-016 — Export [Must]</w:t>
      </w:r>
    </w:p>
    <w:p>
      <w:r>
        <w:t>Allow authorized users to export a selected view or report with timestamp, source dates, caveats and version identifiers.</w:t>
      </w:r>
    </w:p>
    <w:p>
      <w:pPr>
        <w:spacing w:after="100"/>
        <w:ind w:left="259"/>
      </w:pPr>
      <w:r>
        <w:rPr>
          <w:b/>
        </w:rPr>
        <w:t xml:space="preserve">Acceptance criteria: </w:t>
      </w:r>
      <w:r>
        <w:t>Export permissions are enforced; generated files include the same uncertainty notes as the dashboard.</w:t>
      </w:r>
    </w:p>
    <w:p>
      <w:pPr>
        <w:pStyle w:val="Heading2"/>
        <w:keepNext/>
      </w:pPr>
      <w:r>
        <w:t>8.3 Data ingestion, provenance and quality</w:t>
      </w:r>
    </w:p>
    <w:p>
      <w:pPr>
        <w:spacing w:before="80"/>
      </w:pPr>
      <w:r>
        <w:rPr>
          <w:b/>
          <w:color w:val="176B87"/>
        </w:rPr>
        <w:t>FR-020 — Source registry [Must]</w:t>
      </w:r>
    </w:p>
    <w:p>
      <w:r>
        <w:t>Maintain a catalogue of each dataset, provider, owner, license/terms, variable, spatial resolution, temporal cadence, known latency, processing level and permitted uses.</w:t>
      </w:r>
    </w:p>
    <w:p>
      <w:pPr>
        <w:spacing w:after="100"/>
        <w:ind w:left="259"/>
      </w:pPr>
      <w:r>
        <w:rPr>
          <w:b/>
        </w:rPr>
        <w:t xml:space="preserve">Acceptance criteria: </w:t>
      </w:r>
      <w:r>
        <w:t>No production source is activated without an owner, terms review, retrieval method and fallback policy.</w:t>
      </w:r>
    </w:p>
    <w:p>
      <w:pPr>
        <w:spacing w:before="80"/>
      </w:pPr>
      <w:r>
        <w:rPr>
          <w:b/>
          <w:color w:val="176B87"/>
        </w:rPr>
        <w:t>FR-021 — Automated ingestion [Must]</w:t>
      </w:r>
    </w:p>
    <w:p>
      <w:r>
        <w:t>Ingest only from documented and permitted interfaces; support retries, backoff, idempotency and run-level status.</w:t>
      </w:r>
    </w:p>
    <w:p>
      <w:pPr>
        <w:spacing w:after="100"/>
        <w:ind w:left="259"/>
      </w:pPr>
      <w:r>
        <w:rPr>
          <w:b/>
        </w:rPr>
        <w:t xml:space="preserve">Acceptance criteria: </w:t>
      </w:r>
      <w:r>
        <w:t>Re-running a job does not duplicate records; failures are observable; retries do not overwhelm source services.</w:t>
      </w:r>
    </w:p>
    <w:p>
      <w:pPr>
        <w:spacing w:before="80"/>
      </w:pPr>
      <w:r>
        <w:rPr>
          <w:b/>
          <w:color w:val="176B87"/>
        </w:rPr>
        <w:t>FR-022 — Quality validation [Must]</w:t>
      </w:r>
    </w:p>
    <w:p>
      <w:r>
        <w:t>Validate expected schema, units, spatial reference, timestamp, plausible values, duplicates, missingness and source freshness.</w:t>
      </w:r>
    </w:p>
    <w:p>
      <w:pPr>
        <w:spacing w:after="100"/>
        <w:ind w:left="259"/>
      </w:pPr>
      <w:r>
        <w:rPr>
          <w:b/>
        </w:rPr>
        <w:t xml:space="preserve">Acceptance criteria: </w:t>
      </w:r>
      <w:r>
        <w:t>Bad records are quarantined with reason codes; thresholds are dataset-specific and versioned.</w:t>
      </w:r>
    </w:p>
    <w:p>
      <w:pPr>
        <w:spacing w:before="80"/>
      </w:pPr>
      <w:r>
        <w:rPr>
          <w:b/>
          <w:color w:val="176B87"/>
        </w:rPr>
        <w:t>FR-023 — No silent defaults [Must]</w:t>
      </w:r>
    </w:p>
    <w:p>
      <w:r>
        <w:t>Missing satellite values must not be replaced with fixed constants such as NDVI=0.2, ET=10 or soil moisture=0.15 for production predictions.</w:t>
      </w:r>
    </w:p>
    <w:p>
      <w:pPr>
        <w:spacing w:after="100"/>
        <w:ind w:left="259"/>
      </w:pPr>
      <w:r>
        <w:rPr>
          <w:b/>
        </w:rPr>
        <w:t xml:space="preserve">Acceptance criteria: </w:t>
      </w:r>
      <w:r>
        <w:t>Missingness propagates to quality/confidence flags; any imputation is documented, trained/evaluated and shown in lineage.</w:t>
      </w:r>
    </w:p>
    <w:p>
      <w:pPr>
        <w:spacing w:before="80"/>
      </w:pPr>
      <w:r>
        <w:rPr>
          <w:b/>
          <w:color w:val="176B87"/>
        </w:rPr>
        <w:t>FR-024 — Lineage [Must]</w:t>
      </w:r>
    </w:p>
    <w:p>
      <w:r>
        <w:t>Store raw-source identifiers or checksums, retrieval time, transformation version, code revision, spatial aggregation method and output identifiers.</w:t>
      </w:r>
    </w:p>
    <w:p>
      <w:pPr>
        <w:spacing w:after="100"/>
        <w:ind w:left="259"/>
      </w:pPr>
      <w:r>
        <w:rPr>
          <w:b/>
        </w:rPr>
        <w:t xml:space="preserve">Acceptance criteria: </w:t>
      </w:r>
      <w:r>
        <w:t>An auditor can trace a displayed result to source and transformation versions.</w:t>
      </w:r>
    </w:p>
    <w:p>
      <w:pPr>
        <w:spacing w:before="80"/>
      </w:pPr>
      <w:r>
        <w:rPr>
          <w:b/>
          <w:color w:val="176B87"/>
        </w:rPr>
        <w:t>FR-025 — Data freshness [Must]</w:t>
      </w:r>
    </w:p>
    <w:p>
      <w:r>
        <w:t>Expose last successful update, source observation period and expected next update for each layer.</w:t>
      </w:r>
    </w:p>
    <w:p>
      <w:pPr>
        <w:spacing w:after="100"/>
        <w:ind w:left="259"/>
      </w:pPr>
      <w:r>
        <w:rPr>
          <w:b/>
        </w:rPr>
        <w:t xml:space="preserve">Acceptance criteria: </w:t>
      </w:r>
      <w:r>
        <w:t>Stale data is visibly labelled and excluded from alerting according to source-specific policy.</w:t>
      </w:r>
    </w:p>
    <w:p>
      <w:pPr>
        <w:spacing w:before="80"/>
      </w:pPr>
      <w:r>
        <w:rPr>
          <w:b/>
          <w:color w:val="176B87"/>
        </w:rPr>
        <w:t>FR-026 — Administrative boundary management [Must]</w:t>
      </w:r>
    </w:p>
    <w:p>
      <w:r>
        <w:t>Use a versioned official/approved boundary dataset with stable identifiers and change history.</w:t>
      </w:r>
    </w:p>
    <w:p>
      <w:pPr>
        <w:spacing w:after="100"/>
        <w:ind w:left="259"/>
      </w:pPr>
      <w:r>
        <w:rPr>
          <w:b/>
        </w:rPr>
        <w:t xml:space="preserve">Acceptance criteria: </w:t>
      </w:r>
      <w:r>
        <w:t>Boundary updates are reviewed; changed boundaries trigger reprocessing and documented comparability warnings.</w:t>
      </w:r>
    </w:p>
    <w:p>
      <w:pPr>
        <w:pStyle w:val="Heading2"/>
        <w:keepNext/>
      </w:pPr>
      <w:r>
        <w:t>8.4 Groundwater indicators and predictive analytics</w:t>
      </w:r>
    </w:p>
    <w:p>
      <w:pPr>
        <w:spacing w:before="80"/>
      </w:pPr>
      <w:r>
        <w:rPr>
          <w:b/>
          <w:color w:val="176B87"/>
        </w:rPr>
        <w:t>FR-030 — Descriptive indicators first [Must]</w:t>
      </w:r>
    </w:p>
    <w:p>
      <w:r>
        <w:t>The MVP shall expose validated descriptive indicators (for example, rainfall anomaly or observed groundwater-level change) separately from model estimates.</w:t>
      </w:r>
    </w:p>
    <w:p>
      <w:pPr>
        <w:spacing w:after="100"/>
        <w:ind w:left="259"/>
      </w:pPr>
      <w:r>
        <w:rPr>
          <w:b/>
        </w:rPr>
        <w:t xml:space="preserve">Acceptance criteria: </w:t>
      </w:r>
      <w:r>
        <w:t>Users can distinguish direct observations, derived indicators and forecasts by label and icon.</w:t>
      </w:r>
    </w:p>
    <w:p>
      <w:pPr>
        <w:spacing w:before="80"/>
      </w:pPr>
      <w:r>
        <w:rPr>
          <w:b/>
          <w:color w:val="176B87"/>
        </w:rPr>
        <w:t>FR-031 — GSS definition governance [Must]</w:t>
      </w:r>
    </w:p>
    <w:p>
      <w:r>
        <w:t>A 0–100 GSS may be introduced only after its construct, units, directionality, calibration, weights and validation are documented and approved.</w:t>
      </w:r>
    </w:p>
    <w:p>
      <w:pPr>
        <w:spacing w:after="100"/>
        <w:ind w:left="259"/>
      </w:pPr>
      <w:r>
        <w:rPr>
          <w:b/>
        </w:rPr>
        <w:t xml:space="preserve">Acceptance criteria: </w:t>
      </w:r>
      <w:r>
        <w:t>Model card defines interpretation and limitations; a score of 50 has no implied meaning until validated; changes require review.</w:t>
      </w:r>
    </w:p>
    <w:p>
      <w:pPr>
        <w:spacing w:before="80"/>
      </w:pPr>
      <w:r>
        <w:rPr>
          <w:b/>
          <w:color w:val="176B87"/>
        </w:rPr>
        <w:t>FR-032 — Forecast horizon [Must]</w:t>
      </w:r>
    </w:p>
    <w:p>
      <w:r>
        <w:t>Any forecast shall state target variable, forecast horizon, reference date, uncertainty interval and validation performance for that horizon.</w:t>
      </w:r>
    </w:p>
    <w:p>
      <w:pPr>
        <w:spacing w:after="100"/>
        <w:ind w:left="259"/>
      </w:pPr>
      <w:r>
        <w:rPr>
          <w:b/>
        </w:rPr>
        <w:t xml:space="preserve">Acceptance criteria: </w:t>
      </w:r>
      <w:r>
        <w:t>Forecast is hidden or marked unavailable if inputs fail freshness/coverage gates or the target/horizon lacks validation.</w:t>
      </w:r>
    </w:p>
    <w:p>
      <w:pPr>
        <w:spacing w:before="80"/>
      </w:pPr>
      <w:r>
        <w:rPr>
          <w:b/>
          <w:color w:val="176B87"/>
        </w:rPr>
        <w:t>FR-033 — Days-to-crisis safeguard [Must]</w:t>
      </w:r>
    </w:p>
    <w:p>
      <w:r>
        <w:t>Do not display a numeric 'days-to-crisis' countdown in the operational MVP unless a defensible critical threshold, target variable, calibration dataset and prospective performance are approved.</w:t>
      </w:r>
    </w:p>
    <w:p>
      <w:pPr>
        <w:spacing w:after="100"/>
        <w:ind w:left="259"/>
      </w:pPr>
      <w:r>
        <w:rPr>
          <w:b/>
        </w:rPr>
        <w:t xml:space="preserve">Acceptance criteria: </w:t>
      </w:r>
      <w:r>
        <w:t>Release gate includes evidence that countdown calibration is useful and stable; otherwise UI uses qualitative signals and recommended verification.</w:t>
      </w:r>
    </w:p>
    <w:p>
      <w:pPr>
        <w:spacing w:before="80"/>
      </w:pPr>
      <w:r>
        <w:rPr>
          <w:b/>
          <w:color w:val="176B87"/>
        </w:rPr>
        <w:t>FR-034 — Uncertainty and confidence [Must]</w:t>
      </w:r>
    </w:p>
    <w:p>
      <w:r>
        <w:t>Represent confidence using documented data-quality and model-uncertainty measures; avoid presenting an opaque single confidence percentage.</w:t>
      </w:r>
    </w:p>
    <w:p>
      <w:pPr>
        <w:spacing w:after="100"/>
        <w:ind w:left="259"/>
      </w:pPr>
      <w:r>
        <w:rPr>
          <w:b/>
        </w:rPr>
        <w:t xml:space="preserve">Acceptance criteria: </w:t>
      </w:r>
      <w:r>
        <w:t>Each prediction has a confidence/quality explanation and explicit 'insufficient evidence' state.</w:t>
      </w:r>
    </w:p>
    <w:p>
      <w:pPr>
        <w:spacing w:before="80"/>
      </w:pPr>
      <w:r>
        <w:rPr>
          <w:b/>
          <w:color w:val="176B87"/>
        </w:rPr>
        <w:t>FR-035 — Baseline comparison [Must]</w:t>
      </w:r>
    </w:p>
    <w:p>
      <w:r>
        <w:t>Compare candidate models against simple baselines and persistence forecasts; split validation by time and geography to avoid leakage.</w:t>
      </w:r>
    </w:p>
    <w:p>
      <w:pPr>
        <w:spacing w:after="100"/>
        <w:ind w:left="259"/>
      </w:pPr>
      <w:r>
        <w:rPr>
          <w:b/>
        </w:rPr>
        <w:t xml:space="preserve">Acceptance criteria: </w:t>
      </w:r>
      <w:r>
        <w:t>Validation report includes baseline performance and error breakdowns by block, season, lead time and data availability.</w:t>
      </w:r>
    </w:p>
    <w:p>
      <w:pPr>
        <w:spacing w:before="80"/>
      </w:pPr>
      <w:r>
        <w:rPr>
          <w:b/>
          <w:color w:val="176B87"/>
        </w:rPr>
        <w:t>FR-036 — Model registry [Must]</w:t>
      </w:r>
    </w:p>
    <w:p>
      <w:r>
        <w:t>Version model artifacts, features, training data period, code, hyperparameters, intended use and approval state.</w:t>
      </w:r>
    </w:p>
    <w:p>
      <w:pPr>
        <w:spacing w:after="100"/>
        <w:ind w:left="259"/>
      </w:pPr>
      <w:r>
        <w:rPr>
          <w:b/>
        </w:rPr>
        <w:t xml:space="preserve">Acceptance criteria: </w:t>
      </w:r>
      <w:r>
        <w:t>Every prediction records model version; rollback to prior approved version is tested.</w:t>
      </w:r>
    </w:p>
    <w:p>
      <w:pPr>
        <w:spacing w:before="80"/>
      </w:pPr>
      <w:r>
        <w:rPr>
          <w:b/>
          <w:color w:val="176B87"/>
        </w:rPr>
        <w:t>FR-037 — Drift and recalibration [Must]</w:t>
      </w:r>
    </w:p>
    <w:p>
      <w:r>
        <w:t>Monitor changes in feature distributions, missingness and observed errors when new ground observations arrive.</w:t>
      </w:r>
    </w:p>
    <w:p>
      <w:pPr>
        <w:spacing w:after="100"/>
        <w:ind w:left="259"/>
      </w:pPr>
      <w:r>
        <w:rPr>
          <w:b/>
        </w:rPr>
        <w:t xml:space="preserve">Acceptance criteria: </w:t>
      </w:r>
      <w:r>
        <w:t>Drift alerts create review tasks; no automatic model replacement without approval.</w:t>
      </w:r>
    </w:p>
    <w:p>
      <w:pPr>
        <w:spacing w:before="80"/>
      </w:pPr>
      <w:r>
        <w:rPr>
          <w:b/>
          <w:color w:val="176B87"/>
        </w:rPr>
        <w:t>FR-038 — Human override [Must]</w:t>
      </w:r>
    </w:p>
    <w:p>
      <w:r>
        <w:t>Authorized reviewers may suppress, downgrade, escalate or annotate a model-generated signal with a reason.</w:t>
      </w:r>
    </w:p>
    <w:p>
      <w:pPr>
        <w:spacing w:after="100"/>
        <w:ind w:left="259"/>
      </w:pPr>
      <w:r>
        <w:rPr>
          <w:b/>
        </w:rPr>
        <w:t xml:space="preserve">Acceptance criteria: </w:t>
      </w:r>
      <w:r>
        <w:t>Overrides are logged and available for audit; reviewer identity and time are recorded.</w:t>
      </w:r>
    </w:p>
    <w:p>
      <w:pPr>
        <w:pStyle w:val="Heading2"/>
        <w:keepNext/>
      </w:pPr>
      <w:r>
        <w:t>8.5 Scheme recommendation and action support</w:t>
      </w:r>
    </w:p>
    <w:p>
      <w:pPr>
        <w:spacing w:before="80"/>
      </w:pPr>
      <w:r>
        <w:rPr>
          <w:b/>
          <w:color w:val="176B87"/>
        </w:rPr>
        <w:t>FR-040 — Versioned scheme catalogue [Must]</w:t>
      </w:r>
    </w:p>
    <w:p>
      <w:r>
        <w:t>Maintain official programme name, responsible authority, permitted activities, eligibility conditions, funding/approval pathway, geographic scope, effective date, source URL/document and last verification date.</w:t>
      </w:r>
    </w:p>
    <w:p>
      <w:pPr>
        <w:spacing w:after="100"/>
        <w:ind w:left="259"/>
      </w:pPr>
      <w:r>
        <w:rPr>
          <w:b/>
        </w:rPr>
        <w:t xml:space="preserve">Acceptance criteria: </w:t>
      </w:r>
      <w:r>
        <w:t>Every displayed scheme suggestion links to an authoritative source and has a current verification status.</w:t>
      </w:r>
    </w:p>
    <w:p>
      <w:pPr>
        <w:spacing w:before="80"/>
      </w:pPr>
      <w:r>
        <w:rPr>
          <w:b/>
          <w:color w:val="176B87"/>
        </w:rPr>
        <w:t>FR-041 — Eligibility safeguards [Must]</w:t>
      </w:r>
    </w:p>
    <w:p>
      <w:r>
        <w:t>The engine may suggest a programme for review but shall not claim eligibility or automatic approval without verified local criteria and required case data.</w:t>
      </w:r>
    </w:p>
    <w:p>
      <w:pPr>
        <w:spacing w:after="100"/>
        <w:ind w:left="259"/>
      </w:pPr>
      <w:r>
        <w:rPr>
          <w:b/>
        </w:rPr>
        <w:t xml:space="preserve">Acceptance criteria: </w:t>
      </w:r>
      <w:r>
        <w:t>Message states 'review for applicability' until the competent official confirms eligibility.</w:t>
      </w:r>
    </w:p>
    <w:p>
      <w:pPr>
        <w:spacing w:before="80"/>
      </w:pPr>
      <w:r>
        <w:rPr>
          <w:b/>
          <w:color w:val="176B87"/>
        </w:rPr>
        <w:t>FR-042 — Action recommendation rationale [Must]</w:t>
      </w:r>
    </w:p>
    <w:p>
      <w:r>
        <w:t>Each recommendation must explain which signal or local condition triggered it, what verification is needed, who should review it and which authority owns the next step.</w:t>
      </w:r>
    </w:p>
    <w:p>
      <w:pPr>
        <w:spacing w:after="100"/>
        <w:ind w:left="259"/>
      </w:pPr>
      <w:r>
        <w:rPr>
          <w:b/>
        </w:rPr>
        <w:t xml:space="preserve">Acceptance criteria: </w:t>
      </w:r>
      <w:r>
        <w:t>Reviewer can see rationale and source; unsupported recommendations are blocked.</w:t>
      </w:r>
    </w:p>
    <w:p>
      <w:pPr>
        <w:spacing w:before="80"/>
      </w:pPr>
      <w:r>
        <w:rPr>
          <w:b/>
          <w:color w:val="176B87"/>
        </w:rPr>
        <w:t>FR-043 — No automatic engineering prescription [Must]</w:t>
      </w:r>
    </w:p>
    <w:p>
      <w:r>
        <w:t>Do not prescribe injection wells, recharge structures, desilting or crop changes solely from a satellite-derived risk category.</w:t>
      </w:r>
    </w:p>
    <w:p>
      <w:pPr>
        <w:spacing w:after="100"/>
        <w:ind w:left="259"/>
      </w:pPr>
      <w:r>
        <w:rPr>
          <w:b/>
        </w:rPr>
        <w:t xml:space="preserve">Acceptance criteria: </w:t>
      </w:r>
      <w:r>
        <w:t>Recommendations requiring hydrogeological/site assessment explicitly require technical verification and relevant approvals.</w:t>
      </w:r>
    </w:p>
    <w:p>
      <w:pPr>
        <w:spacing w:before="80"/>
      </w:pPr>
      <w:r>
        <w:rPr>
          <w:b/>
          <w:color w:val="176B87"/>
        </w:rPr>
        <w:t>FR-044 — Action tracking [Must]</w:t>
      </w:r>
    </w:p>
    <w:p>
      <w:r>
        <w:t>Track recommendation status: proposed, under review, accepted, rejected, planned, in progress, completed or not feasible.</w:t>
      </w:r>
    </w:p>
    <w:p>
      <w:pPr>
        <w:spacing w:after="100"/>
        <w:ind w:left="259"/>
      </w:pPr>
      <w:r>
        <w:rPr>
          <w:b/>
        </w:rPr>
        <w:t xml:space="preserve">Acceptance criteria: </w:t>
      </w:r>
      <w:r>
        <w:t>Status changes include owner and timestamp; reports can summarize follow-through without exposing unnecessary personal data.</w:t>
      </w:r>
    </w:p>
    <w:p>
      <w:pPr>
        <w:pStyle w:val="Heading2"/>
        <w:keepNext/>
      </w:pPr>
      <w:r>
        <w:t>8.6 Alerts and communications</w:t>
      </w:r>
    </w:p>
    <w:p>
      <w:pPr>
        <w:spacing w:before="80"/>
      </w:pPr>
      <w:r>
        <w:rPr>
          <w:b/>
          <w:color w:val="176B87"/>
        </w:rPr>
        <w:t>FR-050 — Alert eligibility [Must]</w:t>
      </w:r>
    </w:p>
    <w:p>
      <w:r>
        <w:t>Only approved alerts meeting data freshness, quality, model-validation and recipient authorization rules may be sent.</w:t>
      </w:r>
    </w:p>
    <w:p>
      <w:pPr>
        <w:spacing w:after="100"/>
        <w:ind w:left="259"/>
      </w:pPr>
      <w:r>
        <w:rPr>
          <w:b/>
        </w:rPr>
        <w:t xml:space="preserve">Acceptance criteria: </w:t>
      </w:r>
      <w:r>
        <w:t>Automated tests demonstrate stale, low-confidence, duplicate and unapproved alerts are suppressed.</w:t>
      </w:r>
    </w:p>
    <w:p>
      <w:pPr>
        <w:spacing w:before="80"/>
      </w:pPr>
      <w:r>
        <w:rPr>
          <w:b/>
          <w:color w:val="176B87"/>
        </w:rPr>
        <w:t>FR-051 — Hindi-first message [Must]</w:t>
      </w:r>
    </w:p>
    <w:p>
      <w:r>
        <w:t>Use reviewed, plain Hindi templates. Include area, signal period, what was observed/estimated, uncertainty, verification step, recommended action for review and a contact/feedback route.</w:t>
      </w:r>
    </w:p>
    <w:p>
      <w:pPr>
        <w:spacing w:after="100"/>
        <w:ind w:left="259"/>
      </w:pPr>
      <w:r>
        <w:rPr>
          <w:b/>
        </w:rPr>
        <w:t xml:space="preserve">Acceptance criteria: </w:t>
      </w:r>
      <w:r>
        <w:t>Native Hindi reviewer signs off templates; terminology is tested with intended recipients; message fits channel limits.</w:t>
      </w:r>
    </w:p>
    <w:p>
      <w:pPr>
        <w:spacing w:before="80"/>
      </w:pPr>
      <w:r>
        <w:rPr>
          <w:b/>
          <w:color w:val="176B87"/>
        </w:rPr>
        <w:t>FR-052 — Channel fallback [Must]</w:t>
      </w:r>
    </w:p>
    <w:p>
      <w:r>
        <w:t>Support WhatsApp and SMS only after provider, sender, template, consent/notice and cost requirements are confirmed. Define fallback behavior and channel preference.</w:t>
      </w:r>
    </w:p>
    <w:p>
      <w:pPr>
        <w:spacing w:after="100"/>
        <w:ind w:left="259"/>
      </w:pPr>
      <w:r>
        <w:rPr>
          <w:b/>
        </w:rPr>
        <w:t xml:space="preserve">Acceptance criteria: </w:t>
      </w:r>
      <w:r>
        <w:t>Delivery attempts and statuses are logged; failed WhatsApp messages are not automatically duplicated across channels without policy.</w:t>
      </w:r>
    </w:p>
    <w:p>
      <w:pPr>
        <w:spacing w:before="80"/>
      </w:pPr>
      <w:r>
        <w:rPr>
          <w:b/>
          <w:color w:val="176B87"/>
        </w:rPr>
        <w:t>FR-053 — Deduplication and rate limits [Must]</w:t>
      </w:r>
    </w:p>
    <w:p>
      <w:r>
        <w:t>Avoid repeated messages for unchanged conditions; support cooldown windows, severity escalation and recipient-level caps.</w:t>
      </w:r>
    </w:p>
    <w:p>
      <w:pPr>
        <w:spacing w:after="100"/>
        <w:ind w:left="259"/>
      </w:pPr>
      <w:r>
        <w:rPr>
          <w:b/>
        </w:rPr>
        <w:t xml:space="preserve">Acceptance criteria: </w:t>
      </w:r>
      <w:r>
        <w:t>Repeated pipeline runs do not duplicate an alert; a material escalation can bypass cooldown only under configured policy.</w:t>
      </w:r>
    </w:p>
    <w:p>
      <w:pPr>
        <w:spacing w:before="80"/>
      </w:pPr>
      <w:r>
        <w:rPr>
          <w:b/>
          <w:color w:val="176B87"/>
        </w:rPr>
        <w:t>FR-054 — Alert audit trail [Must]</w:t>
      </w:r>
    </w:p>
    <w:p>
      <w:r>
        <w:t>Record alert candidate, reviewer decision, message template version, recipient set, send attempts, provider response and acknowledgement.</w:t>
      </w:r>
    </w:p>
    <w:p>
      <w:pPr>
        <w:spacing w:after="100"/>
        <w:ind w:left="259"/>
      </w:pPr>
      <w:r>
        <w:rPr>
          <w:b/>
        </w:rPr>
        <w:t xml:space="preserve">Acceptance criteria: </w:t>
      </w:r>
      <w:r>
        <w:t>Authorized audit can reconstruct why, when, to whom and with which evidence an alert was sent.</w:t>
      </w:r>
    </w:p>
    <w:p>
      <w:pPr>
        <w:spacing w:before="80"/>
      </w:pPr>
      <w:r>
        <w:rPr>
          <w:b/>
          <w:color w:val="176B87"/>
        </w:rPr>
        <w:t>FR-055 — Delivery and acknowledgement [Must]</w:t>
      </w:r>
    </w:p>
    <w:p>
      <w:r>
        <w:t>Track submitted, delivered, failed, acknowledged and action-status states where channel/provider capabilities permit.</w:t>
      </w:r>
    </w:p>
    <w:p>
      <w:pPr>
        <w:spacing w:after="100"/>
        <w:ind w:left="259"/>
      </w:pPr>
      <w:r>
        <w:rPr>
          <w:b/>
        </w:rPr>
        <w:t xml:space="preserve">Acceptance criteria: </w:t>
      </w:r>
      <w:r>
        <w:t>Dashboard distinguishes provider acceptance from confirmed delivery and from human acknowledgement.</w:t>
      </w:r>
    </w:p>
    <w:p>
      <w:pPr>
        <w:spacing w:before="80"/>
      </w:pPr>
      <w:r>
        <w:rPr>
          <w:b/>
          <w:color w:val="176B87"/>
        </w:rPr>
        <w:t>FR-056 — Safe wording [Must]</w:t>
      </w:r>
    </w:p>
    <w:p>
      <w:r>
        <w:t>Alerts must not assert that groundwater will be exhausted on a precise date unless this claim is scientifically validated and approved.</w:t>
      </w:r>
    </w:p>
    <w:p>
      <w:pPr>
        <w:spacing w:after="100"/>
        <w:ind w:left="259"/>
      </w:pPr>
      <w:r>
        <w:rPr>
          <w:b/>
        </w:rPr>
        <w:t xml:space="preserve">Acceptance criteria: </w:t>
      </w:r>
      <w:r>
        <w:t>Template tests reject unsupported certainty language and require caveat/verification instructions.</w:t>
      </w:r>
    </w:p>
    <w:p>
      <w:pPr>
        <w:pStyle w:val="Heading2"/>
        <w:keepNext/>
      </w:pPr>
      <w:r>
        <w:t>8.7 Feedback, reports and operations</w:t>
      </w:r>
    </w:p>
    <w:p>
      <w:pPr>
        <w:spacing w:before="80"/>
      </w:pPr>
      <w:r>
        <w:rPr>
          <w:b/>
          <w:color w:val="176B87"/>
        </w:rPr>
        <w:t>FR-060 — Field feedback [Must]</w:t>
      </w:r>
    </w:p>
    <w:p>
      <w:r>
        <w:t>Provide a low-friction way for authorized recipients to report local conditions, incorrect boundary/alert, completed verification or support needs.</w:t>
      </w:r>
    </w:p>
    <w:p>
      <w:pPr>
        <w:spacing w:after="100"/>
        <w:ind w:left="259"/>
      </w:pPr>
      <w:r>
        <w:rPr>
          <w:b/>
        </w:rPr>
        <w:t xml:space="preserve">Acceptance criteria: </w:t>
      </w:r>
      <w:r>
        <w:t>Feedback is timestamped, jurisdiction-linked and triaged; free-text fields are minimized and protected.</w:t>
      </w:r>
    </w:p>
    <w:p>
      <w:pPr>
        <w:spacing w:before="80"/>
      </w:pPr>
      <w:r>
        <w:rPr>
          <w:b/>
          <w:color w:val="176B87"/>
        </w:rPr>
        <w:t>FR-061 — Incident/report workflow [Must]</w:t>
      </w:r>
    </w:p>
    <w:p>
      <w:r>
        <w:t>Allow users to report inaccurate alerts, stale data, inappropriate recommendations or suspected security issues.</w:t>
      </w:r>
    </w:p>
    <w:p>
      <w:pPr>
        <w:spacing w:after="100"/>
        <w:ind w:left="259"/>
      </w:pPr>
      <w:r>
        <w:rPr>
          <w:b/>
        </w:rPr>
        <w:t xml:space="preserve">Acceptance criteria: </w:t>
      </w:r>
      <w:r>
        <w:t>Each report receives an identifier, owner, status and resolution record.</w:t>
      </w:r>
    </w:p>
    <w:p>
      <w:pPr>
        <w:spacing w:before="80"/>
      </w:pPr>
      <w:r>
        <w:rPr>
          <w:b/>
          <w:color w:val="176B87"/>
        </w:rPr>
        <w:t>FR-062 — Operational analytics [Must]</w:t>
      </w:r>
    </w:p>
    <w:p>
      <w:r>
        <w:t>Show pipeline success, data freshness, coverage, alert burden, delivery/acknowledgement, reviewer workload and action follow-through.</w:t>
      </w:r>
    </w:p>
    <w:p>
      <w:pPr>
        <w:spacing w:after="100"/>
        <w:ind w:left="259"/>
      </w:pPr>
      <w:r>
        <w:rPr>
          <w:b/>
        </w:rPr>
        <w:t xml:space="preserve">Acceptance criteria: </w:t>
      </w:r>
      <w:r>
        <w:t>Metrics are defined in a data dictionary and exclude personal information unless strictly necessary.</w:t>
      </w:r>
    </w:p>
    <w:p>
      <w:pPr>
        <w:spacing w:before="80"/>
      </w:pPr>
      <w:r>
        <w:rPr>
          <w:b/>
          <w:color w:val="176B87"/>
        </w:rPr>
        <w:t>FR-063 — Audit log [Must]</w:t>
      </w:r>
    </w:p>
    <w:p>
      <w:r>
        <w:t>Record authentication/security events, exports, configuration changes, reviewer actions, model releases and alert dispatches.</w:t>
      </w:r>
    </w:p>
    <w:p>
      <w:pPr>
        <w:spacing w:after="100"/>
        <w:ind w:left="259"/>
      </w:pPr>
      <w:r>
        <w:rPr>
          <w:b/>
        </w:rPr>
        <w:t xml:space="preserve">Acceptance criteria: </w:t>
      </w:r>
      <w:r>
        <w:t>Logs are access-controlled, tamper-resistant to a reasonable operational standard and retained under an approved policy.</w:t>
      </w:r>
    </w:p>
    <w:p>
      <w:pPr>
        <w:pStyle w:val="Heading1"/>
        <w:keepNext/>
      </w:pPr>
      <w:r>
        <w:t>9. Data Requirements &amp; Source Assessment</w:t>
      </w:r>
    </w:p>
    <w:p>
      <w:r>
        <w:t>The source document names NASA GRACE-FO, IMD precipitation, Google Earth Engine products including Sentinel-2, MODIS ET and SMAP soil moisture, and CGWB well observations. The availability, latency, licensing, API access, exact product selection and permissible redistribution for the pilot have not been demonstrated in the supplied material. Each source requires a technical and legal access review before implementation.</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2498"/>
            <w:vAlign w:val="center"/>
            <w:shd w:fill="123B5D"/>
          </w:tcPr>
          <w:p>
            <w:pPr>
              <w:spacing w:after="20"/>
            </w:pPr>
            <w:r/>
            <w:r>
              <w:rPr>
                <w:b/>
                <w:color w:val="FFFFFF"/>
                <w:sz w:val="16"/>
              </w:rPr>
              <w:t>Data family</w:t>
            </w:r>
          </w:p>
        </w:tc>
        <w:tc>
          <w:tcPr>
            <w:tcW w:type="dxa" w:w="2498"/>
            <w:vAlign w:val="center"/>
            <w:shd w:fill="123B5D"/>
          </w:tcPr>
          <w:p>
            <w:pPr>
              <w:spacing w:after="20"/>
            </w:pPr>
            <w:r/>
            <w:r>
              <w:rPr>
                <w:b/>
                <w:color w:val="FFFFFF"/>
                <w:sz w:val="16"/>
              </w:rPr>
              <w:t>Proposed use</w:t>
            </w:r>
          </w:p>
        </w:tc>
        <w:tc>
          <w:tcPr>
            <w:tcW w:type="dxa" w:w="2498"/>
            <w:vAlign w:val="center"/>
            <w:shd w:fill="123B5D"/>
          </w:tcPr>
          <w:p>
            <w:pPr>
              <w:spacing w:after="20"/>
            </w:pPr>
            <w:r/>
            <w:r>
              <w:rPr>
                <w:b/>
                <w:color w:val="FFFFFF"/>
                <w:sz w:val="16"/>
              </w:rPr>
              <w:t>Key caveat / validation need</w:t>
            </w:r>
          </w:p>
        </w:tc>
        <w:tc>
          <w:tcPr>
            <w:tcW w:type="dxa" w:w="2498"/>
            <w:vAlign w:val="center"/>
            <w:shd w:fill="123B5D"/>
          </w:tcPr>
          <w:p>
            <w:pPr>
              <w:spacing w:after="20"/>
            </w:pPr>
            <w:r/>
            <w:r>
              <w:rPr>
                <w:b/>
                <w:color w:val="FFFFFF"/>
                <w:sz w:val="16"/>
              </w:rPr>
              <w:t>Required product behavior</w:t>
            </w:r>
          </w:p>
        </w:tc>
      </w:tr>
      <w:tr>
        <w:tc>
          <w:tcPr>
            <w:tcW w:type="dxa" w:w="2498"/>
            <w:vAlign w:val="center"/>
          </w:tcPr>
          <w:p>
            <w:pPr>
              <w:spacing w:after="20"/>
            </w:pPr>
            <w:r/>
            <w:r>
              <w:rPr>
                <w:b w:val="0"/>
                <w:sz w:val="15"/>
              </w:rPr>
              <w:t>GRACE / GRACE-FO terrestrial water storage</w:t>
            </w:r>
          </w:p>
        </w:tc>
        <w:tc>
          <w:tcPr>
            <w:tcW w:type="dxa" w:w="2498"/>
            <w:vAlign w:val="center"/>
          </w:tcPr>
          <w:p>
            <w:pPr>
              <w:spacing w:after="20"/>
            </w:pPr>
            <w:r/>
            <w:r>
              <w:rPr>
                <w:b w:val="0"/>
                <w:sz w:val="15"/>
              </w:rPr>
              <w:t>Regional total-water-storage anomaly context</w:t>
            </w:r>
          </w:p>
        </w:tc>
        <w:tc>
          <w:tcPr>
            <w:tcW w:type="dxa" w:w="2498"/>
            <w:vAlign w:val="center"/>
          </w:tcPr>
          <w:p>
            <w:pPr>
              <w:spacing w:after="20"/>
            </w:pPr>
            <w:r/>
            <w:r>
              <w:rPr>
                <w:b w:val="0"/>
                <w:sz w:val="15"/>
              </w:rPr>
              <w:t>Coarse spatial support; total water storage includes multiple components and is not a direct block-level groundwater-depth measurement</w:t>
            </w:r>
          </w:p>
        </w:tc>
        <w:tc>
          <w:tcPr>
            <w:tcW w:type="dxa" w:w="2498"/>
            <w:vAlign w:val="center"/>
          </w:tcPr>
          <w:p>
            <w:pPr>
              <w:spacing w:after="20"/>
            </w:pPr>
            <w:r/>
            <w:r>
              <w:rPr>
                <w:b w:val="0"/>
                <w:sz w:val="15"/>
              </w:rPr>
              <w:t>Show native resolution/footprint and regional context; do not imply local precision from nearest-grid assignment</w:t>
            </w:r>
          </w:p>
        </w:tc>
      </w:tr>
      <w:tr>
        <w:tc>
          <w:tcPr>
            <w:tcW w:type="dxa" w:w="2498"/>
            <w:vAlign w:val="center"/>
            <w:shd w:fill="F2F6F8"/>
          </w:tcPr>
          <w:p>
            <w:pPr>
              <w:spacing w:after="20"/>
            </w:pPr>
            <w:r/>
            <w:r>
              <w:rPr>
                <w:b w:val="0"/>
                <w:sz w:val="15"/>
              </w:rPr>
              <w:t>Rainfall / IMD products</w:t>
            </w:r>
          </w:p>
        </w:tc>
        <w:tc>
          <w:tcPr>
            <w:tcW w:type="dxa" w:w="2498"/>
            <w:vAlign w:val="center"/>
            <w:shd w:fill="F2F6F8"/>
          </w:tcPr>
          <w:p>
            <w:pPr>
              <w:spacing w:after="20"/>
            </w:pPr>
            <w:r/>
            <w:r>
              <w:rPr>
                <w:b w:val="0"/>
                <w:sz w:val="15"/>
              </w:rPr>
              <w:t>Rainfall totals, anomalies and seasonal context</w:t>
            </w:r>
          </w:p>
        </w:tc>
        <w:tc>
          <w:tcPr>
            <w:tcW w:type="dxa" w:w="2498"/>
            <w:vAlign w:val="center"/>
            <w:shd w:fill="F2F6F8"/>
          </w:tcPr>
          <w:p>
            <w:pPr>
              <w:spacing w:after="20"/>
            </w:pPr>
            <w:r/>
            <w:r>
              <w:rPr>
                <w:b w:val="0"/>
                <w:sz w:val="15"/>
              </w:rPr>
              <w:t>Confirm exact product, access path, latency, units, spatial resolution and usage terms</w:t>
            </w:r>
          </w:p>
        </w:tc>
        <w:tc>
          <w:tcPr>
            <w:tcW w:type="dxa" w:w="2498"/>
            <w:vAlign w:val="center"/>
            <w:shd w:fill="F2F6F8"/>
          </w:tcPr>
          <w:p>
            <w:pPr>
              <w:spacing w:after="20"/>
            </w:pPr>
            <w:r/>
            <w:r>
              <w:rPr>
                <w:b w:val="0"/>
                <w:sz w:val="15"/>
              </w:rPr>
              <w:t>Display accumulation window, units, coverage and update date</w:t>
            </w:r>
          </w:p>
        </w:tc>
      </w:tr>
      <w:tr>
        <w:tc>
          <w:tcPr>
            <w:tcW w:type="dxa" w:w="2498"/>
            <w:vAlign w:val="center"/>
          </w:tcPr>
          <w:p>
            <w:pPr>
              <w:spacing w:after="20"/>
            </w:pPr>
            <w:r/>
            <w:r>
              <w:rPr>
                <w:b w:val="0"/>
                <w:sz w:val="15"/>
              </w:rPr>
              <w:t>Sentinel-2 / vegetation indices</w:t>
            </w:r>
          </w:p>
        </w:tc>
        <w:tc>
          <w:tcPr>
            <w:tcW w:type="dxa" w:w="2498"/>
            <w:vAlign w:val="center"/>
          </w:tcPr>
          <w:p>
            <w:pPr>
              <w:spacing w:after="20"/>
            </w:pPr>
            <w:r/>
            <w:r>
              <w:rPr>
                <w:b w:val="0"/>
                <w:sz w:val="15"/>
              </w:rPr>
              <w:t>Land-cover/vegetation response proxy</w:t>
            </w:r>
          </w:p>
        </w:tc>
        <w:tc>
          <w:tcPr>
            <w:tcW w:type="dxa" w:w="2498"/>
            <w:vAlign w:val="center"/>
          </w:tcPr>
          <w:p>
            <w:pPr>
              <w:spacing w:after="20"/>
            </w:pPr>
            <w:r/>
            <w:r>
              <w:rPr>
                <w:b w:val="0"/>
                <w:sz w:val="15"/>
              </w:rPr>
              <w:t>Clouds, compositing, seasonality and land-use changes affect values; NDVI is not a groundwater measurement</w:t>
            </w:r>
          </w:p>
        </w:tc>
        <w:tc>
          <w:tcPr>
            <w:tcW w:type="dxa" w:w="2498"/>
            <w:vAlign w:val="center"/>
          </w:tcPr>
          <w:p>
            <w:pPr>
              <w:spacing w:after="20"/>
            </w:pPr>
            <w:r/>
            <w:r>
              <w:rPr>
                <w:b w:val="0"/>
                <w:sz w:val="15"/>
              </w:rPr>
              <w:t>Show observation window, valid-pixel fraction and compositing method</w:t>
            </w:r>
          </w:p>
        </w:tc>
      </w:tr>
      <w:tr>
        <w:tc>
          <w:tcPr>
            <w:tcW w:type="dxa" w:w="2498"/>
            <w:vAlign w:val="center"/>
            <w:shd w:fill="F2F6F8"/>
          </w:tcPr>
          <w:p>
            <w:pPr>
              <w:spacing w:after="20"/>
            </w:pPr>
            <w:r/>
            <w:r>
              <w:rPr>
                <w:b w:val="0"/>
                <w:sz w:val="15"/>
              </w:rPr>
              <w:t>MODIS evapotranspiration</w:t>
            </w:r>
          </w:p>
        </w:tc>
        <w:tc>
          <w:tcPr>
            <w:tcW w:type="dxa" w:w="2498"/>
            <w:vAlign w:val="center"/>
            <w:shd w:fill="F2F6F8"/>
          </w:tcPr>
          <w:p>
            <w:pPr>
              <w:spacing w:after="20"/>
            </w:pPr>
            <w:r/>
            <w:r>
              <w:rPr>
                <w:b w:val="0"/>
                <w:sz w:val="15"/>
              </w:rPr>
              <w:t>Water/energy flux context</w:t>
            </w:r>
          </w:p>
        </w:tc>
        <w:tc>
          <w:tcPr>
            <w:tcW w:type="dxa" w:w="2498"/>
            <w:vAlign w:val="center"/>
            <w:shd w:fill="F2F6F8"/>
          </w:tcPr>
          <w:p>
            <w:pPr>
              <w:spacing w:after="20"/>
            </w:pPr>
            <w:r/>
            <w:r>
              <w:rPr>
                <w:b w:val="0"/>
                <w:sz w:val="15"/>
              </w:rPr>
              <w:t>Product scale, quality flags, units and temporal aggregation must be handled correctly</w:t>
            </w:r>
          </w:p>
        </w:tc>
        <w:tc>
          <w:tcPr>
            <w:tcW w:type="dxa" w:w="2498"/>
            <w:vAlign w:val="center"/>
            <w:shd w:fill="F2F6F8"/>
          </w:tcPr>
          <w:p>
            <w:pPr>
              <w:spacing w:after="20"/>
            </w:pPr>
            <w:r/>
            <w:r>
              <w:rPr>
                <w:b w:val="0"/>
                <w:sz w:val="15"/>
              </w:rPr>
              <w:t>Preserve QA flags and unit conversions; report data gaps</w:t>
            </w:r>
          </w:p>
        </w:tc>
      </w:tr>
      <w:tr>
        <w:tc>
          <w:tcPr>
            <w:tcW w:type="dxa" w:w="2498"/>
            <w:vAlign w:val="center"/>
          </w:tcPr>
          <w:p>
            <w:pPr>
              <w:spacing w:after="20"/>
            </w:pPr>
            <w:r/>
            <w:r>
              <w:rPr>
                <w:b w:val="0"/>
                <w:sz w:val="15"/>
              </w:rPr>
              <w:t>SMAP soil moisture</w:t>
            </w:r>
          </w:p>
        </w:tc>
        <w:tc>
          <w:tcPr>
            <w:tcW w:type="dxa" w:w="2498"/>
            <w:vAlign w:val="center"/>
          </w:tcPr>
          <w:p>
            <w:pPr>
              <w:spacing w:after="20"/>
            </w:pPr>
            <w:r/>
            <w:r>
              <w:rPr>
                <w:b w:val="0"/>
                <w:sz w:val="15"/>
              </w:rPr>
              <w:t>Near-surface soil-moisture context</w:t>
            </w:r>
          </w:p>
        </w:tc>
        <w:tc>
          <w:tcPr>
            <w:tcW w:type="dxa" w:w="2498"/>
            <w:vAlign w:val="center"/>
          </w:tcPr>
          <w:p>
            <w:pPr>
              <w:spacing w:after="20"/>
            </w:pPr>
            <w:r/>
            <w:r>
              <w:rPr>
                <w:b w:val="0"/>
                <w:sz w:val="15"/>
              </w:rPr>
              <w:t>Soil moisture is not groundwater level; product scale and retrieval limitations matter</w:t>
            </w:r>
          </w:p>
        </w:tc>
        <w:tc>
          <w:tcPr>
            <w:tcW w:type="dxa" w:w="2498"/>
            <w:vAlign w:val="center"/>
          </w:tcPr>
          <w:p>
            <w:pPr>
              <w:spacing w:after="20"/>
            </w:pPr>
            <w:r/>
            <w:r>
              <w:rPr>
                <w:b w:val="0"/>
                <w:sz w:val="15"/>
              </w:rPr>
              <w:t>Label as soil-moisture proxy and retain quality flags</w:t>
            </w:r>
          </w:p>
        </w:tc>
      </w:tr>
      <w:tr>
        <w:tc>
          <w:tcPr>
            <w:tcW w:type="dxa" w:w="2498"/>
            <w:vAlign w:val="center"/>
            <w:shd w:fill="F2F6F8"/>
          </w:tcPr>
          <w:p>
            <w:pPr>
              <w:spacing w:after="20"/>
            </w:pPr>
            <w:r/>
            <w:r>
              <w:rPr>
                <w:b w:val="0"/>
                <w:sz w:val="15"/>
              </w:rPr>
              <w:t>CGWB/state observation wells</w:t>
            </w:r>
          </w:p>
        </w:tc>
        <w:tc>
          <w:tcPr>
            <w:tcW w:type="dxa" w:w="2498"/>
            <w:vAlign w:val="center"/>
            <w:shd w:fill="F2F6F8"/>
          </w:tcPr>
          <w:p>
            <w:pPr>
              <w:spacing w:after="20"/>
            </w:pPr>
            <w:r/>
            <w:r>
              <w:rPr>
                <w:b w:val="0"/>
                <w:sz w:val="15"/>
              </w:rPr>
              <w:t>Ground-truth reference for calibration and monitoring</w:t>
            </w:r>
          </w:p>
        </w:tc>
        <w:tc>
          <w:tcPr>
            <w:tcW w:type="dxa" w:w="2498"/>
            <w:vAlign w:val="center"/>
            <w:shd w:fill="F2F6F8"/>
          </w:tcPr>
          <w:p>
            <w:pPr>
              <w:spacing w:after="20"/>
            </w:pPr>
            <w:r/>
            <w:r>
              <w:rPr>
                <w:b w:val="0"/>
                <w:sz w:val="15"/>
              </w:rPr>
              <w:t>Coverage, measurement frequency, permissions, station metadata and comparability must be assessed</w:t>
            </w:r>
          </w:p>
        </w:tc>
        <w:tc>
          <w:tcPr>
            <w:tcW w:type="dxa" w:w="2498"/>
            <w:vAlign w:val="center"/>
            <w:shd w:fill="F2F6F8"/>
          </w:tcPr>
          <w:p>
            <w:pPr>
              <w:spacing w:after="20"/>
            </w:pPr>
            <w:r/>
            <w:r>
              <w:rPr>
                <w:b w:val="0"/>
                <w:sz w:val="15"/>
              </w:rPr>
              <w:t>Keep station-level observations distinct; document aggregation and missingness</w:t>
            </w:r>
          </w:p>
        </w:tc>
      </w:tr>
      <w:tr>
        <w:tc>
          <w:tcPr>
            <w:tcW w:type="dxa" w:w="2498"/>
            <w:vAlign w:val="center"/>
          </w:tcPr>
          <w:p>
            <w:pPr>
              <w:spacing w:after="20"/>
            </w:pPr>
            <w:r/>
            <w:r>
              <w:rPr>
                <w:b w:val="0"/>
                <w:sz w:val="15"/>
              </w:rPr>
              <w:t>Administrative boundaries</w:t>
            </w:r>
          </w:p>
        </w:tc>
        <w:tc>
          <w:tcPr>
            <w:tcW w:type="dxa" w:w="2498"/>
            <w:vAlign w:val="center"/>
          </w:tcPr>
          <w:p>
            <w:pPr>
              <w:spacing w:after="20"/>
            </w:pPr>
            <w:r/>
            <w:r>
              <w:rPr>
                <w:b w:val="0"/>
                <w:sz w:val="15"/>
              </w:rPr>
              <w:t>Block/district mapping and aggregation</w:t>
            </w:r>
          </w:p>
        </w:tc>
        <w:tc>
          <w:tcPr>
            <w:tcW w:type="dxa" w:w="2498"/>
            <w:vAlign w:val="center"/>
          </w:tcPr>
          <w:p>
            <w:pPr>
              <w:spacing w:after="20"/>
            </w:pPr>
            <w:r/>
            <w:r>
              <w:rPr>
                <w:b w:val="0"/>
                <w:sz w:val="15"/>
              </w:rPr>
              <w:t>Boundaries and identifiers can change; geometry quality affects all outputs</w:t>
            </w:r>
          </w:p>
        </w:tc>
        <w:tc>
          <w:tcPr>
            <w:tcW w:type="dxa" w:w="2498"/>
            <w:vAlign w:val="center"/>
          </w:tcPr>
          <w:p>
            <w:pPr>
              <w:spacing w:after="20"/>
            </w:pPr>
            <w:r/>
            <w:r>
              <w:rPr>
                <w:b w:val="0"/>
                <w:sz w:val="15"/>
              </w:rPr>
              <w:t>Version boundaries; preserve stable IDs and change history</w:t>
            </w:r>
          </w:p>
        </w:tc>
      </w:tr>
      <w:tr>
        <w:tc>
          <w:tcPr>
            <w:tcW w:type="dxa" w:w="2498"/>
            <w:vAlign w:val="center"/>
            <w:shd w:fill="F2F6F8"/>
          </w:tcPr>
          <w:p>
            <w:pPr>
              <w:spacing w:after="20"/>
            </w:pPr>
            <w:r/>
            <w:r>
              <w:rPr>
                <w:b w:val="0"/>
                <w:sz w:val="15"/>
              </w:rPr>
              <w:t>Scheme/programme guidelines</w:t>
            </w:r>
          </w:p>
        </w:tc>
        <w:tc>
          <w:tcPr>
            <w:tcW w:type="dxa" w:w="2498"/>
            <w:vAlign w:val="center"/>
            <w:shd w:fill="F2F6F8"/>
          </w:tcPr>
          <w:p>
            <w:pPr>
              <w:spacing w:after="20"/>
            </w:pPr>
            <w:r/>
            <w:r>
              <w:rPr>
                <w:b w:val="0"/>
                <w:sz w:val="15"/>
              </w:rPr>
              <w:t>Action catalogue and eligibility review</w:t>
            </w:r>
          </w:p>
        </w:tc>
        <w:tc>
          <w:tcPr>
            <w:tcW w:type="dxa" w:w="2498"/>
            <w:vAlign w:val="center"/>
            <w:shd w:fill="F2F6F8"/>
          </w:tcPr>
          <w:p>
            <w:pPr>
              <w:spacing w:after="20"/>
            </w:pPr>
            <w:r/>
            <w:r>
              <w:rPr>
                <w:b w:val="0"/>
                <w:sz w:val="15"/>
              </w:rPr>
              <w:t>Rules change and local applicability depends on programme and competent authority</w:t>
            </w:r>
          </w:p>
        </w:tc>
        <w:tc>
          <w:tcPr>
            <w:tcW w:type="dxa" w:w="2498"/>
            <w:vAlign w:val="center"/>
            <w:shd w:fill="F2F6F8"/>
          </w:tcPr>
          <w:p>
            <w:pPr>
              <w:spacing w:after="20"/>
            </w:pPr>
            <w:r/>
            <w:r>
              <w:rPr>
                <w:b w:val="0"/>
                <w:sz w:val="15"/>
              </w:rPr>
              <w:t>Store effective dates, official sources and last-verified status</w:t>
            </w:r>
          </w:p>
        </w:tc>
      </w:tr>
    </w:tbl>
    <w:p/>
    <w:p>
      <w:pPr>
        <w:pStyle w:val="Heading2"/>
        <w:keepNext/>
      </w:pPr>
      <w:r>
        <w:t>9.1 Data acceptance checklist</w:t>
      </w:r>
    </w:p>
    <w:p>
      <w:pPr>
        <w:pStyle w:val="ListBullet"/>
        <w:spacing w:after="40"/>
      </w:pPr>
      <w:r>
        <w:t>Provider, dataset name, version/product ID and owner recorded.</w:t>
      </w:r>
    </w:p>
    <w:p>
      <w:pPr>
        <w:pStyle w:val="ListBullet"/>
        <w:spacing w:after="40"/>
      </w:pPr>
      <w:r>
        <w:t>Access method tested; quotas, authentication and service terms reviewed.</w:t>
      </w:r>
    </w:p>
    <w:p>
      <w:pPr>
        <w:pStyle w:val="ListBullet"/>
        <w:spacing w:after="40"/>
      </w:pPr>
      <w:r>
        <w:t>Licensing/attribution/redistribution conditions reviewed by the responsible owner.</w:t>
      </w:r>
    </w:p>
    <w:p>
      <w:pPr>
        <w:pStyle w:val="ListBullet"/>
        <w:spacing w:after="40"/>
      </w:pPr>
      <w:r>
        <w:t>Spatial resolution, temporal cadence, latency, units, CRS and QA flags documented.</w:t>
      </w:r>
    </w:p>
    <w:p>
      <w:pPr>
        <w:pStyle w:val="ListBullet"/>
        <w:spacing w:after="40"/>
      </w:pPr>
      <w:r>
        <w:t>Historical depth and spatial coverage measured for pilot blocks.</w:t>
      </w:r>
    </w:p>
    <w:p>
      <w:pPr>
        <w:pStyle w:val="ListBullet"/>
        <w:spacing w:after="40"/>
      </w:pPr>
      <w:r>
        <w:t>Independent reference data identified for evaluation.</w:t>
      </w:r>
    </w:p>
    <w:p>
      <w:pPr>
        <w:pStyle w:val="ListBullet"/>
        <w:spacing w:after="40"/>
      </w:pPr>
      <w:r>
        <w:t>Failure behavior, retry policy and source outage monitoring defined.</w:t>
      </w:r>
    </w:p>
    <w:p>
      <w:pPr>
        <w:pStyle w:val="ListBullet"/>
        <w:spacing w:after="40"/>
      </w:pPr>
      <w:r>
        <w:t>No production fallback uses arbitrary constants without a validated imputation policy.</w:t>
      </w:r>
    </w:p>
    <w:p>
      <w:pPr>
        <w:pStyle w:val="Heading1"/>
        <w:keepNext/>
      </w:pPr>
      <w:r>
        <w:t>10. Scientific Validity, Scoring &amp; Model Governance</w:t>
      </w:r>
    </w:p>
    <w:p>
      <w:pPr>
        <w:pStyle w:val="Heading2"/>
        <w:keepNext/>
      </w:pPr>
      <w:r>
        <w:t>10.1 Groundwater inference constraint</w:t>
      </w:r>
    </w:p>
    <w:p>
      <w:r>
        <w:t>The source proposes assigning the nearest GRACE grid value to each block centroid and blending it with finer proxies. This is not a scientifically sufficient method to recover block-level groundwater storage or groundwater depth. Several blocks can inherit essentially the same coarse signal; Euclidean distance in latitude/longitude is not a suitable general geospatial distance calculation; centroid matching discards areal overlap; and the supplied coefficients are not supported by calibration evidence. A finer output grid does not create finer information.</w:t>
      </w:r>
    </w:p>
    <w:p>
      <w:r>
        <w:t>A defensible approach requires a defined target variable, reference observations, hydrogeological context, careful spatial aggregation and independent validation. If ground truth is too sparse, the product should publish regional indicators and data gaps rather than manufacture block-level certainty.</w:t>
      </w:r>
    </w:p>
    <w:p>
      <w:pPr>
        <w:pStyle w:val="Heading2"/>
        <w:keepNext/>
      </w:pPr>
      <w:r>
        <w:t>10.2 GSS and days-to-crisis</w:t>
      </w:r>
    </w:p>
    <w:p>
      <w:r>
        <w:t>The source provides GSS = clamp((predicted TWSA + 100) / 2, 0, 100) and days-to-crisis = clamp(GSS × 1.5 − drawdown rate × 5, 5, 180). No units, calibration rationale, critical threshold definition, empirical fit, uncertainty interval or validation result is supplied. The equations should be treated as placeholders and excluded from production decisions until reviewed.</w:t>
      </w:r>
    </w:p>
    <w:p>
      <w:pPr>
        <w:pStyle w:val="ListBullet"/>
        <w:spacing w:after="40"/>
      </w:pPr>
      <w:r>
        <w:t>Define the construct: is the score groundwater-level decline, drought exposure, water-supply vulnerability, or a composite? These are not interchangeable.</w:t>
      </w:r>
    </w:p>
    <w:p>
      <w:pPr>
        <w:pStyle w:val="ListBullet"/>
        <w:spacing w:after="40"/>
      </w:pPr>
      <w:r>
        <w:t>Define directionality and units; a normalized number is not meaningful without a validated mapping.</w:t>
      </w:r>
    </w:p>
    <w:p>
      <w:pPr>
        <w:pStyle w:val="ListBullet"/>
        <w:spacing w:after="40"/>
      </w:pPr>
      <w:r>
        <w:t>Set a target and horizon that can be measured independently (for example, observed groundwater-level anomaly at a specified lead time), rather than assuming a generic countdown.</w:t>
      </w:r>
    </w:p>
    <w:p>
      <w:pPr>
        <w:pStyle w:val="ListBullet"/>
        <w:spacing w:after="40"/>
      </w:pPr>
      <w:r>
        <w:t>Use time-aware and spatially held-out validation, with leakage controls and seasonal stratification.</w:t>
      </w:r>
    </w:p>
    <w:p>
      <w:pPr>
        <w:pStyle w:val="ListBullet"/>
        <w:spacing w:after="40"/>
      </w:pPr>
      <w:r>
        <w:t>Compare with simple baselines; report MAE/RMSE for continuous targets, calibration/precision-recall for risk events, and false-alert burden.</w:t>
      </w:r>
    </w:p>
    <w:p>
      <w:pPr>
        <w:pStyle w:val="ListBullet"/>
        <w:spacing w:after="40"/>
      </w:pPr>
      <w:r>
        <w:t>Publish uncertainty intervals or calibrated probability bands where justified.</w:t>
      </w:r>
    </w:p>
    <w:p>
      <w:pPr>
        <w:pStyle w:val="ListBullet"/>
        <w:spacing w:after="40"/>
      </w:pPr>
      <w:r>
        <w:t>Require hydrogeology expert sign-off and a prospective shadow period before any operational claim.</w:t>
      </w:r>
    </w:p>
    <w:p>
      <w:pPr>
        <w:pStyle w:val="Heading2"/>
        <w:keepNext/>
      </w:pPr>
      <w:r>
        <w:t>10.3 Model release gates</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23B5D"/>
          </w:tcPr>
          <w:p>
            <w:pPr>
              <w:spacing w:after="20"/>
            </w:pPr>
            <w:r/>
            <w:r>
              <w:rPr>
                <w:b/>
                <w:color w:val="FFFFFF"/>
                <w:sz w:val="16"/>
              </w:rPr>
              <w:t>Gate</w:t>
            </w:r>
          </w:p>
        </w:tc>
        <w:tc>
          <w:tcPr>
            <w:tcW w:type="dxa" w:w="3331"/>
            <w:vAlign w:val="center"/>
            <w:shd w:fill="123B5D"/>
          </w:tcPr>
          <w:p>
            <w:pPr>
              <w:spacing w:after="20"/>
            </w:pPr>
            <w:r/>
            <w:r>
              <w:rPr>
                <w:b/>
                <w:color w:val="FFFFFF"/>
                <w:sz w:val="16"/>
              </w:rPr>
              <w:t>Required evidence</w:t>
            </w:r>
          </w:p>
        </w:tc>
        <w:tc>
          <w:tcPr>
            <w:tcW w:type="dxa" w:w="3331"/>
            <w:vAlign w:val="center"/>
            <w:shd w:fill="123B5D"/>
          </w:tcPr>
          <w:p>
            <w:pPr>
              <w:spacing w:after="20"/>
            </w:pPr>
            <w:r/>
            <w:r>
              <w:rPr>
                <w:b/>
                <w:color w:val="FFFFFF"/>
                <w:sz w:val="16"/>
              </w:rPr>
              <w:t>Decision</w:t>
            </w:r>
          </w:p>
        </w:tc>
      </w:tr>
      <w:tr>
        <w:tc>
          <w:tcPr>
            <w:tcW w:type="dxa" w:w="3331"/>
            <w:vAlign w:val="center"/>
          </w:tcPr>
          <w:p>
            <w:pPr>
              <w:spacing w:after="20"/>
            </w:pPr>
            <w:r/>
            <w:r>
              <w:rPr>
                <w:b w:val="0"/>
                <w:sz w:val="15"/>
              </w:rPr>
              <w:t>G0 — Data sufficiency</w:t>
            </w:r>
          </w:p>
        </w:tc>
        <w:tc>
          <w:tcPr>
            <w:tcW w:type="dxa" w:w="3331"/>
            <w:vAlign w:val="center"/>
          </w:tcPr>
          <w:p>
            <w:pPr>
              <w:spacing w:after="20"/>
            </w:pPr>
            <w:r/>
            <w:r>
              <w:rPr>
                <w:b w:val="0"/>
                <w:sz w:val="15"/>
              </w:rPr>
              <w:t>Target labels, observation coverage, time span and quality adequate for intended use</w:t>
            </w:r>
          </w:p>
        </w:tc>
        <w:tc>
          <w:tcPr>
            <w:tcW w:type="dxa" w:w="3331"/>
            <w:vAlign w:val="center"/>
          </w:tcPr>
          <w:p>
            <w:pPr>
              <w:spacing w:after="20"/>
            </w:pPr>
            <w:r/>
            <w:r>
              <w:rPr>
                <w:b w:val="0"/>
                <w:sz w:val="15"/>
              </w:rPr>
              <w:t>If not met: descriptive indicators only</w:t>
            </w:r>
          </w:p>
        </w:tc>
      </w:tr>
      <w:tr>
        <w:tc>
          <w:tcPr>
            <w:tcW w:type="dxa" w:w="3331"/>
            <w:vAlign w:val="center"/>
            <w:shd w:fill="F2F6F8"/>
          </w:tcPr>
          <w:p>
            <w:pPr>
              <w:spacing w:after="20"/>
            </w:pPr>
            <w:r/>
            <w:r>
              <w:rPr>
                <w:b w:val="0"/>
                <w:sz w:val="15"/>
              </w:rPr>
              <w:t>G1 — Retrospective validity</w:t>
            </w:r>
          </w:p>
        </w:tc>
        <w:tc>
          <w:tcPr>
            <w:tcW w:type="dxa" w:w="3331"/>
            <w:vAlign w:val="center"/>
            <w:shd w:fill="F2F6F8"/>
          </w:tcPr>
          <w:p>
            <w:pPr>
              <w:spacing w:after="20"/>
            </w:pPr>
            <w:r/>
            <w:r>
              <w:rPr>
                <w:b w:val="0"/>
                <w:sz w:val="15"/>
              </w:rPr>
              <w:t>Held-out temporal/spatial performance, baseline comparison, error analysis and calibration</w:t>
            </w:r>
          </w:p>
        </w:tc>
        <w:tc>
          <w:tcPr>
            <w:tcW w:type="dxa" w:w="3331"/>
            <w:vAlign w:val="center"/>
            <w:shd w:fill="F2F6F8"/>
          </w:tcPr>
          <w:p>
            <w:pPr>
              <w:spacing w:after="20"/>
            </w:pPr>
            <w:r/>
            <w:r>
              <w:rPr>
                <w:b w:val="0"/>
                <w:sz w:val="15"/>
              </w:rPr>
              <w:t>If not met: do not display operational forecast</w:t>
            </w:r>
          </w:p>
        </w:tc>
      </w:tr>
      <w:tr>
        <w:tc>
          <w:tcPr>
            <w:tcW w:type="dxa" w:w="3331"/>
            <w:vAlign w:val="center"/>
          </w:tcPr>
          <w:p>
            <w:pPr>
              <w:spacing w:after="20"/>
            </w:pPr>
            <w:r/>
            <w:r>
              <w:rPr>
                <w:b w:val="0"/>
                <w:sz w:val="15"/>
              </w:rPr>
              <w:t>G2 — Expert review</w:t>
            </w:r>
          </w:p>
        </w:tc>
        <w:tc>
          <w:tcPr>
            <w:tcW w:type="dxa" w:w="3331"/>
            <w:vAlign w:val="center"/>
          </w:tcPr>
          <w:p>
            <w:pPr>
              <w:spacing w:after="20"/>
            </w:pPr>
            <w:r/>
            <w:r>
              <w:rPr>
                <w:b w:val="0"/>
                <w:sz w:val="15"/>
              </w:rPr>
              <w:t>Hydrogeology review of construct, thresholds, failure modes and communication</w:t>
            </w:r>
          </w:p>
        </w:tc>
        <w:tc>
          <w:tcPr>
            <w:tcW w:type="dxa" w:w="3331"/>
            <w:vAlign w:val="center"/>
          </w:tcPr>
          <w:p>
            <w:pPr>
              <w:spacing w:after="20"/>
            </w:pPr>
            <w:r/>
            <w:r>
              <w:rPr>
                <w:b w:val="0"/>
                <w:sz w:val="15"/>
              </w:rPr>
              <w:t>If not met: revise method</w:t>
            </w:r>
          </w:p>
        </w:tc>
      </w:tr>
      <w:tr>
        <w:tc>
          <w:tcPr>
            <w:tcW w:type="dxa" w:w="3331"/>
            <w:vAlign w:val="center"/>
            <w:shd w:fill="F2F6F8"/>
          </w:tcPr>
          <w:p>
            <w:pPr>
              <w:spacing w:after="20"/>
            </w:pPr>
            <w:r/>
            <w:r>
              <w:rPr>
                <w:b w:val="0"/>
                <w:sz w:val="15"/>
              </w:rPr>
              <w:t>G3 — Shadow mode</w:t>
            </w:r>
          </w:p>
        </w:tc>
        <w:tc>
          <w:tcPr>
            <w:tcW w:type="dxa" w:w="3331"/>
            <w:vAlign w:val="center"/>
            <w:shd w:fill="F2F6F8"/>
          </w:tcPr>
          <w:p>
            <w:pPr>
              <w:spacing w:after="20"/>
            </w:pPr>
            <w:r/>
            <w:r>
              <w:rPr>
                <w:b w:val="0"/>
                <w:sz w:val="15"/>
              </w:rPr>
              <w:t>Prospective monitoring of candidate alerts without dispatch; false positives/negatives and workload measured</w:t>
            </w:r>
          </w:p>
        </w:tc>
        <w:tc>
          <w:tcPr>
            <w:tcW w:type="dxa" w:w="3331"/>
            <w:vAlign w:val="center"/>
            <w:shd w:fill="F2F6F8"/>
          </w:tcPr>
          <w:p>
            <w:pPr>
              <w:spacing w:after="20"/>
            </w:pPr>
            <w:r/>
            <w:r>
              <w:rPr>
                <w:b w:val="0"/>
                <w:sz w:val="15"/>
              </w:rPr>
              <w:t>If not met: do not activate alerts</w:t>
            </w:r>
          </w:p>
        </w:tc>
      </w:tr>
      <w:tr>
        <w:tc>
          <w:tcPr>
            <w:tcW w:type="dxa" w:w="3331"/>
            <w:vAlign w:val="center"/>
          </w:tcPr>
          <w:p>
            <w:pPr>
              <w:spacing w:after="20"/>
            </w:pPr>
            <w:r/>
            <w:r>
              <w:rPr>
                <w:b w:val="0"/>
                <w:sz w:val="15"/>
              </w:rPr>
              <w:t>G4 — Controlled activation</w:t>
            </w:r>
          </w:p>
        </w:tc>
        <w:tc>
          <w:tcPr>
            <w:tcW w:type="dxa" w:w="3331"/>
            <w:vAlign w:val="center"/>
          </w:tcPr>
          <w:p>
            <w:pPr>
              <w:spacing w:after="20"/>
            </w:pPr>
            <w:r/>
            <w:r>
              <w:rPr>
                <w:b w:val="0"/>
                <w:sz w:val="15"/>
              </w:rPr>
              <w:t>Approved recipients, human review, rollback, incident handling and alert wording tested</w:t>
            </w:r>
          </w:p>
        </w:tc>
        <w:tc>
          <w:tcPr>
            <w:tcW w:type="dxa" w:w="3331"/>
            <w:vAlign w:val="center"/>
          </w:tcPr>
          <w:p>
            <w:pPr>
              <w:spacing w:after="20"/>
            </w:pPr>
            <w:r/>
            <w:r>
              <w:rPr>
                <w:b w:val="0"/>
                <w:sz w:val="15"/>
              </w:rPr>
              <w:t>Enable only for approved pilot scope</w:t>
            </w:r>
          </w:p>
        </w:tc>
      </w:tr>
      <w:tr>
        <w:tc>
          <w:tcPr>
            <w:tcW w:type="dxa" w:w="3331"/>
            <w:vAlign w:val="center"/>
            <w:shd w:fill="F2F6F8"/>
          </w:tcPr>
          <w:p>
            <w:pPr>
              <w:spacing w:after="20"/>
            </w:pPr>
            <w:r/>
            <w:r>
              <w:rPr>
                <w:b w:val="0"/>
                <w:sz w:val="15"/>
              </w:rPr>
              <w:t>G5 — Expansion</w:t>
            </w:r>
          </w:p>
        </w:tc>
        <w:tc>
          <w:tcPr>
            <w:tcW w:type="dxa" w:w="3331"/>
            <w:vAlign w:val="center"/>
            <w:shd w:fill="F2F6F8"/>
          </w:tcPr>
          <w:p>
            <w:pPr>
              <w:spacing w:after="20"/>
            </w:pPr>
            <w:r/>
            <w:r>
              <w:rPr>
                <w:b w:val="0"/>
                <w:sz w:val="15"/>
              </w:rPr>
              <w:t>Evidence of generalization across additional blocks/seasons and support capacity</w:t>
            </w:r>
          </w:p>
        </w:tc>
        <w:tc>
          <w:tcPr>
            <w:tcW w:type="dxa" w:w="3331"/>
            <w:vAlign w:val="center"/>
            <w:shd w:fill="F2F6F8"/>
          </w:tcPr>
          <w:p>
            <w:pPr>
              <w:spacing w:after="20"/>
            </w:pPr>
            <w:r/>
            <w:r>
              <w:rPr>
                <w:b w:val="0"/>
                <w:sz w:val="15"/>
              </w:rPr>
              <w:t>Expand incrementally, not by default</w:t>
            </w:r>
          </w:p>
        </w:tc>
      </w:tr>
    </w:tbl>
    <w:p/>
    <w:p>
      <w:pPr>
        <w:pStyle w:val="Heading2"/>
        <w:keepNext/>
      </w:pPr>
      <w:r>
        <w:t>10.4 Human oversight</w:t>
      </w:r>
    </w:p>
    <w:p>
      <w:r>
        <w:t>During the pilot, model outputs are decision-support signals. An authorized reviewer must be able to inspect evidence, reject or annotate a candidate, and document the decision. High-stakes interventions—emergency declarations, public claims of imminent depletion, engineering prescriptions and scheme sanctioning—remain with competent authorities and relevant technical experts.</w:t>
      </w:r>
    </w:p>
    <w:p>
      <w:pPr>
        <w:pStyle w:val="Heading1"/>
        <w:keepNext/>
      </w:pPr>
      <w:r>
        <w:t>11. Risk Taxonomy &amp; Thresholds</w:t>
      </w:r>
    </w:p>
    <w:p>
      <w:r>
        <w:t>The source proposes Green for GSS ≥ 50, Orange for 30 ≤ GSS &lt; 50, and Red for GSS &lt; 30, with linked days-to-crisis bands. These thresholds are not validated in the supplied source and must not be interpreted as a factual number of days of reserve. Treat them as a prototype visualization only.</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23B5D"/>
          </w:tcPr>
          <w:p>
            <w:pPr>
              <w:spacing w:after="20"/>
            </w:pPr>
            <w:r/>
            <w:r>
              <w:rPr>
                <w:b/>
                <w:color w:val="FFFFFF"/>
                <w:sz w:val="16"/>
              </w:rPr>
              <w:t>Prototype category</w:t>
            </w:r>
          </w:p>
        </w:tc>
        <w:tc>
          <w:tcPr>
            <w:tcW w:type="dxa" w:w="3331"/>
            <w:vAlign w:val="center"/>
            <w:shd w:fill="123B5D"/>
          </w:tcPr>
          <w:p>
            <w:pPr>
              <w:spacing w:after="20"/>
            </w:pPr>
            <w:r/>
            <w:r>
              <w:rPr>
                <w:b/>
                <w:color w:val="FFFFFF"/>
                <w:sz w:val="16"/>
              </w:rPr>
              <w:t>Operational meaning for MVP</w:t>
            </w:r>
          </w:p>
        </w:tc>
        <w:tc>
          <w:tcPr>
            <w:tcW w:type="dxa" w:w="3331"/>
            <w:vAlign w:val="center"/>
            <w:shd w:fill="123B5D"/>
          </w:tcPr>
          <w:p>
            <w:pPr>
              <w:spacing w:after="20"/>
            </w:pPr>
            <w:r/>
            <w:r>
              <w:rPr>
                <w:b/>
                <w:color w:val="FFFFFF"/>
                <w:sz w:val="16"/>
              </w:rPr>
              <w:t>Permitted behavior</w:t>
            </w:r>
          </w:p>
        </w:tc>
      </w:tr>
      <w:tr>
        <w:tc>
          <w:tcPr>
            <w:tcW w:type="dxa" w:w="3331"/>
            <w:vAlign w:val="center"/>
          </w:tcPr>
          <w:p>
            <w:pPr>
              <w:spacing w:after="20"/>
            </w:pPr>
            <w:r/>
            <w:r>
              <w:rPr>
                <w:b w:val="0"/>
                <w:sz w:val="15"/>
              </w:rPr>
              <w:t>Stable signal</w:t>
            </w:r>
          </w:p>
        </w:tc>
        <w:tc>
          <w:tcPr>
            <w:tcW w:type="dxa" w:w="3331"/>
            <w:vAlign w:val="center"/>
          </w:tcPr>
          <w:p>
            <w:pPr>
              <w:spacing w:after="20"/>
            </w:pPr>
            <w:r/>
            <w:r>
              <w:rPr>
                <w:b w:val="0"/>
                <w:sz w:val="15"/>
              </w:rPr>
              <w:t>No validated indicator currently crosses the configured watch threshold</w:t>
            </w:r>
          </w:p>
        </w:tc>
        <w:tc>
          <w:tcPr>
            <w:tcW w:type="dxa" w:w="3331"/>
            <w:vAlign w:val="center"/>
          </w:tcPr>
          <w:p>
            <w:pPr>
              <w:spacing w:after="20"/>
            </w:pPr>
            <w:r/>
            <w:r>
              <w:rPr>
                <w:b w:val="0"/>
                <w:sz w:val="15"/>
              </w:rPr>
              <w:t>Continue monitoring; does not mean water is abundant or safe</w:t>
            </w:r>
          </w:p>
        </w:tc>
      </w:tr>
      <w:tr>
        <w:tc>
          <w:tcPr>
            <w:tcW w:type="dxa" w:w="3331"/>
            <w:vAlign w:val="center"/>
            <w:shd w:fill="F2F6F8"/>
          </w:tcPr>
          <w:p>
            <w:pPr>
              <w:spacing w:after="20"/>
            </w:pPr>
            <w:r/>
            <w:r>
              <w:rPr>
                <w:b w:val="0"/>
                <w:sz w:val="15"/>
              </w:rPr>
              <w:t>Watch</w:t>
            </w:r>
          </w:p>
        </w:tc>
        <w:tc>
          <w:tcPr>
            <w:tcW w:type="dxa" w:w="3331"/>
            <w:vAlign w:val="center"/>
            <w:shd w:fill="F2F6F8"/>
          </w:tcPr>
          <w:p>
            <w:pPr>
              <w:spacing w:after="20"/>
            </w:pPr>
            <w:r/>
            <w:r>
              <w:rPr>
                <w:b w:val="0"/>
                <w:sz w:val="15"/>
              </w:rPr>
              <w:t>One or more validated indicators show a change worth reviewing</w:t>
            </w:r>
          </w:p>
        </w:tc>
        <w:tc>
          <w:tcPr>
            <w:tcW w:type="dxa" w:w="3331"/>
            <w:vAlign w:val="center"/>
            <w:shd w:fill="F2F6F8"/>
          </w:tcPr>
          <w:p>
            <w:pPr>
              <w:spacing w:after="20"/>
            </w:pPr>
            <w:r/>
            <w:r>
              <w:rPr>
                <w:b w:val="0"/>
                <w:sz w:val="15"/>
              </w:rPr>
              <w:t>Show evidence and suggest verification</w:t>
            </w:r>
          </w:p>
        </w:tc>
      </w:tr>
      <w:tr>
        <w:tc>
          <w:tcPr>
            <w:tcW w:type="dxa" w:w="3331"/>
            <w:vAlign w:val="center"/>
          </w:tcPr>
          <w:p>
            <w:pPr>
              <w:spacing w:after="20"/>
            </w:pPr>
            <w:r/>
            <w:r>
              <w:rPr>
                <w:b w:val="0"/>
                <w:sz w:val="15"/>
              </w:rPr>
              <w:t>Elevated signal</w:t>
            </w:r>
          </w:p>
        </w:tc>
        <w:tc>
          <w:tcPr>
            <w:tcW w:type="dxa" w:w="3331"/>
            <w:vAlign w:val="center"/>
          </w:tcPr>
          <w:p>
            <w:pPr>
              <w:spacing w:after="20"/>
            </w:pPr>
            <w:r/>
            <w:r>
              <w:rPr>
                <w:b w:val="0"/>
                <w:sz w:val="15"/>
              </w:rPr>
              <w:t>Validated evidence meets an approved alert threshold and quality gate</w:t>
            </w:r>
          </w:p>
        </w:tc>
        <w:tc>
          <w:tcPr>
            <w:tcW w:type="dxa" w:w="3331"/>
            <w:vAlign w:val="center"/>
          </w:tcPr>
          <w:p>
            <w:pPr>
              <w:spacing w:after="20"/>
            </w:pPr>
            <w:r/>
            <w:r>
              <w:rPr>
                <w:b w:val="0"/>
                <w:sz w:val="15"/>
              </w:rPr>
              <w:t>Queue human review; alert only after approval</w:t>
            </w:r>
          </w:p>
        </w:tc>
      </w:tr>
      <w:tr>
        <w:tc>
          <w:tcPr>
            <w:tcW w:type="dxa" w:w="3331"/>
            <w:vAlign w:val="center"/>
            <w:shd w:fill="F2F6F8"/>
          </w:tcPr>
          <w:p>
            <w:pPr>
              <w:spacing w:after="20"/>
            </w:pPr>
            <w:r/>
            <w:r>
              <w:rPr>
                <w:b w:val="0"/>
                <w:sz w:val="15"/>
              </w:rPr>
              <w:t>Critical signal</w:t>
            </w:r>
          </w:p>
        </w:tc>
        <w:tc>
          <w:tcPr>
            <w:tcW w:type="dxa" w:w="3331"/>
            <w:vAlign w:val="center"/>
            <w:shd w:fill="F2F6F8"/>
          </w:tcPr>
          <w:p>
            <w:pPr>
              <w:spacing w:after="20"/>
            </w:pPr>
            <w:r/>
            <w:r>
              <w:rPr>
                <w:b w:val="0"/>
                <w:sz w:val="15"/>
              </w:rPr>
              <w:t>Evidence meets a stricter, validated threshold and is corroborated as required</w:t>
            </w:r>
          </w:p>
        </w:tc>
        <w:tc>
          <w:tcPr>
            <w:tcW w:type="dxa" w:w="3331"/>
            <w:vAlign w:val="center"/>
            <w:shd w:fill="F2F6F8"/>
          </w:tcPr>
          <w:p>
            <w:pPr>
              <w:spacing w:after="20"/>
            </w:pPr>
            <w:r/>
            <w:r>
              <w:rPr>
                <w:b w:val="0"/>
                <w:sz w:val="15"/>
              </w:rPr>
              <w:t>Priority review and approved notification; no automatic crisis declaration</w:t>
            </w:r>
          </w:p>
        </w:tc>
      </w:tr>
      <w:tr>
        <w:tc>
          <w:tcPr>
            <w:tcW w:type="dxa" w:w="3331"/>
            <w:vAlign w:val="center"/>
          </w:tcPr>
          <w:p>
            <w:pPr>
              <w:spacing w:after="20"/>
            </w:pPr>
            <w:r/>
            <w:r>
              <w:rPr>
                <w:b w:val="0"/>
                <w:sz w:val="15"/>
              </w:rPr>
              <w:t>Insufficient evidence</w:t>
            </w:r>
          </w:p>
        </w:tc>
        <w:tc>
          <w:tcPr>
            <w:tcW w:type="dxa" w:w="3331"/>
            <w:vAlign w:val="center"/>
          </w:tcPr>
          <w:p>
            <w:pPr>
              <w:spacing w:after="20"/>
            </w:pPr>
            <w:r/>
            <w:r>
              <w:rPr>
                <w:b w:val="0"/>
                <w:sz w:val="15"/>
              </w:rPr>
              <w:t>Data stale, missing, out of distribution or model uncertainty too high</w:t>
            </w:r>
          </w:p>
        </w:tc>
        <w:tc>
          <w:tcPr>
            <w:tcW w:type="dxa" w:w="3331"/>
            <w:vAlign w:val="center"/>
          </w:tcPr>
          <w:p>
            <w:pPr>
              <w:spacing w:after="20"/>
            </w:pPr>
            <w:r/>
            <w:r>
              <w:rPr>
                <w:b w:val="0"/>
                <w:sz w:val="15"/>
              </w:rPr>
              <w:t>Suppress prediction/alert; explain what is missing</w:t>
            </w:r>
          </w:p>
        </w:tc>
      </w:tr>
    </w:tbl>
    <w:p/>
    <w:p>
      <w:pPr>
        <w:pStyle w:val="Heading2"/>
        <w:keepNext/>
      </w:pPr>
      <w:r>
        <w:t>11.1 Threshold governance</w:t>
      </w:r>
    </w:p>
    <w:p>
      <w:pPr>
        <w:pStyle w:val="ListBullet"/>
        <w:spacing w:after="40"/>
      </w:pPr>
      <w:r>
        <w:t>Thresholds must be derived from an explicit target, historical events, local operating requirements and acceptable error trade-offs.</w:t>
      </w:r>
    </w:p>
    <w:p>
      <w:pPr>
        <w:pStyle w:val="ListBullet"/>
        <w:spacing w:after="40"/>
      </w:pPr>
      <w:r>
        <w:t>Each threshold version must record rationale, evidence, approver, effective date and rollback path.</w:t>
      </w:r>
    </w:p>
    <w:p>
      <w:pPr>
        <w:pStyle w:val="ListBullet"/>
        <w:spacing w:after="40"/>
      </w:pPr>
      <w:r>
        <w:t>Do not transfer thresholds across aquifers or regions without validation.</w:t>
      </w:r>
    </w:p>
    <w:p>
      <w:pPr>
        <w:pStyle w:val="ListBullet"/>
        <w:spacing w:after="40"/>
      </w:pPr>
      <w:r>
        <w:t>Avoid treating a single composite score as the sole basis for action; show supporting indicators and corroboration requirements.</w:t>
      </w:r>
    </w:p>
    <w:p>
      <w:pPr>
        <w:pStyle w:val="ListBullet"/>
        <w:spacing w:after="40"/>
      </w:pPr>
      <w:r>
        <w:t>Report false positives, false negatives, missed events and alert burden to the governance group.</w:t>
      </w:r>
    </w:p>
    <w:p>
      <w:pPr>
        <w:pStyle w:val="Heading1"/>
        <w:keepNext/>
      </w:pPr>
      <w:r>
        <w:t>12. Scheme Recommendation Governance</w:t>
      </w:r>
    </w:p>
    <w:p>
      <w:r>
        <w:t>The source names Jal Jeevan Mission (JJM), Atal Bhujal Yojana (ABY) and MGNREGA/Amrit Sarovar-related activities. The specific action mappings in the source—including emergency injection wells, mandatory crop shifts and particular scheme codes—are not validated by the supplied material. The PRD therefore requires a verified scheme catalogue rather than hard-coded assumptions.</w:t>
      </w:r>
    </w:p>
    <w:p>
      <w:pPr>
        <w:pStyle w:val="ListBullet"/>
        <w:spacing w:after="40"/>
      </w:pPr>
      <w:r>
        <w:t>A scheme curator must verify the latest official guidelines, current operational status, eligible activities, funding rules, geographic applicability and approving authority.</w:t>
      </w:r>
    </w:p>
    <w:p>
      <w:pPr>
        <w:pStyle w:val="ListBullet"/>
        <w:spacing w:after="40"/>
      </w:pPr>
      <w:r>
        <w:t>Recommendations must be framed as options for review, not automatic entitlement or authorization.</w:t>
      </w:r>
    </w:p>
    <w:p>
      <w:pPr>
        <w:pStyle w:val="ListBullet"/>
        <w:spacing w:after="40"/>
      </w:pPr>
      <w:r>
        <w:t>Engineering measures require site-specific feasibility, hydrogeological review, water-quality considerations, land/ownership permissions and competent approvals.</w:t>
      </w:r>
    </w:p>
    <w:p>
      <w:pPr>
        <w:pStyle w:val="ListBullet"/>
        <w:spacing w:after="40"/>
      </w:pPr>
      <w:r>
        <w:t>Agricultural recommendations must account for local cropping systems, livelihoods, soil, markets, irrigation access and extension-service guidance.</w:t>
      </w:r>
    </w:p>
    <w:p>
      <w:pPr>
        <w:pStyle w:val="ListBullet"/>
        <w:spacing w:after="40"/>
      </w:pPr>
      <w:r>
        <w:t>If official rules cannot be verified or are outdated, the recommendation must be suppressed and marked 'scheme information requires verification'.</w:t>
      </w:r>
    </w:p>
    <w:p>
      <w:pPr>
        <w:pStyle w:val="ListBullet"/>
        <w:spacing w:after="40"/>
      </w:pPr>
      <w:r>
        <w:t>Record the official source and effective date used to generate every suggestion.</w:t>
      </w:r>
    </w:p>
    <w:p>
      <w:pPr>
        <w:pStyle w:val="Heading1"/>
        <w:keepNext/>
      </w:pPr>
      <w:r>
        <w:t>13. Hindi Communication, Accessibility &amp; Low Connectivity</w:t>
      </w:r>
    </w:p>
    <w:p>
      <w:pPr>
        <w:pStyle w:val="ListBullet"/>
        <w:spacing w:after="40"/>
      </w:pPr>
      <w:r>
        <w:t>Hindi-first UI and message templates; support English where useful for technical reviewers.</w:t>
      </w:r>
    </w:p>
    <w:p>
      <w:pPr>
        <w:pStyle w:val="ListBullet"/>
        <w:spacing w:after="40"/>
      </w:pPr>
      <w:r>
        <w:t>Use plain language and explain terms such as anomaly, observation period and confidence without unexplained acronyms.</w:t>
      </w:r>
    </w:p>
    <w:p>
      <w:pPr>
        <w:pStyle w:val="ListBullet"/>
        <w:spacing w:after="40"/>
      </w:pPr>
      <w:r>
        <w:t>Do not use color alone; pair status colors with labels, icons and text.</w:t>
      </w:r>
    </w:p>
    <w:p>
      <w:pPr>
        <w:pStyle w:val="ListBullet"/>
        <w:spacing w:after="40"/>
      </w:pPr>
      <w:r>
        <w:t>Design for low bandwidth: compressed geometry, cached non-sensitive static assets, progressive loading and minimal initial payload.</w:t>
      </w:r>
    </w:p>
    <w:p>
      <w:pPr>
        <w:pStyle w:val="ListBullet"/>
        <w:spacing w:after="40"/>
      </w:pPr>
      <w:r>
        <w:t>SMS fallback may be required for recipients without WhatsApp or data access, subject to provider, consent/notice, template and cost review.</w:t>
      </w:r>
    </w:p>
    <w:p>
      <w:pPr>
        <w:pStyle w:val="ListBullet"/>
        <w:spacing w:after="40"/>
      </w:pPr>
      <w:r>
        <w:t>Provide a clear contact path for corrections and a way to opt out or update preferences where applicable.</w:t>
      </w:r>
    </w:p>
    <w:p>
      <w:pPr>
        <w:pStyle w:val="ListBullet"/>
        <w:spacing w:after="40"/>
      </w:pPr>
      <w:r>
        <w:t>Test templates with intended users in the pilot; verify readability, tone, local terminology and action comprehension.</w:t>
      </w:r>
    </w:p>
    <w:p>
      <w:pPr>
        <w:pStyle w:val="ListBullet"/>
        <w:spacing w:after="40"/>
      </w:pPr>
      <w:r>
        <w:t>Do not put sensitive personal data, private observations or unnecessary identifiers into message bodies.</w:t>
      </w:r>
    </w:p>
    <w:p>
      <w:pPr>
        <w:pStyle w:val="Heading2"/>
        <w:keepNext/>
      </w:pPr>
      <w:r>
        <w:t>13.1 Safe alert content structure</w:t>
      </w:r>
    </w:p>
    <w:p>
      <w:r>
        <w:t>Recommended template structure (not a claim that a live alert is warranted):</w:t>
      </w:r>
    </w:p>
    <w:p>
      <w:pPr>
        <w:pStyle w:val="ListBullet"/>
        <w:spacing w:after="40"/>
      </w:pPr>
      <w:r>
        <w:t>Header: जलदृष्टि — जल/भूजल निगरानी सूचना</w:t>
      </w:r>
    </w:p>
    <w:p>
      <w:pPr>
        <w:pStyle w:val="ListBullet"/>
        <w:spacing w:after="40"/>
      </w:pPr>
      <w:r>
        <w:t>Area and observation period: block/district and dates represented by the evidence.</w:t>
      </w:r>
    </w:p>
    <w:p>
      <w:pPr>
        <w:pStyle w:val="ListBullet"/>
        <w:spacing w:after="40"/>
      </w:pPr>
      <w:r>
        <w:t>Signal: what changed, with source/indicator in plain language.</w:t>
      </w:r>
    </w:p>
    <w:p>
      <w:pPr>
        <w:pStyle w:val="ListBullet"/>
        <w:spacing w:after="40"/>
      </w:pPr>
      <w:r>
        <w:t>Confidence caveat: e.g., 'यह संकेत उपलब्ध आँकड़ों पर आधारित है; स्थानीय सत्यापन आवश्यक है।'</w:t>
      </w:r>
    </w:p>
    <w:p>
      <w:pPr>
        <w:pStyle w:val="ListBullet"/>
        <w:spacing w:after="40"/>
      </w:pPr>
      <w:r>
        <w:t>Next step: verify selected wells/local water-supply conditions and review approved local response options.</w:t>
      </w:r>
    </w:p>
    <w:p>
      <w:pPr>
        <w:pStyle w:val="ListBullet"/>
        <w:spacing w:after="40"/>
      </w:pPr>
      <w:r>
        <w:t>Accountability: issuing office/contact, alert reference ID and feedback/acknowledgement path.</w:t>
      </w:r>
    </w:p>
    <w:p>
      <w:r>
        <w:t>Avoid statements such as '38 days of groundwater reserve remaining' unless a specifically defined, validated, calibrated and approved model can support that claim for the relevant location and horizon.</w:t>
      </w:r>
    </w:p>
    <w:p>
      <w:pPr>
        <w:pStyle w:val="Heading1"/>
        <w:keepNext/>
      </w:pPr>
      <w:r>
        <w:t>14. Non-Functional Requirements</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23B5D"/>
          </w:tcPr>
          <w:p>
            <w:pPr>
              <w:spacing w:after="20"/>
            </w:pPr>
            <w:r/>
            <w:r>
              <w:rPr>
                <w:b/>
                <w:color w:val="FFFFFF"/>
                <w:sz w:val="16"/>
              </w:rPr>
              <w:t>ID</w:t>
            </w:r>
          </w:p>
        </w:tc>
        <w:tc>
          <w:tcPr>
            <w:tcW w:type="dxa" w:w="3331"/>
            <w:vAlign w:val="center"/>
            <w:shd w:fill="123B5D"/>
          </w:tcPr>
          <w:p>
            <w:pPr>
              <w:spacing w:after="20"/>
            </w:pPr>
            <w:r/>
            <w:r>
              <w:rPr>
                <w:b/>
                <w:color w:val="FFFFFF"/>
                <w:sz w:val="16"/>
              </w:rPr>
              <w:t>Requirement</w:t>
            </w:r>
          </w:p>
        </w:tc>
        <w:tc>
          <w:tcPr>
            <w:tcW w:type="dxa" w:w="3331"/>
            <w:vAlign w:val="center"/>
            <w:shd w:fill="123B5D"/>
          </w:tcPr>
          <w:p>
            <w:pPr>
              <w:spacing w:after="20"/>
            </w:pPr>
            <w:r/>
            <w:r>
              <w:rPr>
                <w:b/>
                <w:color w:val="FFFFFF"/>
                <w:sz w:val="16"/>
              </w:rPr>
              <w:t>Proposed acceptance target</w:t>
            </w:r>
          </w:p>
        </w:tc>
      </w:tr>
      <w:tr>
        <w:tc>
          <w:tcPr>
            <w:tcW w:type="dxa" w:w="3331"/>
            <w:vAlign w:val="center"/>
          </w:tcPr>
          <w:p>
            <w:pPr>
              <w:spacing w:after="20"/>
            </w:pPr>
            <w:r/>
            <w:r>
              <w:rPr>
                <w:b w:val="0"/>
                <w:sz w:val="15"/>
              </w:rPr>
              <w:t>NFR-001 Performance</w:t>
            </w:r>
          </w:p>
        </w:tc>
        <w:tc>
          <w:tcPr>
            <w:tcW w:type="dxa" w:w="3331"/>
            <w:vAlign w:val="center"/>
          </w:tcPr>
          <w:p>
            <w:pPr>
              <w:spacing w:after="20"/>
            </w:pPr>
            <w:r/>
            <w:r>
              <w:rPr>
                <w:b w:val="0"/>
                <w:sz w:val="15"/>
              </w:rPr>
              <w:t>Dashboard must remain responsive on low-bandwidth connections.</w:t>
            </w:r>
          </w:p>
        </w:tc>
        <w:tc>
          <w:tcPr>
            <w:tcW w:type="dxa" w:w="3331"/>
            <w:vAlign w:val="center"/>
          </w:tcPr>
          <w:p>
            <w:pPr>
              <w:spacing w:after="20"/>
            </w:pPr>
            <w:r/>
            <w:r>
              <w:rPr>
                <w:b w:val="0"/>
                <w:sz w:val="15"/>
              </w:rPr>
              <w:t>Define a reproducible 3G/low-bandwidth profile; proposed target: initial useful view ≤4 s at p75 for pilot, with map details progressively loaded.</w:t>
            </w:r>
          </w:p>
        </w:tc>
      </w:tr>
      <w:tr>
        <w:tc>
          <w:tcPr>
            <w:tcW w:type="dxa" w:w="3331"/>
            <w:vAlign w:val="center"/>
            <w:shd w:fill="F2F6F8"/>
          </w:tcPr>
          <w:p>
            <w:pPr>
              <w:spacing w:after="20"/>
            </w:pPr>
            <w:r/>
            <w:r>
              <w:rPr>
                <w:b w:val="0"/>
                <w:sz w:val="15"/>
              </w:rPr>
              <w:t>NFR-002 Availability</w:t>
            </w:r>
          </w:p>
        </w:tc>
        <w:tc>
          <w:tcPr>
            <w:tcW w:type="dxa" w:w="3331"/>
            <w:vAlign w:val="center"/>
            <w:shd w:fill="F2F6F8"/>
          </w:tcPr>
          <w:p>
            <w:pPr>
              <w:spacing w:after="20"/>
            </w:pPr>
            <w:r/>
            <w:r>
              <w:rPr>
                <w:b w:val="0"/>
                <w:sz w:val="15"/>
              </w:rPr>
              <w:t>Core dashboard and APIs should be available during agreed operating hours.</w:t>
            </w:r>
          </w:p>
        </w:tc>
        <w:tc>
          <w:tcPr>
            <w:tcW w:type="dxa" w:w="3331"/>
            <w:vAlign w:val="center"/>
            <w:shd w:fill="F2F6F8"/>
          </w:tcPr>
          <w:p>
            <w:pPr>
              <w:spacing w:after="20"/>
            </w:pPr>
            <w:r/>
            <w:r>
              <w:rPr>
                <w:b w:val="0"/>
                <w:sz w:val="15"/>
              </w:rPr>
              <w:t>Proposed pilot target ≥99.5% monthly availability excluding planned maintenance; approve service window and measurement method.</w:t>
            </w:r>
          </w:p>
        </w:tc>
      </w:tr>
      <w:tr>
        <w:tc>
          <w:tcPr>
            <w:tcW w:type="dxa" w:w="3331"/>
            <w:vAlign w:val="center"/>
          </w:tcPr>
          <w:p>
            <w:pPr>
              <w:spacing w:after="20"/>
            </w:pPr>
            <w:r/>
            <w:r>
              <w:rPr>
                <w:b w:val="0"/>
                <w:sz w:val="15"/>
              </w:rPr>
              <w:t>NFR-003 Scalability</w:t>
            </w:r>
          </w:p>
        </w:tc>
        <w:tc>
          <w:tcPr>
            <w:tcW w:type="dxa" w:w="3331"/>
            <w:vAlign w:val="center"/>
          </w:tcPr>
          <w:p>
            <w:pPr>
              <w:spacing w:after="20"/>
            </w:pPr>
            <w:r/>
            <w:r>
              <w:rPr>
                <w:b w:val="0"/>
                <w:sz w:val="15"/>
              </w:rPr>
              <w:t>Support pilot and staged statewide expansion.</w:t>
            </w:r>
          </w:p>
        </w:tc>
        <w:tc>
          <w:tcPr>
            <w:tcW w:type="dxa" w:w="3331"/>
            <w:vAlign w:val="center"/>
          </w:tcPr>
          <w:p>
            <w:pPr>
              <w:spacing w:after="20"/>
            </w:pPr>
            <w:r/>
            <w:r>
              <w:rPr>
                <w:b w:val="0"/>
                <w:sz w:val="15"/>
              </w:rPr>
              <w:t>Load-test target geography and projected state-wide workload; include geospatial queries, concurrent users, batch inference and alert queues.</w:t>
            </w:r>
          </w:p>
        </w:tc>
      </w:tr>
      <w:tr>
        <w:tc>
          <w:tcPr>
            <w:tcW w:type="dxa" w:w="3331"/>
            <w:vAlign w:val="center"/>
            <w:shd w:fill="F2F6F8"/>
          </w:tcPr>
          <w:p>
            <w:pPr>
              <w:spacing w:after="20"/>
            </w:pPr>
            <w:r/>
            <w:r>
              <w:rPr>
                <w:b w:val="0"/>
                <w:sz w:val="15"/>
              </w:rPr>
              <w:t>NFR-004 Reliability</w:t>
            </w:r>
          </w:p>
        </w:tc>
        <w:tc>
          <w:tcPr>
            <w:tcW w:type="dxa" w:w="3331"/>
            <w:vAlign w:val="center"/>
            <w:shd w:fill="F2F6F8"/>
          </w:tcPr>
          <w:p>
            <w:pPr>
              <w:spacing w:after="20"/>
            </w:pPr>
            <w:r/>
            <w:r>
              <w:rPr>
                <w:b w:val="0"/>
                <w:sz w:val="15"/>
              </w:rPr>
              <w:t>Ingestion and alert tasks are idempotent, observable and recoverable.</w:t>
            </w:r>
          </w:p>
        </w:tc>
        <w:tc>
          <w:tcPr>
            <w:tcW w:type="dxa" w:w="3331"/>
            <w:vAlign w:val="center"/>
            <w:shd w:fill="F2F6F8"/>
          </w:tcPr>
          <w:p>
            <w:pPr>
              <w:spacing w:after="20"/>
            </w:pPr>
            <w:r/>
            <w:r>
              <w:rPr>
                <w:b w:val="0"/>
                <w:sz w:val="15"/>
              </w:rPr>
              <w:t>Retry/backoff, dead-letter or failed-job review, replay capability and documented recovery drills.</w:t>
            </w:r>
          </w:p>
        </w:tc>
      </w:tr>
      <w:tr>
        <w:tc>
          <w:tcPr>
            <w:tcW w:type="dxa" w:w="3331"/>
            <w:vAlign w:val="center"/>
          </w:tcPr>
          <w:p>
            <w:pPr>
              <w:spacing w:after="20"/>
            </w:pPr>
            <w:r/>
            <w:r>
              <w:rPr>
                <w:b w:val="0"/>
                <w:sz w:val="15"/>
              </w:rPr>
              <w:t>NFR-005 Security</w:t>
            </w:r>
          </w:p>
        </w:tc>
        <w:tc>
          <w:tcPr>
            <w:tcW w:type="dxa" w:w="3331"/>
            <w:vAlign w:val="center"/>
          </w:tcPr>
          <w:p>
            <w:pPr>
              <w:spacing w:after="20"/>
            </w:pPr>
            <w:r/>
            <w:r>
              <w:rPr>
                <w:b w:val="0"/>
                <w:sz w:val="15"/>
              </w:rPr>
              <w:t>Use least privilege, secure secrets, encryption and audit logging.</w:t>
            </w:r>
          </w:p>
        </w:tc>
        <w:tc>
          <w:tcPr>
            <w:tcW w:type="dxa" w:w="3331"/>
            <w:vAlign w:val="center"/>
          </w:tcPr>
          <w:p>
            <w:pPr>
              <w:spacing w:after="20"/>
            </w:pPr>
            <w:r/>
            <w:r>
              <w:rPr>
                <w:b w:val="0"/>
                <w:sz w:val="15"/>
              </w:rPr>
              <w:t>Threat model and security review completed; no secrets in source control or logs.</w:t>
            </w:r>
          </w:p>
        </w:tc>
      </w:tr>
      <w:tr>
        <w:tc>
          <w:tcPr>
            <w:tcW w:type="dxa" w:w="3331"/>
            <w:vAlign w:val="center"/>
            <w:shd w:fill="F2F6F8"/>
          </w:tcPr>
          <w:p>
            <w:pPr>
              <w:spacing w:after="20"/>
            </w:pPr>
            <w:r/>
            <w:r>
              <w:rPr>
                <w:b w:val="0"/>
                <w:sz w:val="15"/>
              </w:rPr>
              <w:t>NFR-006 Privacy</w:t>
            </w:r>
          </w:p>
        </w:tc>
        <w:tc>
          <w:tcPr>
            <w:tcW w:type="dxa" w:w="3331"/>
            <w:vAlign w:val="center"/>
            <w:shd w:fill="F2F6F8"/>
          </w:tcPr>
          <w:p>
            <w:pPr>
              <w:spacing w:after="20"/>
            </w:pPr>
            <w:r/>
            <w:r>
              <w:rPr>
                <w:b w:val="0"/>
                <w:sz w:val="15"/>
              </w:rPr>
              <w:t>Minimize recipient personal data and document purpose, access, retention and rights processes.</w:t>
            </w:r>
          </w:p>
        </w:tc>
        <w:tc>
          <w:tcPr>
            <w:tcW w:type="dxa" w:w="3331"/>
            <w:vAlign w:val="center"/>
            <w:shd w:fill="F2F6F8"/>
          </w:tcPr>
          <w:p>
            <w:pPr>
              <w:spacing w:after="20"/>
            </w:pPr>
            <w:r/>
            <w:r>
              <w:rPr>
                <w:b w:val="0"/>
                <w:sz w:val="15"/>
              </w:rPr>
              <w:t>Data inventory and privacy review approved before real recipient data is loaded.</w:t>
            </w:r>
          </w:p>
        </w:tc>
      </w:tr>
      <w:tr>
        <w:tc>
          <w:tcPr>
            <w:tcW w:type="dxa" w:w="3331"/>
            <w:vAlign w:val="center"/>
          </w:tcPr>
          <w:p>
            <w:pPr>
              <w:spacing w:after="20"/>
            </w:pPr>
            <w:r/>
            <w:r>
              <w:rPr>
                <w:b w:val="0"/>
                <w:sz w:val="15"/>
              </w:rPr>
              <w:t>NFR-007 Accessibility</w:t>
            </w:r>
          </w:p>
        </w:tc>
        <w:tc>
          <w:tcPr>
            <w:tcW w:type="dxa" w:w="3331"/>
            <w:vAlign w:val="center"/>
          </w:tcPr>
          <w:p>
            <w:pPr>
              <w:spacing w:after="20"/>
            </w:pPr>
            <w:r/>
            <w:r>
              <w:rPr>
                <w:b w:val="0"/>
                <w:sz w:val="15"/>
              </w:rPr>
              <w:t>Readable interface with keyboard and non-color cues.</w:t>
            </w:r>
          </w:p>
        </w:tc>
        <w:tc>
          <w:tcPr>
            <w:tcW w:type="dxa" w:w="3331"/>
            <w:vAlign w:val="center"/>
          </w:tcPr>
          <w:p>
            <w:pPr>
              <w:spacing w:after="20"/>
            </w:pPr>
            <w:r/>
            <w:r>
              <w:rPr>
                <w:b w:val="0"/>
                <w:sz w:val="15"/>
              </w:rPr>
              <w:t>Accessibility checklist tested on supported browsers/devices; critical issues resolved.</w:t>
            </w:r>
          </w:p>
        </w:tc>
      </w:tr>
      <w:tr>
        <w:tc>
          <w:tcPr>
            <w:tcW w:type="dxa" w:w="3331"/>
            <w:vAlign w:val="center"/>
            <w:shd w:fill="F2F6F8"/>
          </w:tcPr>
          <w:p>
            <w:pPr>
              <w:spacing w:after="20"/>
            </w:pPr>
            <w:r/>
            <w:r>
              <w:rPr>
                <w:b w:val="0"/>
                <w:sz w:val="15"/>
              </w:rPr>
              <w:t>NFR-008 Maintainability</w:t>
            </w:r>
          </w:p>
        </w:tc>
        <w:tc>
          <w:tcPr>
            <w:tcW w:type="dxa" w:w="3331"/>
            <w:vAlign w:val="center"/>
            <w:shd w:fill="F2F6F8"/>
          </w:tcPr>
          <w:p>
            <w:pPr>
              <w:spacing w:after="20"/>
            </w:pPr>
            <w:r/>
            <w:r>
              <w:rPr>
                <w:b w:val="0"/>
                <w:sz w:val="15"/>
              </w:rPr>
              <w:t>Pipelines, indicators, models and scheme rules are versioned and testable.</w:t>
            </w:r>
          </w:p>
        </w:tc>
        <w:tc>
          <w:tcPr>
            <w:tcW w:type="dxa" w:w="3331"/>
            <w:vAlign w:val="center"/>
            <w:shd w:fill="F2F6F8"/>
          </w:tcPr>
          <w:p>
            <w:pPr>
              <w:spacing w:after="20"/>
            </w:pPr>
            <w:r/>
            <w:r>
              <w:rPr>
                <w:b w:val="0"/>
                <w:sz w:val="15"/>
              </w:rPr>
              <w:t>CI checks, reproducible build/deployment, documented runbooks and ownership.</w:t>
            </w:r>
          </w:p>
        </w:tc>
      </w:tr>
      <w:tr>
        <w:tc>
          <w:tcPr>
            <w:tcW w:type="dxa" w:w="3331"/>
            <w:vAlign w:val="center"/>
          </w:tcPr>
          <w:p>
            <w:pPr>
              <w:spacing w:after="20"/>
            </w:pPr>
            <w:r/>
            <w:r>
              <w:rPr>
                <w:b w:val="0"/>
                <w:sz w:val="15"/>
              </w:rPr>
              <w:t>NFR-009 Observability</w:t>
            </w:r>
          </w:p>
        </w:tc>
        <w:tc>
          <w:tcPr>
            <w:tcW w:type="dxa" w:w="3331"/>
            <w:vAlign w:val="center"/>
          </w:tcPr>
          <w:p>
            <w:pPr>
              <w:spacing w:after="20"/>
            </w:pPr>
            <w:r/>
            <w:r>
              <w:rPr>
                <w:b w:val="0"/>
                <w:sz w:val="15"/>
              </w:rPr>
              <w:t>Measure service health, source freshness, model health and notification outcomes.</w:t>
            </w:r>
          </w:p>
        </w:tc>
        <w:tc>
          <w:tcPr>
            <w:tcW w:type="dxa" w:w="3331"/>
            <w:vAlign w:val="center"/>
          </w:tcPr>
          <w:p>
            <w:pPr>
              <w:spacing w:after="20"/>
            </w:pPr>
            <w:r/>
            <w:r>
              <w:rPr>
                <w:b w:val="0"/>
                <w:sz w:val="15"/>
              </w:rPr>
              <w:t>Alerts fire for failed jobs, stale sources, unusual data shifts and delivery failures.</w:t>
            </w:r>
          </w:p>
        </w:tc>
      </w:tr>
      <w:tr>
        <w:tc>
          <w:tcPr>
            <w:tcW w:type="dxa" w:w="3331"/>
            <w:vAlign w:val="center"/>
            <w:shd w:fill="F2F6F8"/>
          </w:tcPr>
          <w:p>
            <w:pPr>
              <w:spacing w:after="20"/>
            </w:pPr>
            <w:r/>
            <w:r>
              <w:rPr>
                <w:b w:val="0"/>
                <w:sz w:val="15"/>
              </w:rPr>
              <w:t>NFR-010 Cost control</w:t>
            </w:r>
          </w:p>
        </w:tc>
        <w:tc>
          <w:tcPr>
            <w:tcW w:type="dxa" w:w="3331"/>
            <w:vAlign w:val="center"/>
            <w:shd w:fill="F2F6F8"/>
          </w:tcPr>
          <w:p>
            <w:pPr>
              <w:spacing w:after="20"/>
            </w:pPr>
            <w:r/>
            <w:r>
              <w:rPr>
                <w:b w:val="0"/>
                <w:sz w:val="15"/>
              </w:rPr>
              <w:t>Track data processing, hosting, geospatial serving and message costs.</w:t>
            </w:r>
          </w:p>
        </w:tc>
        <w:tc>
          <w:tcPr>
            <w:tcW w:type="dxa" w:w="3331"/>
            <w:vAlign w:val="center"/>
            <w:shd w:fill="F2F6F8"/>
          </w:tcPr>
          <w:p>
            <w:pPr>
              <w:spacing w:after="20"/>
            </w:pPr>
            <w:r/>
            <w:r>
              <w:rPr>
                <w:b w:val="0"/>
                <w:sz w:val="15"/>
              </w:rPr>
              <w:t>Monthly cost dashboard and forecast; statewide expansion requires approved operating budget.</w:t>
            </w:r>
          </w:p>
        </w:tc>
      </w:tr>
      <w:tr>
        <w:tc>
          <w:tcPr>
            <w:tcW w:type="dxa" w:w="3331"/>
            <w:vAlign w:val="center"/>
          </w:tcPr>
          <w:p>
            <w:pPr>
              <w:spacing w:after="20"/>
            </w:pPr>
            <w:r/>
            <w:r>
              <w:rPr>
                <w:b w:val="0"/>
                <w:sz w:val="15"/>
              </w:rPr>
              <w:t>NFR-011 Portability</w:t>
            </w:r>
          </w:p>
        </w:tc>
        <w:tc>
          <w:tcPr>
            <w:tcW w:type="dxa" w:w="3331"/>
            <w:vAlign w:val="center"/>
          </w:tcPr>
          <w:p>
            <w:pPr>
              <w:spacing w:after="20"/>
            </w:pPr>
            <w:r/>
            <w:r>
              <w:rPr>
                <w:b w:val="0"/>
                <w:sz w:val="15"/>
              </w:rPr>
              <w:t>Avoid unnecessary provider lock-in where practical.</w:t>
            </w:r>
          </w:p>
        </w:tc>
        <w:tc>
          <w:tcPr>
            <w:tcW w:type="dxa" w:w="3331"/>
            <w:vAlign w:val="center"/>
          </w:tcPr>
          <w:p>
            <w:pPr>
              <w:spacing w:after="20"/>
            </w:pPr>
            <w:r/>
            <w:r>
              <w:rPr>
                <w:b w:val="0"/>
                <w:sz w:val="15"/>
              </w:rPr>
              <w:t>Containerized services and documented backups/restore; external API dependencies explicitly listed.</w:t>
            </w:r>
          </w:p>
        </w:tc>
      </w:tr>
      <w:tr>
        <w:tc>
          <w:tcPr>
            <w:tcW w:type="dxa" w:w="3331"/>
            <w:vAlign w:val="center"/>
            <w:shd w:fill="F2F6F8"/>
          </w:tcPr>
          <w:p>
            <w:pPr>
              <w:spacing w:after="20"/>
            </w:pPr>
            <w:r/>
            <w:r>
              <w:rPr>
                <w:b w:val="0"/>
                <w:sz w:val="15"/>
              </w:rPr>
              <w:t>NFR-012 Data integrity</w:t>
            </w:r>
          </w:p>
        </w:tc>
        <w:tc>
          <w:tcPr>
            <w:tcW w:type="dxa" w:w="3331"/>
            <w:vAlign w:val="center"/>
            <w:shd w:fill="F2F6F8"/>
          </w:tcPr>
          <w:p>
            <w:pPr>
              <w:spacing w:after="20"/>
            </w:pPr>
            <w:r/>
            <w:r>
              <w:rPr>
                <w:b w:val="0"/>
                <w:sz w:val="15"/>
              </w:rPr>
              <w:t>Maintain consistency across geometry, observations, predictions and alerts.</w:t>
            </w:r>
          </w:p>
        </w:tc>
        <w:tc>
          <w:tcPr>
            <w:tcW w:type="dxa" w:w="3331"/>
            <w:vAlign w:val="center"/>
            <w:shd w:fill="F2F6F8"/>
          </w:tcPr>
          <w:p>
            <w:pPr>
              <w:spacing w:after="20"/>
            </w:pPr>
            <w:r/>
            <w:r>
              <w:rPr>
                <w:b w:val="0"/>
                <w:sz w:val="15"/>
              </w:rPr>
              <w:t>Database constraints and reconciliation jobs detect orphaned, duplicate or invalid records.</w:t>
            </w:r>
          </w:p>
        </w:tc>
      </w:tr>
    </w:tbl>
    <w:p/>
    <w:p>
      <w:pPr>
        <w:pStyle w:val="Heading1"/>
        <w:keepNext/>
      </w:pPr>
      <w:r>
        <w:t>15. Privacy, Security &amp; Compliance</w:t>
      </w:r>
    </w:p>
    <w:p>
      <w:r>
        <w:t>The source requires alignment with India's Digital Personal Data Protection (DPDP) framework and open-government-data guidelines. This PRD does not constitute legal advice or a compliance certification. A designated owner must review the current law/rules, applicable government policies, data-sharing agreements and channel-provider terms before pilot deployment.</w:t>
      </w:r>
    </w:p>
    <w:p>
      <w:pPr>
        <w:pStyle w:val="ListBullet"/>
        <w:spacing w:after="40"/>
      </w:pPr>
      <w:r>
        <w:t>Collect only recipient data needed for authorized notification and follow-up; document purpose and access roles.</w:t>
      </w:r>
    </w:p>
    <w:p>
      <w:pPr>
        <w:pStyle w:val="ListBullet"/>
        <w:spacing w:after="40"/>
      </w:pPr>
      <w:r>
        <w:t>Determine the applicable lawful basis/notice/consent approach with legal and government stakeholders; do not assume a WhatsApp number may be reused for any purpose.</w:t>
      </w:r>
    </w:p>
    <w:p>
      <w:pPr>
        <w:pStyle w:val="ListBullet"/>
        <w:spacing w:after="40"/>
      </w:pPr>
      <w:r>
        <w:t>Use TLS in transit and appropriate encryption at rest; manage secrets through a secret store and rotate credentials.</w:t>
      </w:r>
    </w:p>
    <w:p>
      <w:pPr>
        <w:pStyle w:val="ListBullet"/>
        <w:spacing w:after="40"/>
      </w:pPr>
      <w:r>
        <w:t>Apply role-based access, administrative scope restrictions, strong authentication for privileged users and session controls.</w:t>
      </w:r>
    </w:p>
    <w:p>
      <w:pPr>
        <w:pStyle w:val="ListBullet"/>
        <w:spacing w:after="40"/>
      </w:pPr>
      <w:r>
        <w:t>Separate operational contact data from public geospatial outputs; avoid exposing phone numbers in exports or map APIs.</w:t>
      </w:r>
    </w:p>
    <w:p>
      <w:pPr>
        <w:pStyle w:val="ListBullet"/>
        <w:spacing w:after="40"/>
      </w:pPr>
      <w:r>
        <w:t>Define retention and deletion schedules for contacts, message content, audit logs, feedback and backups.</w:t>
      </w:r>
    </w:p>
    <w:p>
      <w:pPr>
        <w:pStyle w:val="ListBullet"/>
        <w:spacing w:after="40"/>
      </w:pPr>
      <w:r>
        <w:t>Assess hosting location, vendor/subprocessor arrangements, data transfer and incident reporting obligations.</w:t>
      </w:r>
    </w:p>
    <w:p>
      <w:pPr>
        <w:pStyle w:val="ListBullet"/>
        <w:spacing w:after="40"/>
      </w:pPr>
      <w:r>
        <w:t>Maintain incident response procedures, access reviews, backup restoration tests and security audit trails.</w:t>
      </w:r>
    </w:p>
    <w:p>
      <w:pPr>
        <w:pStyle w:val="ListBullet"/>
        <w:spacing w:after="40"/>
      </w:pPr>
      <w:r>
        <w:t>Do not include personally identifying data in public maps or open datasets unless specifically reviewed and authorized.</w:t>
      </w:r>
    </w:p>
    <w:p>
      <w:pPr>
        <w:pStyle w:val="Heading1"/>
        <w:keepNext/>
      </w:pPr>
      <w:r>
        <w:t>16. Product Analytics &amp; Success Metrics</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23B5D"/>
          </w:tcPr>
          <w:p>
            <w:pPr>
              <w:spacing w:after="20"/>
            </w:pPr>
            <w:r/>
            <w:r>
              <w:rPr>
                <w:b/>
                <w:color w:val="FFFFFF"/>
                <w:sz w:val="16"/>
              </w:rPr>
              <w:t>Metric</w:t>
            </w:r>
          </w:p>
        </w:tc>
        <w:tc>
          <w:tcPr>
            <w:tcW w:type="dxa" w:w="3331"/>
            <w:vAlign w:val="center"/>
            <w:shd w:fill="123B5D"/>
          </w:tcPr>
          <w:p>
            <w:pPr>
              <w:spacing w:after="20"/>
            </w:pPr>
            <w:r/>
            <w:r>
              <w:rPr>
                <w:b/>
                <w:color w:val="FFFFFF"/>
                <w:sz w:val="16"/>
              </w:rPr>
              <w:t>Definition</w:t>
            </w:r>
          </w:p>
        </w:tc>
        <w:tc>
          <w:tcPr>
            <w:tcW w:type="dxa" w:w="3331"/>
            <w:vAlign w:val="center"/>
            <w:shd w:fill="123B5D"/>
          </w:tcPr>
          <w:p>
            <w:pPr>
              <w:spacing w:after="20"/>
            </w:pPr>
            <w:r/>
            <w:r>
              <w:rPr>
                <w:b/>
                <w:color w:val="FFFFFF"/>
                <w:sz w:val="16"/>
              </w:rPr>
              <w:t>Proposed pilot use</w:t>
            </w:r>
          </w:p>
        </w:tc>
      </w:tr>
      <w:tr>
        <w:tc>
          <w:tcPr>
            <w:tcW w:type="dxa" w:w="3331"/>
            <w:vAlign w:val="center"/>
          </w:tcPr>
          <w:p>
            <w:pPr>
              <w:spacing w:after="20"/>
            </w:pPr>
            <w:r/>
            <w:r>
              <w:rPr>
                <w:b w:val="0"/>
                <w:sz w:val="15"/>
              </w:rPr>
              <w:t>Data freshness compliance</w:t>
            </w:r>
          </w:p>
        </w:tc>
        <w:tc>
          <w:tcPr>
            <w:tcW w:type="dxa" w:w="3331"/>
            <w:vAlign w:val="center"/>
          </w:tcPr>
          <w:p>
            <w:pPr>
              <w:spacing w:after="20"/>
            </w:pPr>
            <w:r/>
            <w:r>
              <w:rPr>
                <w:b w:val="0"/>
                <w:sz w:val="15"/>
              </w:rPr>
              <w:t>Share of scheduled source updates completed within approved freshness window</w:t>
            </w:r>
          </w:p>
        </w:tc>
        <w:tc>
          <w:tcPr>
            <w:tcW w:type="dxa" w:w="3331"/>
            <w:vAlign w:val="center"/>
          </w:tcPr>
          <w:p>
            <w:pPr>
              <w:spacing w:after="20"/>
            </w:pPr>
            <w:r/>
            <w:r>
              <w:rPr>
                <w:b w:val="0"/>
                <w:sz w:val="15"/>
              </w:rPr>
              <w:t>Measure ingestion reliability by source; set target after source audit</w:t>
            </w:r>
          </w:p>
        </w:tc>
      </w:tr>
      <w:tr>
        <w:tc>
          <w:tcPr>
            <w:tcW w:type="dxa" w:w="3331"/>
            <w:vAlign w:val="center"/>
            <w:shd w:fill="F2F6F8"/>
          </w:tcPr>
          <w:p>
            <w:pPr>
              <w:spacing w:after="20"/>
            </w:pPr>
            <w:r/>
            <w:r>
              <w:rPr>
                <w:b w:val="0"/>
                <w:sz w:val="15"/>
              </w:rPr>
              <w:t>Spatial/temporal coverage</w:t>
            </w:r>
          </w:p>
        </w:tc>
        <w:tc>
          <w:tcPr>
            <w:tcW w:type="dxa" w:w="3331"/>
            <w:vAlign w:val="center"/>
            <w:shd w:fill="F2F6F8"/>
          </w:tcPr>
          <w:p>
            <w:pPr>
              <w:spacing w:after="20"/>
            </w:pPr>
            <w:r/>
            <w:r>
              <w:rPr>
                <w:b w:val="0"/>
                <w:sz w:val="15"/>
              </w:rPr>
              <w:t>Share of pilot units and periods with usable data and required QA status</w:t>
            </w:r>
          </w:p>
        </w:tc>
        <w:tc>
          <w:tcPr>
            <w:tcW w:type="dxa" w:w="3331"/>
            <w:vAlign w:val="center"/>
            <w:shd w:fill="F2F6F8"/>
          </w:tcPr>
          <w:p>
            <w:pPr>
              <w:spacing w:after="20"/>
            </w:pPr>
            <w:r/>
            <w:r>
              <w:rPr>
                <w:b w:val="0"/>
                <w:sz w:val="15"/>
              </w:rPr>
              <w:t>Identify where outputs should be suppressed</w:t>
            </w:r>
          </w:p>
        </w:tc>
      </w:tr>
      <w:tr>
        <w:tc>
          <w:tcPr>
            <w:tcW w:type="dxa" w:w="3331"/>
            <w:vAlign w:val="center"/>
          </w:tcPr>
          <w:p>
            <w:pPr>
              <w:spacing w:after="20"/>
            </w:pPr>
            <w:r/>
            <w:r>
              <w:rPr>
                <w:b w:val="0"/>
                <w:sz w:val="15"/>
              </w:rPr>
              <w:t>Forecast skill vs baseline</w:t>
            </w:r>
          </w:p>
        </w:tc>
        <w:tc>
          <w:tcPr>
            <w:tcW w:type="dxa" w:w="3331"/>
            <w:vAlign w:val="center"/>
          </w:tcPr>
          <w:p>
            <w:pPr>
              <w:spacing w:after="20"/>
            </w:pPr>
            <w:r/>
            <w:r>
              <w:rPr>
                <w:b w:val="0"/>
                <w:sz w:val="15"/>
              </w:rPr>
              <w:t>Improvement over agreed baseline on held-out data for a defined target/horizon</w:t>
            </w:r>
          </w:p>
        </w:tc>
        <w:tc>
          <w:tcPr>
            <w:tcW w:type="dxa" w:w="3331"/>
            <w:vAlign w:val="center"/>
          </w:tcPr>
          <w:p>
            <w:pPr>
              <w:spacing w:after="20"/>
            </w:pPr>
            <w:r/>
            <w:r>
              <w:rPr>
                <w:b w:val="0"/>
                <w:sz w:val="15"/>
              </w:rPr>
              <w:t>Mandatory before predictive claims</w:t>
            </w:r>
          </w:p>
        </w:tc>
      </w:tr>
      <w:tr>
        <w:tc>
          <w:tcPr>
            <w:tcW w:type="dxa" w:w="3331"/>
            <w:vAlign w:val="center"/>
            <w:shd w:fill="F2F6F8"/>
          </w:tcPr>
          <w:p>
            <w:pPr>
              <w:spacing w:after="20"/>
            </w:pPr>
            <w:r/>
            <w:r>
              <w:rPr>
                <w:b w:val="0"/>
                <w:sz w:val="15"/>
              </w:rPr>
              <w:t>Calibration</w:t>
            </w:r>
          </w:p>
        </w:tc>
        <w:tc>
          <w:tcPr>
            <w:tcW w:type="dxa" w:w="3331"/>
            <w:vAlign w:val="center"/>
            <w:shd w:fill="F2F6F8"/>
          </w:tcPr>
          <w:p>
            <w:pPr>
              <w:spacing w:after="20"/>
            </w:pPr>
            <w:r/>
            <w:r>
              <w:rPr>
                <w:b w:val="0"/>
                <w:sz w:val="15"/>
              </w:rPr>
              <w:t>Agreement between predicted probabilities/bands and observed event frequencies</w:t>
            </w:r>
          </w:p>
        </w:tc>
        <w:tc>
          <w:tcPr>
            <w:tcW w:type="dxa" w:w="3331"/>
            <w:vAlign w:val="center"/>
            <w:shd w:fill="F2F6F8"/>
          </w:tcPr>
          <w:p>
            <w:pPr>
              <w:spacing w:after="20"/>
            </w:pPr>
            <w:r/>
            <w:r>
              <w:rPr>
                <w:b w:val="0"/>
                <w:sz w:val="15"/>
              </w:rPr>
              <w:t>Required for probability-based risk messaging</w:t>
            </w:r>
          </w:p>
        </w:tc>
      </w:tr>
      <w:tr>
        <w:tc>
          <w:tcPr>
            <w:tcW w:type="dxa" w:w="3331"/>
            <w:vAlign w:val="center"/>
          </w:tcPr>
          <w:p>
            <w:pPr>
              <w:spacing w:after="20"/>
            </w:pPr>
            <w:r/>
            <w:r>
              <w:rPr>
                <w:b w:val="0"/>
                <w:sz w:val="15"/>
              </w:rPr>
              <w:t>False-alert rate</w:t>
            </w:r>
          </w:p>
        </w:tc>
        <w:tc>
          <w:tcPr>
            <w:tcW w:type="dxa" w:w="3331"/>
            <w:vAlign w:val="center"/>
          </w:tcPr>
          <w:p>
            <w:pPr>
              <w:spacing w:after="20"/>
            </w:pPr>
            <w:r/>
            <w:r>
              <w:rPr>
                <w:b w:val="0"/>
                <w:sz w:val="15"/>
              </w:rPr>
              <w:t>Share of alerts not corroborated by the agreed ground/reference outcome</w:t>
            </w:r>
          </w:p>
        </w:tc>
        <w:tc>
          <w:tcPr>
            <w:tcW w:type="dxa" w:w="3331"/>
            <w:vAlign w:val="center"/>
          </w:tcPr>
          <w:p>
            <w:pPr>
              <w:spacing w:after="20"/>
            </w:pPr>
            <w:r/>
            <w:r>
              <w:rPr>
                <w:b w:val="0"/>
                <w:sz w:val="15"/>
              </w:rPr>
              <w:t>Track by season, block and alert type</w:t>
            </w:r>
          </w:p>
        </w:tc>
      </w:tr>
      <w:tr>
        <w:tc>
          <w:tcPr>
            <w:tcW w:type="dxa" w:w="3331"/>
            <w:vAlign w:val="center"/>
            <w:shd w:fill="F2F6F8"/>
          </w:tcPr>
          <w:p>
            <w:pPr>
              <w:spacing w:after="20"/>
            </w:pPr>
            <w:r/>
            <w:r>
              <w:rPr>
                <w:b w:val="0"/>
                <w:sz w:val="15"/>
              </w:rPr>
              <w:t>Missed-event rate</w:t>
            </w:r>
          </w:p>
        </w:tc>
        <w:tc>
          <w:tcPr>
            <w:tcW w:type="dxa" w:w="3331"/>
            <w:vAlign w:val="center"/>
            <w:shd w:fill="F2F6F8"/>
          </w:tcPr>
          <w:p>
            <w:pPr>
              <w:spacing w:after="20"/>
            </w:pPr>
            <w:r/>
            <w:r>
              <w:rPr>
                <w:b w:val="0"/>
                <w:sz w:val="15"/>
              </w:rPr>
              <w:t>Share of observed events not preceded by a qualifying signal</w:t>
            </w:r>
          </w:p>
        </w:tc>
        <w:tc>
          <w:tcPr>
            <w:tcW w:type="dxa" w:w="3331"/>
            <w:vAlign w:val="center"/>
            <w:shd w:fill="F2F6F8"/>
          </w:tcPr>
          <w:p>
            <w:pPr>
              <w:spacing w:after="20"/>
            </w:pPr>
            <w:r/>
            <w:r>
              <w:rPr>
                <w:b w:val="0"/>
                <w:sz w:val="15"/>
              </w:rPr>
              <w:t>Evaluate usefulness and potential harm</w:t>
            </w:r>
          </w:p>
        </w:tc>
      </w:tr>
      <w:tr>
        <w:tc>
          <w:tcPr>
            <w:tcW w:type="dxa" w:w="3331"/>
            <w:vAlign w:val="center"/>
          </w:tcPr>
          <w:p>
            <w:pPr>
              <w:spacing w:after="20"/>
            </w:pPr>
            <w:r/>
            <w:r>
              <w:rPr>
                <w:b w:val="0"/>
                <w:sz w:val="15"/>
              </w:rPr>
              <w:t>Lead time</w:t>
            </w:r>
          </w:p>
        </w:tc>
        <w:tc>
          <w:tcPr>
            <w:tcW w:type="dxa" w:w="3331"/>
            <w:vAlign w:val="center"/>
          </w:tcPr>
          <w:p>
            <w:pPr>
              <w:spacing w:after="20"/>
            </w:pPr>
            <w:r/>
            <w:r>
              <w:rPr>
                <w:b w:val="0"/>
                <w:sz w:val="15"/>
              </w:rPr>
              <w:t>Time between a validated signal and observed event/action window</w:t>
            </w:r>
          </w:p>
        </w:tc>
        <w:tc>
          <w:tcPr>
            <w:tcW w:type="dxa" w:w="3331"/>
            <w:vAlign w:val="center"/>
          </w:tcPr>
          <w:p>
            <w:pPr>
              <w:spacing w:after="20"/>
            </w:pPr>
            <w:r/>
            <w:r>
              <w:rPr>
                <w:b w:val="0"/>
                <w:sz w:val="15"/>
              </w:rPr>
              <w:t>Report distribution, not only average</w:t>
            </w:r>
          </w:p>
        </w:tc>
      </w:tr>
      <w:tr>
        <w:tc>
          <w:tcPr>
            <w:tcW w:type="dxa" w:w="3331"/>
            <w:vAlign w:val="center"/>
            <w:shd w:fill="F2F6F8"/>
          </w:tcPr>
          <w:p>
            <w:pPr>
              <w:spacing w:after="20"/>
            </w:pPr>
            <w:r/>
            <w:r>
              <w:rPr>
                <w:b w:val="0"/>
                <w:sz w:val="15"/>
              </w:rPr>
              <w:t>Review burden</w:t>
            </w:r>
          </w:p>
        </w:tc>
        <w:tc>
          <w:tcPr>
            <w:tcW w:type="dxa" w:w="3331"/>
            <w:vAlign w:val="center"/>
            <w:shd w:fill="F2F6F8"/>
          </w:tcPr>
          <w:p>
            <w:pPr>
              <w:spacing w:after="20"/>
            </w:pPr>
            <w:r/>
            <w:r>
              <w:rPr>
                <w:b w:val="0"/>
                <w:sz w:val="15"/>
              </w:rPr>
              <w:t>Reviewer time and candidate alerts per week</w:t>
            </w:r>
          </w:p>
        </w:tc>
        <w:tc>
          <w:tcPr>
            <w:tcW w:type="dxa" w:w="3331"/>
            <w:vAlign w:val="center"/>
            <w:shd w:fill="F2F6F8"/>
          </w:tcPr>
          <w:p>
            <w:pPr>
              <w:spacing w:after="20"/>
            </w:pPr>
            <w:r/>
            <w:r>
              <w:rPr>
                <w:b w:val="0"/>
                <w:sz w:val="15"/>
              </w:rPr>
              <w:t>Ensure the workflow is operationally sustainable</w:t>
            </w:r>
          </w:p>
        </w:tc>
      </w:tr>
      <w:tr>
        <w:tc>
          <w:tcPr>
            <w:tcW w:type="dxa" w:w="3331"/>
            <w:vAlign w:val="center"/>
          </w:tcPr>
          <w:p>
            <w:pPr>
              <w:spacing w:after="20"/>
            </w:pPr>
            <w:r/>
            <w:r>
              <w:rPr>
                <w:b w:val="0"/>
                <w:sz w:val="15"/>
              </w:rPr>
              <w:t>Delivery and acknowledgement</w:t>
            </w:r>
          </w:p>
        </w:tc>
        <w:tc>
          <w:tcPr>
            <w:tcW w:type="dxa" w:w="3331"/>
            <w:vAlign w:val="center"/>
          </w:tcPr>
          <w:p>
            <w:pPr>
              <w:spacing w:after="20"/>
            </w:pPr>
            <w:r/>
            <w:r>
              <w:rPr>
                <w:b w:val="0"/>
                <w:sz w:val="15"/>
              </w:rPr>
              <w:t>Provider-reported delivery and recipient acknowledgement rates</w:t>
            </w:r>
          </w:p>
        </w:tc>
        <w:tc>
          <w:tcPr>
            <w:tcW w:type="dxa" w:w="3331"/>
            <w:vAlign w:val="center"/>
          </w:tcPr>
          <w:p>
            <w:pPr>
              <w:spacing w:after="20"/>
            </w:pPr>
            <w:r/>
            <w:r>
              <w:rPr>
                <w:b w:val="0"/>
                <w:sz w:val="15"/>
              </w:rPr>
              <w:t>Separate delivery from human action</w:t>
            </w:r>
          </w:p>
        </w:tc>
      </w:tr>
      <w:tr>
        <w:tc>
          <w:tcPr>
            <w:tcW w:type="dxa" w:w="3331"/>
            <w:vAlign w:val="center"/>
            <w:shd w:fill="F2F6F8"/>
          </w:tcPr>
          <w:p>
            <w:pPr>
              <w:spacing w:after="20"/>
            </w:pPr>
            <w:r/>
            <w:r>
              <w:rPr>
                <w:b w:val="0"/>
                <w:sz w:val="15"/>
              </w:rPr>
              <w:t>Action follow-through</w:t>
            </w:r>
          </w:p>
        </w:tc>
        <w:tc>
          <w:tcPr>
            <w:tcW w:type="dxa" w:w="3331"/>
            <w:vAlign w:val="center"/>
            <w:shd w:fill="F2F6F8"/>
          </w:tcPr>
          <w:p>
            <w:pPr>
              <w:spacing w:after="20"/>
            </w:pPr>
            <w:r/>
            <w:r>
              <w:rPr>
                <w:b w:val="0"/>
                <w:sz w:val="15"/>
              </w:rPr>
              <w:t>Share of approved recommendations with documented review/action status</w:t>
            </w:r>
          </w:p>
        </w:tc>
        <w:tc>
          <w:tcPr>
            <w:tcW w:type="dxa" w:w="3331"/>
            <w:vAlign w:val="center"/>
            <w:shd w:fill="F2F6F8"/>
          </w:tcPr>
          <w:p>
            <w:pPr>
              <w:spacing w:after="20"/>
            </w:pPr>
            <w:r/>
            <w:r>
              <w:rPr>
                <w:b w:val="0"/>
                <w:sz w:val="15"/>
              </w:rPr>
              <w:t>Assess operational value</w:t>
            </w:r>
          </w:p>
        </w:tc>
      </w:tr>
      <w:tr>
        <w:tc>
          <w:tcPr>
            <w:tcW w:type="dxa" w:w="3331"/>
            <w:vAlign w:val="center"/>
          </w:tcPr>
          <w:p>
            <w:pPr>
              <w:spacing w:after="20"/>
            </w:pPr>
            <w:r/>
            <w:r>
              <w:rPr>
                <w:b w:val="0"/>
                <w:sz w:val="15"/>
              </w:rPr>
              <w:t>User comprehension</w:t>
            </w:r>
          </w:p>
        </w:tc>
        <w:tc>
          <w:tcPr>
            <w:tcW w:type="dxa" w:w="3331"/>
            <w:vAlign w:val="center"/>
          </w:tcPr>
          <w:p>
            <w:pPr>
              <w:spacing w:after="20"/>
            </w:pPr>
            <w:r/>
            <w:r>
              <w:rPr>
                <w:b w:val="0"/>
                <w:sz w:val="15"/>
              </w:rPr>
              <w:t>Share of test users correctly explaining alert meaning and next step</w:t>
            </w:r>
          </w:p>
        </w:tc>
        <w:tc>
          <w:tcPr>
            <w:tcW w:type="dxa" w:w="3331"/>
            <w:vAlign w:val="center"/>
          </w:tcPr>
          <w:p>
            <w:pPr>
              <w:spacing w:after="20"/>
            </w:pPr>
            <w:r/>
            <w:r>
              <w:rPr>
                <w:b w:val="0"/>
                <w:sz w:val="15"/>
              </w:rPr>
              <w:t>Use structured user testing</w:t>
            </w:r>
          </w:p>
        </w:tc>
      </w:tr>
      <w:tr>
        <w:tc>
          <w:tcPr>
            <w:tcW w:type="dxa" w:w="3331"/>
            <w:vAlign w:val="center"/>
            <w:shd w:fill="F2F6F8"/>
          </w:tcPr>
          <w:p>
            <w:pPr>
              <w:spacing w:after="20"/>
            </w:pPr>
            <w:r/>
            <w:r>
              <w:rPr>
                <w:b w:val="0"/>
                <w:sz w:val="15"/>
              </w:rPr>
              <w:t>Cost per monitored unit</w:t>
            </w:r>
          </w:p>
        </w:tc>
        <w:tc>
          <w:tcPr>
            <w:tcW w:type="dxa" w:w="3331"/>
            <w:vAlign w:val="center"/>
            <w:shd w:fill="F2F6F8"/>
          </w:tcPr>
          <w:p>
            <w:pPr>
              <w:spacing w:after="20"/>
            </w:pPr>
            <w:r/>
            <w:r>
              <w:rPr>
                <w:b w:val="0"/>
                <w:sz w:val="15"/>
              </w:rPr>
              <w:t>Hosting, processing, support and messaging cost divided by active units</w:t>
            </w:r>
          </w:p>
        </w:tc>
        <w:tc>
          <w:tcPr>
            <w:tcW w:type="dxa" w:w="3331"/>
            <w:vAlign w:val="center"/>
            <w:shd w:fill="F2F6F8"/>
          </w:tcPr>
          <w:p>
            <w:pPr>
              <w:spacing w:after="20"/>
            </w:pPr>
            <w:r/>
            <w:r>
              <w:rPr>
                <w:b w:val="0"/>
                <w:sz w:val="15"/>
              </w:rPr>
              <w:t>Inform scale decision</w:t>
            </w:r>
          </w:p>
        </w:tc>
      </w:tr>
      <w:tr>
        <w:tc>
          <w:tcPr>
            <w:tcW w:type="dxa" w:w="3331"/>
            <w:vAlign w:val="center"/>
          </w:tcPr>
          <w:p>
            <w:pPr>
              <w:spacing w:after="20"/>
            </w:pPr>
            <w:r/>
            <w:r>
              <w:rPr>
                <w:b w:val="0"/>
                <w:sz w:val="15"/>
              </w:rPr>
              <w:t>Trust/correction rate</w:t>
            </w:r>
          </w:p>
        </w:tc>
        <w:tc>
          <w:tcPr>
            <w:tcW w:type="dxa" w:w="3331"/>
            <w:vAlign w:val="center"/>
          </w:tcPr>
          <w:p>
            <w:pPr>
              <w:spacing w:after="20"/>
            </w:pPr>
            <w:r/>
            <w:r>
              <w:rPr>
                <w:b w:val="0"/>
                <w:sz w:val="15"/>
              </w:rPr>
              <w:t>User-reported errors and resolved corrections per reporting period</w:t>
            </w:r>
          </w:p>
        </w:tc>
        <w:tc>
          <w:tcPr>
            <w:tcW w:type="dxa" w:w="3331"/>
            <w:vAlign w:val="center"/>
          </w:tcPr>
          <w:p>
            <w:pPr>
              <w:spacing w:after="20"/>
            </w:pPr>
            <w:r/>
            <w:r>
              <w:rPr>
                <w:b w:val="0"/>
                <w:sz w:val="15"/>
              </w:rPr>
              <w:t>Improve data and communication quality</w:t>
            </w:r>
          </w:p>
        </w:tc>
      </w:tr>
    </w:tbl>
    <w:p/>
    <w:p>
      <w:r>
        <w:t>Targets should be set after baseline measurement and stakeholder agreement. Do not optimize for alert volume or dashboard usage alone; those metrics can reward noisy signals rather than real public value.</w:t>
      </w:r>
    </w:p>
    <w:p>
      <w:pPr>
        <w:pStyle w:val="Heading1"/>
        <w:keepNext/>
      </w:pPr>
      <w:r>
        <w:t>17. Testing &amp; Quality Assurance</w:t>
      </w:r>
    </w:p>
    <w:p>
      <w:pPr>
        <w:pStyle w:val="Heading2"/>
        <w:keepNext/>
      </w:pPr>
      <w:r>
        <w:t>17.1 Data and scientific tests</w:t>
      </w:r>
    </w:p>
    <w:p>
      <w:pPr>
        <w:pStyle w:val="ListBullet"/>
        <w:spacing w:after="40"/>
      </w:pPr>
      <w:r>
        <w:t>Unit tests for unit conversions, temporal aggregations, geometry operations and index/score transformations.</w:t>
      </w:r>
    </w:p>
    <w:p>
      <w:pPr>
        <w:pStyle w:val="ListBullet"/>
        <w:spacing w:after="40"/>
      </w:pPr>
      <w:r>
        <w:t>Contract tests for every external source schema and expected fields.</w:t>
      </w:r>
    </w:p>
    <w:p>
      <w:pPr>
        <w:pStyle w:val="ListBullet"/>
        <w:spacing w:after="40"/>
      </w:pPr>
      <w:r>
        <w:t>Data-quality tests for missingness, duplicate timestamps, impossible values, CRS errors, invalid geometries and stale inputs.</w:t>
      </w:r>
    </w:p>
    <w:p>
      <w:pPr>
        <w:pStyle w:val="ListBullet"/>
        <w:spacing w:after="40"/>
      </w:pPr>
      <w:r>
        <w:t>Reproducibility test: same source snapshot and code/model version yields equivalent outputs within defined numerical tolerance.</w:t>
      </w:r>
    </w:p>
    <w:p>
      <w:pPr>
        <w:pStyle w:val="ListBullet"/>
        <w:spacing w:after="40"/>
      </w:pPr>
      <w:r>
        <w:t>Spatial leakage review and temporal train/test separation; no random row split where adjacent periods or neighboring blocks can leak information.</w:t>
      </w:r>
    </w:p>
    <w:p>
      <w:pPr>
        <w:pStyle w:val="ListBullet"/>
        <w:spacing w:after="40"/>
      </w:pPr>
      <w:r>
        <w:t>Backtesting across wet/dry seasons and held-out geographies; compare against naïve and domain baselines.</w:t>
      </w:r>
    </w:p>
    <w:p>
      <w:pPr>
        <w:pStyle w:val="ListBullet"/>
        <w:spacing w:after="40"/>
      </w:pPr>
      <w:r>
        <w:t>Sensitivity analysis for missing data, alternate aggregation methods, feature shifts and boundary changes.</w:t>
      </w:r>
    </w:p>
    <w:p>
      <w:pPr>
        <w:pStyle w:val="ListBullet"/>
        <w:spacing w:after="40"/>
      </w:pPr>
      <w:r>
        <w:t>Independent expert review of target variable, thresholds, uncertainty and wording.</w:t>
      </w:r>
    </w:p>
    <w:p>
      <w:pPr>
        <w:pStyle w:val="Heading2"/>
        <w:keepNext/>
      </w:pPr>
      <w:r>
        <w:t>17.2 Product and integration tests</w:t>
      </w:r>
    </w:p>
    <w:p>
      <w:pPr>
        <w:pStyle w:val="ListBullet"/>
        <w:spacing w:after="40"/>
      </w:pPr>
      <w:r>
        <w:t>Role/permission tests across UI, API, export and alert-recipient management.</w:t>
      </w:r>
    </w:p>
    <w:p>
      <w:pPr>
        <w:pStyle w:val="ListBullet"/>
        <w:spacing w:after="40"/>
      </w:pPr>
      <w:r>
        <w:t>End-to-end test from source ingestion to dashboard and from approved candidate to provider sandbox/test message.</w:t>
      </w:r>
    </w:p>
    <w:p>
      <w:pPr>
        <w:pStyle w:val="ListBullet"/>
        <w:spacing w:after="40"/>
      </w:pPr>
      <w:r>
        <w:t>Alert suppression tests for stale data, low confidence, duplicate candidate, inactive recipient and unapproved scheme rule.</w:t>
      </w:r>
    </w:p>
    <w:p>
      <w:pPr>
        <w:pStyle w:val="ListBullet"/>
        <w:spacing w:after="40"/>
      </w:pPr>
      <w:r>
        <w:t>Localization tests for Hindi rendering, Unicode, truncation, SMS length and message comprehension.</w:t>
      </w:r>
    </w:p>
    <w:p>
      <w:pPr>
        <w:pStyle w:val="ListBullet"/>
        <w:spacing w:after="40"/>
      </w:pPr>
      <w:r>
        <w:t>Low-bandwidth tests with constrained network profiles and mobile devices.</w:t>
      </w:r>
    </w:p>
    <w:p>
      <w:pPr>
        <w:pStyle w:val="ListBullet"/>
        <w:spacing w:after="40"/>
      </w:pPr>
      <w:r>
        <w:t>Load tests for map queries, concurrent dashboard use, batch scoring and alert bursts.</w:t>
      </w:r>
    </w:p>
    <w:p>
      <w:pPr>
        <w:pStyle w:val="ListBullet"/>
        <w:spacing w:after="40"/>
      </w:pPr>
      <w:r>
        <w:t>Failure/recovery tests for source outages, database interruption, queue backlog, provider failure and credential rotation.</w:t>
      </w:r>
    </w:p>
    <w:p>
      <w:pPr>
        <w:pStyle w:val="ListBullet"/>
        <w:spacing w:after="40"/>
      </w:pPr>
      <w:r>
        <w:t>Backup/restore and audit-log retrieval tests.</w:t>
      </w:r>
    </w:p>
    <w:p>
      <w:pPr>
        <w:pStyle w:val="Heading2"/>
        <w:keepNext/>
      </w:pPr>
      <w:r>
        <w:t>17.3 Release checklist</w:t>
      </w:r>
    </w:p>
    <w:p>
      <w:pPr>
        <w:pStyle w:val="ListBullet"/>
        <w:spacing w:after="40"/>
      </w:pPr>
      <w:r>
        <w:t>Science and data release gates approved.</w:t>
      </w:r>
    </w:p>
    <w:p>
      <w:pPr>
        <w:pStyle w:val="ListBullet"/>
        <w:spacing w:after="40"/>
      </w:pPr>
      <w:r>
        <w:t>Every metric has units, source, time window, quality status and explanatory copy.</w:t>
      </w:r>
    </w:p>
    <w:p>
      <w:pPr>
        <w:pStyle w:val="ListBullet"/>
        <w:spacing w:after="40"/>
      </w:pPr>
      <w:r>
        <w:t>No unsupported countdown or automatic scheme/engineering prescription is enabled.</w:t>
      </w:r>
    </w:p>
    <w:p>
      <w:pPr>
        <w:pStyle w:val="ListBullet"/>
        <w:spacing w:after="40"/>
      </w:pPr>
      <w:r>
        <w:t>Scheme catalogue sources and effective dates are verified.</w:t>
      </w:r>
    </w:p>
    <w:p>
      <w:pPr>
        <w:pStyle w:val="ListBullet"/>
        <w:spacing w:after="40"/>
      </w:pPr>
      <w:r>
        <w:t>Hindi templates reviewed by native-language users and authorized officials.</w:t>
      </w:r>
    </w:p>
    <w:p>
      <w:pPr>
        <w:pStyle w:val="ListBullet"/>
        <w:spacing w:after="40"/>
      </w:pPr>
      <w:r>
        <w:t>Recipient registry authorization and privacy review completed.</w:t>
      </w:r>
    </w:p>
    <w:p>
      <w:pPr>
        <w:pStyle w:val="ListBullet"/>
        <w:spacing w:after="40"/>
      </w:pPr>
      <w:r>
        <w:t>Monitoring, runbooks, rollback and incident contacts are in place.</w:t>
      </w:r>
    </w:p>
    <w:p>
      <w:pPr>
        <w:pStyle w:val="ListBullet"/>
        <w:spacing w:after="40"/>
      </w:pPr>
      <w:r>
        <w:t>Pilot users trained on limitations, correction workflow and escalation path.</w:t>
      </w:r>
    </w:p>
    <w:p>
      <w:pPr>
        <w:pStyle w:val="Heading1"/>
        <w:keepNext/>
      </w:pPr>
      <w:r>
        <w:t>18. Pilot Plan &amp; Evaluation</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23B5D"/>
          </w:tcPr>
          <w:p>
            <w:pPr>
              <w:spacing w:after="20"/>
            </w:pPr>
            <w:r/>
            <w:r>
              <w:rPr>
                <w:b/>
                <w:color w:val="FFFFFF"/>
                <w:sz w:val="16"/>
              </w:rPr>
              <w:t>Stage</w:t>
            </w:r>
          </w:p>
        </w:tc>
        <w:tc>
          <w:tcPr>
            <w:tcW w:type="dxa" w:w="3331"/>
            <w:vAlign w:val="center"/>
            <w:shd w:fill="123B5D"/>
          </w:tcPr>
          <w:p>
            <w:pPr>
              <w:spacing w:after="20"/>
            </w:pPr>
            <w:r/>
            <w:r>
              <w:rPr>
                <w:b/>
                <w:color w:val="FFFFFF"/>
                <w:sz w:val="16"/>
              </w:rPr>
              <w:t>Activities</w:t>
            </w:r>
          </w:p>
        </w:tc>
        <w:tc>
          <w:tcPr>
            <w:tcW w:type="dxa" w:w="3331"/>
            <w:vAlign w:val="center"/>
            <w:shd w:fill="123B5D"/>
          </w:tcPr>
          <w:p>
            <w:pPr>
              <w:spacing w:after="20"/>
            </w:pPr>
            <w:r/>
            <w:r>
              <w:rPr>
                <w:b/>
                <w:color w:val="FFFFFF"/>
                <w:sz w:val="16"/>
              </w:rPr>
              <w:t>Evidence / deliverable</w:t>
            </w:r>
          </w:p>
        </w:tc>
      </w:tr>
      <w:tr>
        <w:tc>
          <w:tcPr>
            <w:tcW w:type="dxa" w:w="3331"/>
            <w:vAlign w:val="center"/>
          </w:tcPr>
          <w:p>
            <w:pPr>
              <w:spacing w:after="20"/>
            </w:pPr>
            <w:r/>
            <w:r>
              <w:rPr>
                <w:b w:val="0"/>
                <w:sz w:val="15"/>
              </w:rPr>
              <w:t>A. Discovery (2–4 weeks; planning estimate)</w:t>
            </w:r>
          </w:p>
        </w:tc>
        <w:tc>
          <w:tcPr>
            <w:tcW w:type="dxa" w:w="3331"/>
            <w:vAlign w:val="center"/>
          </w:tcPr>
          <w:p>
            <w:pPr>
              <w:spacing w:after="20"/>
            </w:pPr>
            <w:r/>
            <w:r>
              <w:rPr>
                <w:b w:val="0"/>
                <w:sz w:val="15"/>
              </w:rPr>
              <w:t>Stakeholder interviews, workflow mapping, data-access checks, source inventory, governance setup</w:t>
            </w:r>
          </w:p>
        </w:tc>
        <w:tc>
          <w:tcPr>
            <w:tcW w:type="dxa" w:w="3331"/>
            <w:vAlign w:val="center"/>
          </w:tcPr>
          <w:p>
            <w:pPr>
              <w:spacing w:after="20"/>
            </w:pPr>
            <w:r/>
            <w:r>
              <w:rPr>
                <w:b w:val="0"/>
                <w:sz w:val="15"/>
              </w:rPr>
              <w:t>Approved pilot charter, data catalogue, target definitions and risk register</w:t>
            </w:r>
          </w:p>
        </w:tc>
      </w:tr>
      <w:tr>
        <w:tc>
          <w:tcPr>
            <w:tcW w:type="dxa" w:w="3331"/>
            <w:vAlign w:val="center"/>
            <w:shd w:fill="F2F6F8"/>
          </w:tcPr>
          <w:p>
            <w:pPr>
              <w:spacing w:after="20"/>
            </w:pPr>
            <w:r/>
            <w:r>
              <w:rPr>
                <w:b w:val="0"/>
                <w:sz w:val="15"/>
              </w:rPr>
              <w:t>B. Baseline &amp; prototype (4–6 weeks; planning estimate)</w:t>
            </w:r>
          </w:p>
        </w:tc>
        <w:tc>
          <w:tcPr>
            <w:tcW w:type="dxa" w:w="3331"/>
            <w:vAlign w:val="center"/>
            <w:shd w:fill="F2F6F8"/>
          </w:tcPr>
          <w:p>
            <w:pPr>
              <w:spacing w:after="20"/>
            </w:pPr>
            <w:r/>
            <w:r>
              <w:rPr>
                <w:b w:val="0"/>
                <w:sz w:val="15"/>
              </w:rPr>
              <w:t>Build ingestion for available sources, map/detail UI, data-quality display, baseline metrics</w:t>
            </w:r>
          </w:p>
        </w:tc>
        <w:tc>
          <w:tcPr>
            <w:tcW w:type="dxa" w:w="3331"/>
            <w:vAlign w:val="center"/>
            <w:shd w:fill="F2F6F8"/>
          </w:tcPr>
          <w:p>
            <w:pPr>
              <w:spacing w:after="20"/>
            </w:pPr>
            <w:r/>
            <w:r>
              <w:rPr>
                <w:b w:val="0"/>
                <w:sz w:val="15"/>
              </w:rPr>
              <w:t>Working monitoring MVP; QA and usability findings</w:t>
            </w:r>
          </w:p>
        </w:tc>
      </w:tr>
      <w:tr>
        <w:tc>
          <w:tcPr>
            <w:tcW w:type="dxa" w:w="3331"/>
            <w:vAlign w:val="center"/>
          </w:tcPr>
          <w:p>
            <w:pPr>
              <w:spacing w:after="20"/>
            </w:pPr>
            <w:r/>
            <w:r>
              <w:rPr>
                <w:b w:val="0"/>
                <w:sz w:val="15"/>
              </w:rPr>
              <w:t>C. Retrospective evaluation (time depends on data)</w:t>
            </w:r>
          </w:p>
        </w:tc>
        <w:tc>
          <w:tcPr>
            <w:tcW w:type="dxa" w:w="3331"/>
            <w:vAlign w:val="center"/>
          </w:tcPr>
          <w:p>
            <w:pPr>
              <w:spacing w:after="20"/>
            </w:pPr>
            <w:r/>
            <w:r>
              <w:rPr>
                <w:b w:val="0"/>
                <w:sz w:val="15"/>
              </w:rPr>
              <w:t>Historical comparison to observed well records; benchmark candidate indicators/models</w:t>
            </w:r>
          </w:p>
        </w:tc>
        <w:tc>
          <w:tcPr>
            <w:tcW w:type="dxa" w:w="3331"/>
            <w:vAlign w:val="center"/>
          </w:tcPr>
          <w:p>
            <w:pPr>
              <w:spacing w:after="20"/>
            </w:pPr>
            <w:r/>
            <w:r>
              <w:rPr>
                <w:b w:val="0"/>
                <w:sz w:val="15"/>
              </w:rPr>
              <w:t>Independent validation report and go/no-go recommendation</w:t>
            </w:r>
          </w:p>
        </w:tc>
      </w:tr>
      <w:tr>
        <w:tc>
          <w:tcPr>
            <w:tcW w:type="dxa" w:w="3331"/>
            <w:vAlign w:val="center"/>
            <w:shd w:fill="F2F6F8"/>
          </w:tcPr>
          <w:p>
            <w:pPr>
              <w:spacing w:after="20"/>
            </w:pPr>
            <w:r/>
            <w:r>
              <w:rPr>
                <w:b w:val="0"/>
                <w:sz w:val="15"/>
              </w:rPr>
              <w:t>D. Shadow mode (at least one operationally meaningful period)</w:t>
            </w:r>
          </w:p>
        </w:tc>
        <w:tc>
          <w:tcPr>
            <w:tcW w:type="dxa" w:w="3331"/>
            <w:vAlign w:val="center"/>
            <w:shd w:fill="F2F6F8"/>
          </w:tcPr>
          <w:p>
            <w:pPr>
              <w:spacing w:after="20"/>
            </w:pPr>
            <w:r/>
            <w:r>
              <w:rPr>
                <w:b w:val="0"/>
                <w:sz w:val="15"/>
              </w:rPr>
              <w:t>Generate but do not dispatch candidate alerts; review and compare with local evidence</w:t>
            </w:r>
          </w:p>
        </w:tc>
        <w:tc>
          <w:tcPr>
            <w:tcW w:type="dxa" w:w="3331"/>
            <w:vAlign w:val="center"/>
            <w:shd w:fill="F2F6F8"/>
          </w:tcPr>
          <w:p>
            <w:pPr>
              <w:spacing w:after="20"/>
            </w:pPr>
            <w:r/>
            <w:r>
              <w:rPr>
                <w:b w:val="0"/>
                <w:sz w:val="15"/>
              </w:rPr>
              <w:t>False-alert/missed-event analysis, reviewer workload and message comprehension results</w:t>
            </w:r>
          </w:p>
        </w:tc>
      </w:tr>
      <w:tr>
        <w:tc>
          <w:tcPr>
            <w:tcW w:type="dxa" w:w="3331"/>
            <w:vAlign w:val="center"/>
          </w:tcPr>
          <w:p>
            <w:pPr>
              <w:spacing w:after="20"/>
            </w:pPr>
            <w:r/>
            <w:r>
              <w:rPr>
                <w:b w:val="0"/>
                <w:sz w:val="15"/>
              </w:rPr>
              <w:t>E. Controlled alert pilot</w:t>
            </w:r>
          </w:p>
        </w:tc>
        <w:tc>
          <w:tcPr>
            <w:tcW w:type="dxa" w:w="3331"/>
            <w:vAlign w:val="center"/>
          </w:tcPr>
          <w:p>
            <w:pPr>
              <w:spacing w:after="20"/>
            </w:pPr>
            <w:r/>
            <w:r>
              <w:rPr>
                <w:b w:val="0"/>
                <w:sz w:val="15"/>
              </w:rPr>
              <w:t>Activate approved recipients, human review, alert/action log and incident response</w:t>
            </w:r>
          </w:p>
        </w:tc>
        <w:tc>
          <w:tcPr>
            <w:tcW w:type="dxa" w:w="3331"/>
            <w:vAlign w:val="center"/>
          </w:tcPr>
          <w:p>
            <w:pPr>
              <w:spacing w:after="20"/>
            </w:pPr>
            <w:r/>
            <w:r>
              <w:rPr>
                <w:b w:val="0"/>
                <w:sz w:val="15"/>
              </w:rPr>
              <w:t>Operational report, cost report and recipient feedback</w:t>
            </w:r>
          </w:p>
        </w:tc>
      </w:tr>
      <w:tr>
        <w:tc>
          <w:tcPr>
            <w:tcW w:type="dxa" w:w="3331"/>
            <w:vAlign w:val="center"/>
            <w:shd w:fill="F2F6F8"/>
          </w:tcPr>
          <w:p>
            <w:pPr>
              <w:spacing w:after="20"/>
            </w:pPr>
            <w:r/>
            <w:r>
              <w:rPr>
                <w:b w:val="0"/>
                <w:sz w:val="15"/>
              </w:rPr>
              <w:t>F. Scale decision</w:t>
            </w:r>
          </w:p>
        </w:tc>
        <w:tc>
          <w:tcPr>
            <w:tcW w:type="dxa" w:w="3331"/>
            <w:vAlign w:val="center"/>
            <w:shd w:fill="F2F6F8"/>
          </w:tcPr>
          <w:p>
            <w:pPr>
              <w:spacing w:after="20"/>
            </w:pPr>
            <w:r/>
            <w:r>
              <w:rPr>
                <w:b w:val="0"/>
                <w:sz w:val="15"/>
              </w:rPr>
              <w:t>Review science, adoption, costs, security, support and governance</w:t>
            </w:r>
          </w:p>
        </w:tc>
        <w:tc>
          <w:tcPr>
            <w:tcW w:type="dxa" w:w="3331"/>
            <w:vAlign w:val="center"/>
            <w:shd w:fill="F2F6F8"/>
          </w:tcPr>
          <w:p>
            <w:pPr>
              <w:spacing w:after="20"/>
            </w:pPr>
            <w:r/>
            <w:r>
              <w:rPr>
                <w:b w:val="0"/>
                <w:sz w:val="15"/>
              </w:rPr>
              <w:t>Documented expand/revise/stop decision</w:t>
            </w:r>
          </w:p>
        </w:tc>
      </w:tr>
    </w:tbl>
    <w:p/>
    <w:p>
      <w:r>
        <w:t>Durations above are planning estimates, not commitments. The calendar must reflect the actual availability of historical observations, seasonal coverage, access approvals and the need to evaluate across relevant groundwater seasons.</w:t>
      </w:r>
    </w:p>
    <w:p>
      <w:pPr>
        <w:pStyle w:val="Heading2"/>
        <w:keepNext/>
      </w:pPr>
      <w:r>
        <w:t>18.1 Pilot exit criteria</w:t>
      </w:r>
    </w:p>
    <w:p>
      <w:pPr>
        <w:pStyle w:val="ListBullet"/>
        <w:spacing w:after="40"/>
      </w:pPr>
      <w:r>
        <w:t>Data source access, lineage and licensing/terms are documented.</w:t>
      </w:r>
    </w:p>
    <w:p>
      <w:pPr>
        <w:pStyle w:val="ListBullet"/>
        <w:spacing w:after="40"/>
      </w:pPr>
      <w:r>
        <w:t>No material scientific claim is made beyond validated evidence.</w:t>
      </w:r>
    </w:p>
    <w:p>
      <w:pPr>
        <w:pStyle w:val="ListBullet"/>
        <w:spacing w:after="40"/>
      </w:pPr>
      <w:r>
        <w:t>Candidate model beats an agreed baseline by an agreed margin for the approved target/horizon, or predictive functionality remains disabled.</w:t>
      </w:r>
    </w:p>
    <w:p>
      <w:pPr>
        <w:pStyle w:val="ListBullet"/>
        <w:spacing w:after="40"/>
      </w:pPr>
      <w:r>
        <w:t>Uncertainty and data insufficiency are correctly surfaced in user testing.</w:t>
      </w:r>
    </w:p>
    <w:p>
      <w:pPr>
        <w:pStyle w:val="ListBullet"/>
        <w:spacing w:after="40"/>
      </w:pPr>
      <w:r>
        <w:t>Alert false-positive burden and reviewer workload are within thresholds set before shadow mode.</w:t>
      </w:r>
    </w:p>
    <w:p>
      <w:pPr>
        <w:pStyle w:val="ListBullet"/>
        <w:spacing w:after="40"/>
      </w:pPr>
      <w:r>
        <w:t>Recipients understand the message and next step in structured tests.</w:t>
      </w:r>
    </w:p>
    <w:p>
      <w:pPr>
        <w:pStyle w:val="ListBullet"/>
        <w:spacing w:after="40"/>
      </w:pPr>
      <w:r>
        <w:t>No unresolved critical security/privacy issues; operational owner and support budget confirmed.</w:t>
      </w:r>
    </w:p>
    <w:p>
      <w:pPr>
        <w:pStyle w:val="ListBullet"/>
        <w:spacing w:after="40"/>
      </w:pPr>
      <w:r>
        <w:t>Decision to expand is signed off by product, science, administration and security/governance owners.</w:t>
      </w:r>
    </w:p>
    <w:p>
      <w:pPr>
        <w:pStyle w:val="Heading1"/>
        <w:keepNext/>
      </w:pPr>
      <w:r>
        <w:t>19. Dependencies &amp; Assumptions</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23B5D"/>
          </w:tcPr>
          <w:p>
            <w:pPr>
              <w:spacing w:after="20"/>
            </w:pPr>
            <w:r/>
            <w:r>
              <w:rPr>
                <w:b/>
                <w:color w:val="FFFFFF"/>
                <w:sz w:val="16"/>
              </w:rPr>
              <w:t>Type</w:t>
            </w:r>
          </w:p>
        </w:tc>
        <w:tc>
          <w:tcPr>
            <w:tcW w:type="dxa" w:w="3331"/>
            <w:vAlign w:val="center"/>
            <w:shd w:fill="123B5D"/>
          </w:tcPr>
          <w:p>
            <w:pPr>
              <w:spacing w:after="20"/>
            </w:pPr>
            <w:r/>
            <w:r>
              <w:rPr>
                <w:b/>
                <w:color w:val="FFFFFF"/>
                <w:sz w:val="16"/>
              </w:rPr>
              <w:t>Item</w:t>
            </w:r>
          </w:p>
        </w:tc>
        <w:tc>
          <w:tcPr>
            <w:tcW w:type="dxa" w:w="3331"/>
            <w:vAlign w:val="center"/>
            <w:shd w:fill="123B5D"/>
          </w:tcPr>
          <w:p>
            <w:pPr>
              <w:spacing w:after="20"/>
            </w:pPr>
            <w:r/>
            <w:r>
              <w:rPr>
                <w:b/>
                <w:color w:val="FFFFFF"/>
                <w:sz w:val="16"/>
              </w:rPr>
              <w:t>Owner / action</w:t>
            </w:r>
          </w:p>
        </w:tc>
      </w:tr>
      <w:tr>
        <w:tc>
          <w:tcPr>
            <w:tcW w:type="dxa" w:w="3331"/>
            <w:vAlign w:val="center"/>
          </w:tcPr>
          <w:p>
            <w:pPr>
              <w:spacing w:after="20"/>
            </w:pPr>
            <w:r/>
            <w:r>
              <w:rPr>
                <w:b w:val="0"/>
                <w:sz w:val="15"/>
              </w:rPr>
              <w:t>Dependency</w:t>
            </w:r>
          </w:p>
        </w:tc>
        <w:tc>
          <w:tcPr>
            <w:tcW w:type="dxa" w:w="3331"/>
            <w:vAlign w:val="center"/>
          </w:tcPr>
          <w:p>
            <w:pPr>
              <w:spacing w:after="20"/>
            </w:pPr>
            <w:r/>
            <w:r>
              <w:rPr>
                <w:b w:val="0"/>
                <w:sz w:val="15"/>
              </w:rPr>
              <w:t>Approved block/district boundary data and stable identifiers</w:t>
            </w:r>
          </w:p>
        </w:tc>
        <w:tc>
          <w:tcPr>
            <w:tcW w:type="dxa" w:w="3331"/>
            <w:vAlign w:val="center"/>
          </w:tcPr>
          <w:p>
            <w:pPr>
              <w:spacing w:after="20"/>
            </w:pPr>
            <w:r/>
            <w:r>
              <w:rPr>
                <w:b w:val="0"/>
                <w:sz w:val="15"/>
              </w:rPr>
              <w:t>GIS/data steward to confirm source and version</w:t>
            </w:r>
          </w:p>
        </w:tc>
      </w:tr>
      <w:tr>
        <w:tc>
          <w:tcPr>
            <w:tcW w:type="dxa" w:w="3331"/>
            <w:vAlign w:val="center"/>
            <w:shd w:fill="F2F6F8"/>
          </w:tcPr>
          <w:p>
            <w:pPr>
              <w:spacing w:after="20"/>
            </w:pPr>
            <w:r/>
            <w:r>
              <w:rPr>
                <w:b w:val="0"/>
                <w:sz w:val="15"/>
              </w:rPr>
              <w:t>Dependency</w:t>
            </w:r>
          </w:p>
        </w:tc>
        <w:tc>
          <w:tcPr>
            <w:tcW w:type="dxa" w:w="3331"/>
            <w:vAlign w:val="center"/>
            <w:shd w:fill="F2F6F8"/>
          </w:tcPr>
          <w:p>
            <w:pPr>
              <w:spacing w:after="20"/>
            </w:pPr>
            <w:r/>
            <w:r>
              <w:rPr>
                <w:b w:val="0"/>
                <w:sz w:val="15"/>
              </w:rPr>
              <w:t>Access to historical groundwater observations for validation</w:t>
            </w:r>
          </w:p>
        </w:tc>
        <w:tc>
          <w:tcPr>
            <w:tcW w:type="dxa" w:w="3331"/>
            <w:vAlign w:val="center"/>
            <w:shd w:fill="F2F6F8"/>
          </w:tcPr>
          <w:p>
            <w:pPr>
              <w:spacing w:after="20"/>
            </w:pPr>
            <w:r/>
            <w:r>
              <w:rPr>
                <w:b w:val="0"/>
                <w:sz w:val="15"/>
              </w:rPr>
              <w:t>Groundwater department / data owner to confirm coverage, terms and quality</w:t>
            </w:r>
          </w:p>
        </w:tc>
      </w:tr>
      <w:tr>
        <w:tc>
          <w:tcPr>
            <w:tcW w:type="dxa" w:w="3331"/>
            <w:vAlign w:val="center"/>
          </w:tcPr>
          <w:p>
            <w:pPr>
              <w:spacing w:after="20"/>
            </w:pPr>
            <w:r/>
            <w:r>
              <w:rPr>
                <w:b w:val="0"/>
                <w:sz w:val="15"/>
              </w:rPr>
              <w:t>Dependency</w:t>
            </w:r>
          </w:p>
        </w:tc>
        <w:tc>
          <w:tcPr>
            <w:tcW w:type="dxa" w:w="3331"/>
            <w:vAlign w:val="center"/>
          </w:tcPr>
          <w:p>
            <w:pPr>
              <w:spacing w:after="20"/>
            </w:pPr>
            <w:r/>
            <w:r>
              <w:rPr>
                <w:b w:val="0"/>
                <w:sz w:val="15"/>
              </w:rPr>
              <w:t>Approved remote-sensing and rainfall product choices</w:t>
            </w:r>
          </w:p>
        </w:tc>
        <w:tc>
          <w:tcPr>
            <w:tcW w:type="dxa" w:w="3331"/>
            <w:vAlign w:val="center"/>
          </w:tcPr>
          <w:p>
            <w:pPr>
              <w:spacing w:after="20"/>
            </w:pPr>
            <w:r/>
            <w:r>
              <w:rPr>
                <w:b w:val="0"/>
                <w:sz w:val="15"/>
              </w:rPr>
              <w:t>Remote-sensing/data engineering owner to document product details</w:t>
            </w:r>
          </w:p>
        </w:tc>
      </w:tr>
      <w:tr>
        <w:tc>
          <w:tcPr>
            <w:tcW w:type="dxa" w:w="3331"/>
            <w:vAlign w:val="center"/>
            <w:shd w:fill="F2F6F8"/>
          </w:tcPr>
          <w:p>
            <w:pPr>
              <w:spacing w:after="20"/>
            </w:pPr>
            <w:r/>
            <w:r>
              <w:rPr>
                <w:b w:val="0"/>
                <w:sz w:val="15"/>
              </w:rPr>
              <w:t>Dependency</w:t>
            </w:r>
          </w:p>
        </w:tc>
        <w:tc>
          <w:tcPr>
            <w:tcW w:type="dxa" w:w="3331"/>
            <w:vAlign w:val="center"/>
            <w:shd w:fill="F2F6F8"/>
          </w:tcPr>
          <w:p>
            <w:pPr>
              <w:spacing w:after="20"/>
            </w:pPr>
            <w:r/>
            <w:r>
              <w:rPr>
                <w:b w:val="0"/>
                <w:sz w:val="15"/>
              </w:rPr>
              <w:t>Official current scheme guidelines and local programme status</w:t>
            </w:r>
          </w:p>
        </w:tc>
        <w:tc>
          <w:tcPr>
            <w:tcW w:type="dxa" w:w="3331"/>
            <w:vAlign w:val="center"/>
            <w:shd w:fill="F2F6F8"/>
          </w:tcPr>
          <w:p>
            <w:pPr>
              <w:spacing w:after="20"/>
            </w:pPr>
            <w:r/>
            <w:r>
              <w:rPr>
                <w:b w:val="0"/>
                <w:sz w:val="15"/>
              </w:rPr>
              <w:t>Scheme curator / competent department</w:t>
            </w:r>
          </w:p>
        </w:tc>
      </w:tr>
      <w:tr>
        <w:tc>
          <w:tcPr>
            <w:tcW w:type="dxa" w:w="3331"/>
            <w:vAlign w:val="center"/>
          </w:tcPr>
          <w:p>
            <w:pPr>
              <w:spacing w:after="20"/>
            </w:pPr>
            <w:r/>
            <w:r>
              <w:rPr>
                <w:b w:val="0"/>
                <w:sz w:val="15"/>
              </w:rPr>
              <w:t>Dependency</w:t>
            </w:r>
          </w:p>
        </w:tc>
        <w:tc>
          <w:tcPr>
            <w:tcW w:type="dxa" w:w="3331"/>
            <w:vAlign w:val="center"/>
          </w:tcPr>
          <w:p>
            <w:pPr>
              <w:spacing w:after="20"/>
            </w:pPr>
            <w:r/>
            <w:r>
              <w:rPr>
                <w:b w:val="0"/>
                <w:sz w:val="15"/>
              </w:rPr>
              <w:t>WhatsApp/SMS provider and government communications policy</w:t>
            </w:r>
          </w:p>
        </w:tc>
        <w:tc>
          <w:tcPr>
            <w:tcW w:type="dxa" w:w="3331"/>
            <w:vAlign w:val="center"/>
          </w:tcPr>
          <w:p>
            <w:pPr>
              <w:spacing w:after="20"/>
            </w:pPr>
            <w:r/>
            <w:r>
              <w:rPr>
                <w:b w:val="0"/>
                <w:sz w:val="15"/>
              </w:rPr>
              <w:t>Operations/legal owner to confirm templates, sender, consent/notice and costs</w:t>
            </w:r>
          </w:p>
        </w:tc>
      </w:tr>
      <w:tr>
        <w:tc>
          <w:tcPr>
            <w:tcW w:type="dxa" w:w="3331"/>
            <w:vAlign w:val="center"/>
            <w:shd w:fill="F2F6F8"/>
          </w:tcPr>
          <w:p>
            <w:pPr>
              <w:spacing w:after="20"/>
            </w:pPr>
            <w:r/>
            <w:r>
              <w:rPr>
                <w:b w:val="0"/>
                <w:sz w:val="15"/>
              </w:rPr>
              <w:t>Dependency</w:t>
            </w:r>
          </w:p>
        </w:tc>
        <w:tc>
          <w:tcPr>
            <w:tcW w:type="dxa" w:w="3331"/>
            <w:vAlign w:val="center"/>
            <w:shd w:fill="F2F6F8"/>
          </w:tcPr>
          <w:p>
            <w:pPr>
              <w:spacing w:after="20"/>
            </w:pPr>
            <w:r/>
            <w:r>
              <w:rPr>
                <w:b w:val="0"/>
                <w:sz w:val="15"/>
              </w:rPr>
              <w:t>Hosting, security, backup and monitoring environment</w:t>
            </w:r>
          </w:p>
        </w:tc>
        <w:tc>
          <w:tcPr>
            <w:tcW w:type="dxa" w:w="3331"/>
            <w:vAlign w:val="center"/>
            <w:shd w:fill="F2F6F8"/>
          </w:tcPr>
          <w:p>
            <w:pPr>
              <w:spacing w:after="20"/>
            </w:pPr>
            <w:r/>
            <w:r>
              <w:rPr>
                <w:b w:val="0"/>
                <w:sz w:val="15"/>
              </w:rPr>
              <w:t>Engineering/IT owner</w:t>
            </w:r>
          </w:p>
        </w:tc>
      </w:tr>
      <w:tr>
        <w:tc>
          <w:tcPr>
            <w:tcW w:type="dxa" w:w="3331"/>
            <w:vAlign w:val="center"/>
          </w:tcPr>
          <w:p>
            <w:pPr>
              <w:spacing w:after="20"/>
            </w:pPr>
            <w:r/>
            <w:r>
              <w:rPr>
                <w:b w:val="0"/>
                <w:sz w:val="15"/>
              </w:rPr>
              <w:t>Assumption</w:t>
            </w:r>
          </w:p>
        </w:tc>
        <w:tc>
          <w:tcPr>
            <w:tcW w:type="dxa" w:w="3331"/>
            <w:vAlign w:val="center"/>
          </w:tcPr>
          <w:p>
            <w:pPr>
              <w:spacing w:after="20"/>
            </w:pPr>
            <w:r/>
            <w:r>
              <w:rPr>
                <w:b w:val="0"/>
                <w:sz w:val="15"/>
              </w:rPr>
              <w:t>Pilot users can access a browser and/or receive approved messages</w:t>
            </w:r>
          </w:p>
        </w:tc>
        <w:tc>
          <w:tcPr>
            <w:tcW w:type="dxa" w:w="3331"/>
            <w:vAlign w:val="center"/>
          </w:tcPr>
          <w:p>
            <w:pPr>
              <w:spacing w:after="20"/>
            </w:pPr>
            <w:r/>
            <w:r>
              <w:rPr>
                <w:b w:val="0"/>
                <w:sz w:val="15"/>
              </w:rPr>
              <w:t>Validate in discovery; provide alternatives</w:t>
            </w:r>
          </w:p>
        </w:tc>
      </w:tr>
      <w:tr>
        <w:tc>
          <w:tcPr>
            <w:tcW w:type="dxa" w:w="3331"/>
            <w:vAlign w:val="center"/>
            <w:shd w:fill="F2F6F8"/>
          </w:tcPr>
          <w:p>
            <w:pPr>
              <w:spacing w:after="20"/>
            </w:pPr>
            <w:r/>
            <w:r>
              <w:rPr>
                <w:b w:val="0"/>
                <w:sz w:val="15"/>
              </w:rPr>
              <w:t>Assumption</w:t>
            </w:r>
          </w:p>
        </w:tc>
        <w:tc>
          <w:tcPr>
            <w:tcW w:type="dxa" w:w="3331"/>
            <w:vAlign w:val="center"/>
            <w:shd w:fill="F2F6F8"/>
          </w:tcPr>
          <w:p>
            <w:pPr>
              <w:spacing w:after="20"/>
            </w:pPr>
            <w:r/>
            <w:r>
              <w:rPr>
                <w:b w:val="0"/>
                <w:sz w:val="15"/>
              </w:rPr>
              <w:t>Satellite-derived indicators add operational value beyond existing baselines</w:t>
            </w:r>
          </w:p>
        </w:tc>
        <w:tc>
          <w:tcPr>
            <w:tcW w:type="dxa" w:w="3331"/>
            <w:vAlign w:val="center"/>
            <w:shd w:fill="F2F6F8"/>
          </w:tcPr>
          <w:p>
            <w:pPr>
              <w:spacing w:after="20"/>
            </w:pPr>
            <w:r/>
            <w:r>
              <w:rPr>
                <w:b w:val="0"/>
                <w:sz w:val="15"/>
              </w:rPr>
              <w:t>Test, do not presume</w:t>
            </w:r>
          </w:p>
        </w:tc>
      </w:tr>
      <w:tr>
        <w:tc>
          <w:tcPr>
            <w:tcW w:type="dxa" w:w="3331"/>
            <w:vAlign w:val="center"/>
          </w:tcPr>
          <w:p>
            <w:pPr>
              <w:spacing w:after="20"/>
            </w:pPr>
            <w:r/>
            <w:r>
              <w:rPr>
                <w:b w:val="0"/>
                <w:sz w:val="15"/>
              </w:rPr>
              <w:t>Assumption</w:t>
            </w:r>
          </w:p>
        </w:tc>
        <w:tc>
          <w:tcPr>
            <w:tcW w:type="dxa" w:w="3331"/>
            <w:vAlign w:val="center"/>
          </w:tcPr>
          <w:p>
            <w:pPr>
              <w:spacing w:after="20"/>
            </w:pPr>
            <w:r/>
            <w:r>
              <w:rPr>
                <w:b w:val="0"/>
                <w:sz w:val="15"/>
              </w:rPr>
              <w:t>Sufficient data exists to calibrate a local forecast</w:t>
            </w:r>
          </w:p>
        </w:tc>
        <w:tc>
          <w:tcPr>
            <w:tcW w:type="dxa" w:w="3331"/>
            <w:vAlign w:val="center"/>
          </w:tcPr>
          <w:p>
            <w:pPr>
              <w:spacing w:after="20"/>
            </w:pPr>
            <w:r/>
            <w:r>
              <w:rPr>
                <w:b w:val="0"/>
                <w:sz w:val="15"/>
              </w:rPr>
              <w:t>Assess before committing to ML predictions</w:t>
            </w:r>
          </w:p>
        </w:tc>
      </w:tr>
      <w:tr>
        <w:tc>
          <w:tcPr>
            <w:tcW w:type="dxa" w:w="3331"/>
            <w:vAlign w:val="center"/>
            <w:shd w:fill="F2F6F8"/>
          </w:tcPr>
          <w:p>
            <w:pPr>
              <w:spacing w:after="20"/>
            </w:pPr>
            <w:r/>
            <w:r>
              <w:rPr>
                <w:b w:val="0"/>
                <w:sz w:val="15"/>
              </w:rPr>
              <w:t>Assumption</w:t>
            </w:r>
          </w:p>
        </w:tc>
        <w:tc>
          <w:tcPr>
            <w:tcW w:type="dxa" w:w="3331"/>
            <w:vAlign w:val="center"/>
            <w:shd w:fill="F2F6F8"/>
          </w:tcPr>
          <w:p>
            <w:pPr>
              <w:spacing w:after="20"/>
            </w:pPr>
            <w:r/>
            <w:r>
              <w:rPr>
                <w:b w:val="0"/>
                <w:sz w:val="15"/>
              </w:rPr>
              <w:t>Statewide rollout can reuse most of the architecture</w:t>
            </w:r>
          </w:p>
        </w:tc>
        <w:tc>
          <w:tcPr>
            <w:tcW w:type="dxa" w:w="3331"/>
            <w:vAlign w:val="center"/>
            <w:shd w:fill="F2F6F8"/>
          </w:tcPr>
          <w:p>
            <w:pPr>
              <w:spacing w:after="20"/>
            </w:pPr>
            <w:r/>
            <w:r>
              <w:rPr>
                <w:b w:val="0"/>
                <w:sz w:val="15"/>
              </w:rPr>
              <w:t>Verify through load/cost/support testing</w:t>
            </w:r>
          </w:p>
        </w:tc>
      </w:tr>
    </w:tbl>
    <w:p/>
    <w:p>
      <w:pPr>
        <w:pStyle w:val="Heading1"/>
        <w:keepNext/>
      </w:pPr>
      <w:r>
        <w:t>20. Risk Register</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2498"/>
            <w:vAlign w:val="center"/>
            <w:shd w:fill="123B5D"/>
          </w:tcPr>
          <w:p>
            <w:pPr>
              <w:spacing w:after="20"/>
            </w:pPr>
            <w:r/>
            <w:r>
              <w:rPr>
                <w:b/>
                <w:color w:val="FFFFFF"/>
                <w:sz w:val="16"/>
              </w:rPr>
              <w:t>Risk</w:t>
            </w:r>
          </w:p>
        </w:tc>
        <w:tc>
          <w:tcPr>
            <w:tcW w:type="dxa" w:w="2498"/>
            <w:vAlign w:val="center"/>
            <w:shd w:fill="123B5D"/>
          </w:tcPr>
          <w:p>
            <w:pPr>
              <w:spacing w:after="20"/>
            </w:pPr>
            <w:r/>
            <w:r>
              <w:rPr>
                <w:b/>
                <w:color w:val="FFFFFF"/>
                <w:sz w:val="16"/>
              </w:rPr>
              <w:t>Likelihood / impact</w:t>
            </w:r>
          </w:p>
        </w:tc>
        <w:tc>
          <w:tcPr>
            <w:tcW w:type="dxa" w:w="2498"/>
            <w:vAlign w:val="center"/>
            <w:shd w:fill="123B5D"/>
          </w:tcPr>
          <w:p>
            <w:pPr>
              <w:spacing w:after="20"/>
            </w:pPr>
            <w:r/>
            <w:r>
              <w:rPr>
                <w:b/>
                <w:color w:val="FFFFFF"/>
                <w:sz w:val="16"/>
              </w:rPr>
              <w:t>Mitigation</w:t>
            </w:r>
          </w:p>
        </w:tc>
        <w:tc>
          <w:tcPr>
            <w:tcW w:type="dxa" w:w="2498"/>
            <w:vAlign w:val="center"/>
            <w:shd w:fill="123B5D"/>
          </w:tcPr>
          <w:p>
            <w:pPr>
              <w:spacing w:after="20"/>
            </w:pPr>
            <w:r/>
            <w:r>
              <w:rPr>
                <w:b/>
                <w:color w:val="FFFFFF"/>
                <w:sz w:val="16"/>
              </w:rPr>
              <w:t>Owner</w:t>
            </w:r>
          </w:p>
        </w:tc>
      </w:tr>
      <w:tr>
        <w:tc>
          <w:tcPr>
            <w:tcW w:type="dxa" w:w="2498"/>
            <w:vAlign w:val="center"/>
          </w:tcPr>
          <w:p>
            <w:pPr>
              <w:spacing w:after="20"/>
            </w:pPr>
            <w:r/>
            <w:r>
              <w:rPr>
                <w:b w:val="0"/>
                <w:sz w:val="15"/>
              </w:rPr>
              <w:t>False precision from coarse satellite data</w:t>
            </w:r>
          </w:p>
        </w:tc>
        <w:tc>
          <w:tcPr>
            <w:tcW w:type="dxa" w:w="2498"/>
            <w:vAlign w:val="center"/>
          </w:tcPr>
          <w:p>
            <w:pPr>
              <w:spacing w:after="20"/>
            </w:pPr>
            <w:r/>
            <w:r>
              <w:rPr>
                <w:b w:val="0"/>
                <w:sz w:val="15"/>
              </w:rPr>
              <w:t>High / High</w:t>
            </w:r>
          </w:p>
        </w:tc>
        <w:tc>
          <w:tcPr>
            <w:tcW w:type="dxa" w:w="2498"/>
            <w:vAlign w:val="center"/>
          </w:tcPr>
          <w:p>
            <w:pPr>
              <w:spacing w:after="20"/>
            </w:pPr>
            <w:r/>
            <w:r>
              <w:rPr>
                <w:b w:val="0"/>
                <w:sz w:val="15"/>
              </w:rPr>
              <w:t>Native-resolution display, validation gates, no unverified block-level reserve claim</w:t>
            </w:r>
          </w:p>
        </w:tc>
        <w:tc>
          <w:tcPr>
            <w:tcW w:type="dxa" w:w="2498"/>
            <w:vAlign w:val="center"/>
          </w:tcPr>
          <w:p>
            <w:pPr>
              <w:spacing w:after="20"/>
            </w:pPr>
            <w:r/>
            <w:r>
              <w:rPr>
                <w:b w:val="0"/>
                <w:sz w:val="15"/>
              </w:rPr>
              <w:t>Science lead</w:t>
            </w:r>
          </w:p>
        </w:tc>
      </w:tr>
      <w:tr>
        <w:tc>
          <w:tcPr>
            <w:tcW w:type="dxa" w:w="2498"/>
            <w:vAlign w:val="center"/>
            <w:shd w:fill="F2F6F8"/>
          </w:tcPr>
          <w:p>
            <w:pPr>
              <w:spacing w:after="20"/>
            </w:pPr>
            <w:r/>
            <w:r>
              <w:rPr>
                <w:b w:val="0"/>
                <w:sz w:val="15"/>
              </w:rPr>
              <w:t>Insufficient ground truth</w:t>
            </w:r>
          </w:p>
        </w:tc>
        <w:tc>
          <w:tcPr>
            <w:tcW w:type="dxa" w:w="2498"/>
            <w:vAlign w:val="center"/>
            <w:shd w:fill="F2F6F8"/>
          </w:tcPr>
          <w:p>
            <w:pPr>
              <w:spacing w:after="20"/>
            </w:pPr>
            <w:r/>
            <w:r>
              <w:rPr>
                <w:b w:val="0"/>
                <w:sz w:val="15"/>
              </w:rPr>
              <w:t>High / High</w:t>
            </w:r>
          </w:p>
        </w:tc>
        <w:tc>
          <w:tcPr>
            <w:tcW w:type="dxa" w:w="2498"/>
            <w:vAlign w:val="center"/>
            <w:shd w:fill="F2F6F8"/>
          </w:tcPr>
          <w:p>
            <w:pPr>
              <w:spacing w:after="20"/>
            </w:pPr>
            <w:r/>
            <w:r>
              <w:rPr>
                <w:b w:val="0"/>
                <w:sz w:val="15"/>
              </w:rPr>
              <w:t>Data audit first; descriptive monitoring fallback; partner with observation owners</w:t>
            </w:r>
          </w:p>
        </w:tc>
        <w:tc>
          <w:tcPr>
            <w:tcW w:type="dxa" w:w="2498"/>
            <w:vAlign w:val="center"/>
            <w:shd w:fill="F2F6F8"/>
          </w:tcPr>
          <w:p>
            <w:pPr>
              <w:spacing w:after="20"/>
            </w:pPr>
            <w:r/>
            <w:r>
              <w:rPr>
                <w:b w:val="0"/>
                <w:sz w:val="15"/>
              </w:rPr>
              <w:t>Product + science</w:t>
            </w:r>
          </w:p>
        </w:tc>
      </w:tr>
      <w:tr>
        <w:tc>
          <w:tcPr>
            <w:tcW w:type="dxa" w:w="2498"/>
            <w:vAlign w:val="center"/>
          </w:tcPr>
          <w:p>
            <w:pPr>
              <w:spacing w:after="20"/>
            </w:pPr>
            <w:r/>
            <w:r>
              <w:rPr>
                <w:b w:val="0"/>
                <w:sz w:val="15"/>
              </w:rPr>
              <w:t>Model does not outperform simple baselines</w:t>
            </w:r>
          </w:p>
        </w:tc>
        <w:tc>
          <w:tcPr>
            <w:tcW w:type="dxa" w:w="2498"/>
            <w:vAlign w:val="center"/>
          </w:tcPr>
          <w:p>
            <w:pPr>
              <w:spacing w:after="20"/>
            </w:pPr>
            <w:r/>
            <w:r>
              <w:rPr>
                <w:b w:val="0"/>
                <w:sz w:val="15"/>
              </w:rPr>
              <w:t>Medium–High / High</w:t>
            </w:r>
          </w:p>
        </w:tc>
        <w:tc>
          <w:tcPr>
            <w:tcW w:type="dxa" w:w="2498"/>
            <w:vAlign w:val="center"/>
          </w:tcPr>
          <w:p>
            <w:pPr>
              <w:spacing w:after="20"/>
            </w:pPr>
            <w:r/>
            <w:r>
              <w:rPr>
                <w:b w:val="0"/>
                <w:sz w:val="15"/>
              </w:rPr>
              <w:t>Pre-register target/metrics; compare baselines; disable prediction if weak</w:t>
            </w:r>
          </w:p>
        </w:tc>
        <w:tc>
          <w:tcPr>
            <w:tcW w:type="dxa" w:w="2498"/>
            <w:vAlign w:val="center"/>
          </w:tcPr>
          <w:p>
            <w:pPr>
              <w:spacing w:after="20"/>
            </w:pPr>
            <w:r/>
            <w:r>
              <w:rPr>
                <w:b w:val="0"/>
                <w:sz w:val="15"/>
              </w:rPr>
              <w:t>ML lead</w:t>
            </w:r>
          </w:p>
        </w:tc>
      </w:tr>
      <w:tr>
        <w:tc>
          <w:tcPr>
            <w:tcW w:type="dxa" w:w="2498"/>
            <w:vAlign w:val="center"/>
            <w:shd w:fill="F2F6F8"/>
          </w:tcPr>
          <w:p>
            <w:pPr>
              <w:spacing w:after="20"/>
            </w:pPr>
            <w:r/>
            <w:r>
              <w:rPr>
                <w:b w:val="0"/>
                <w:sz w:val="15"/>
              </w:rPr>
              <w:t>Stale or inaccessible upstream source</w:t>
            </w:r>
          </w:p>
        </w:tc>
        <w:tc>
          <w:tcPr>
            <w:tcW w:type="dxa" w:w="2498"/>
            <w:vAlign w:val="center"/>
            <w:shd w:fill="F2F6F8"/>
          </w:tcPr>
          <w:p>
            <w:pPr>
              <w:spacing w:after="20"/>
            </w:pPr>
            <w:r/>
            <w:r>
              <w:rPr>
                <w:b w:val="0"/>
                <w:sz w:val="15"/>
              </w:rPr>
              <w:t>Medium / High</w:t>
            </w:r>
          </w:p>
        </w:tc>
        <w:tc>
          <w:tcPr>
            <w:tcW w:type="dxa" w:w="2498"/>
            <w:vAlign w:val="center"/>
            <w:shd w:fill="F2F6F8"/>
          </w:tcPr>
          <w:p>
            <w:pPr>
              <w:spacing w:after="20"/>
            </w:pPr>
            <w:r/>
            <w:r>
              <w:rPr>
                <w:b w:val="0"/>
                <w:sz w:val="15"/>
              </w:rPr>
              <w:t>Freshness flags, retries, source-specific fallback and alert suppression</w:t>
            </w:r>
          </w:p>
        </w:tc>
        <w:tc>
          <w:tcPr>
            <w:tcW w:type="dxa" w:w="2498"/>
            <w:vAlign w:val="center"/>
            <w:shd w:fill="F2F6F8"/>
          </w:tcPr>
          <w:p>
            <w:pPr>
              <w:spacing w:after="20"/>
            </w:pPr>
            <w:r/>
            <w:r>
              <w:rPr>
                <w:b w:val="0"/>
                <w:sz w:val="15"/>
              </w:rPr>
              <w:t>Data engineering</w:t>
            </w:r>
          </w:p>
        </w:tc>
      </w:tr>
      <w:tr>
        <w:tc>
          <w:tcPr>
            <w:tcW w:type="dxa" w:w="2498"/>
            <w:vAlign w:val="center"/>
          </w:tcPr>
          <w:p>
            <w:pPr>
              <w:spacing w:after="20"/>
            </w:pPr>
            <w:r/>
            <w:r>
              <w:rPr>
                <w:b w:val="0"/>
                <w:sz w:val="15"/>
              </w:rPr>
              <w:t>Misleading scheme recommendation</w:t>
            </w:r>
          </w:p>
        </w:tc>
        <w:tc>
          <w:tcPr>
            <w:tcW w:type="dxa" w:w="2498"/>
            <w:vAlign w:val="center"/>
          </w:tcPr>
          <w:p>
            <w:pPr>
              <w:spacing w:after="20"/>
            </w:pPr>
            <w:r/>
            <w:r>
              <w:rPr>
                <w:b w:val="0"/>
                <w:sz w:val="15"/>
              </w:rPr>
              <w:t>Medium / High</w:t>
            </w:r>
          </w:p>
        </w:tc>
        <w:tc>
          <w:tcPr>
            <w:tcW w:type="dxa" w:w="2498"/>
            <w:vAlign w:val="center"/>
          </w:tcPr>
          <w:p>
            <w:pPr>
              <w:spacing w:after="20"/>
            </w:pPr>
            <w:r/>
            <w:r>
              <w:rPr>
                <w:b w:val="0"/>
                <w:sz w:val="15"/>
              </w:rPr>
              <w:t>Versioned official catalogue, human eligibility review, no hard-coded scheme claims</w:t>
            </w:r>
          </w:p>
        </w:tc>
        <w:tc>
          <w:tcPr>
            <w:tcW w:type="dxa" w:w="2498"/>
            <w:vAlign w:val="center"/>
          </w:tcPr>
          <w:p>
            <w:pPr>
              <w:spacing w:after="20"/>
            </w:pPr>
            <w:r/>
            <w:r>
              <w:rPr>
                <w:b w:val="0"/>
                <w:sz w:val="15"/>
              </w:rPr>
              <w:t>Scheme curator</w:t>
            </w:r>
          </w:p>
        </w:tc>
      </w:tr>
      <w:tr>
        <w:tc>
          <w:tcPr>
            <w:tcW w:type="dxa" w:w="2498"/>
            <w:vAlign w:val="center"/>
            <w:shd w:fill="F2F6F8"/>
          </w:tcPr>
          <w:p>
            <w:pPr>
              <w:spacing w:after="20"/>
            </w:pPr>
            <w:r/>
            <w:r>
              <w:rPr>
                <w:b w:val="0"/>
                <w:sz w:val="15"/>
              </w:rPr>
              <w:t>Alarm fatigue / notification spam</w:t>
            </w:r>
          </w:p>
        </w:tc>
        <w:tc>
          <w:tcPr>
            <w:tcW w:type="dxa" w:w="2498"/>
            <w:vAlign w:val="center"/>
            <w:shd w:fill="F2F6F8"/>
          </w:tcPr>
          <w:p>
            <w:pPr>
              <w:spacing w:after="20"/>
            </w:pPr>
            <w:r/>
            <w:r>
              <w:rPr>
                <w:b w:val="0"/>
                <w:sz w:val="15"/>
              </w:rPr>
              <w:t>Medium / High</w:t>
            </w:r>
          </w:p>
        </w:tc>
        <w:tc>
          <w:tcPr>
            <w:tcW w:type="dxa" w:w="2498"/>
            <w:vAlign w:val="center"/>
            <w:shd w:fill="F2F6F8"/>
          </w:tcPr>
          <w:p>
            <w:pPr>
              <w:spacing w:after="20"/>
            </w:pPr>
            <w:r/>
            <w:r>
              <w:rPr>
                <w:b w:val="0"/>
                <w:sz w:val="15"/>
              </w:rPr>
              <w:t>Cooldowns, deduplication, review queue, recipient feedback and alert budgets</w:t>
            </w:r>
          </w:p>
        </w:tc>
        <w:tc>
          <w:tcPr>
            <w:tcW w:type="dxa" w:w="2498"/>
            <w:vAlign w:val="center"/>
            <w:shd w:fill="F2F6F8"/>
          </w:tcPr>
          <w:p>
            <w:pPr>
              <w:spacing w:after="20"/>
            </w:pPr>
            <w:r/>
            <w:r>
              <w:rPr>
                <w:b w:val="0"/>
                <w:sz w:val="15"/>
              </w:rPr>
              <w:t>Operations</w:t>
            </w:r>
          </w:p>
        </w:tc>
      </w:tr>
      <w:tr>
        <w:tc>
          <w:tcPr>
            <w:tcW w:type="dxa" w:w="2498"/>
            <w:vAlign w:val="center"/>
          </w:tcPr>
          <w:p>
            <w:pPr>
              <w:spacing w:after="20"/>
            </w:pPr>
            <w:r/>
            <w:r>
              <w:rPr>
                <w:b w:val="0"/>
                <w:sz w:val="15"/>
              </w:rPr>
              <w:t>Low comprehension or language mismatch</w:t>
            </w:r>
          </w:p>
        </w:tc>
        <w:tc>
          <w:tcPr>
            <w:tcW w:type="dxa" w:w="2498"/>
            <w:vAlign w:val="center"/>
          </w:tcPr>
          <w:p>
            <w:pPr>
              <w:spacing w:after="20"/>
            </w:pPr>
            <w:r/>
            <w:r>
              <w:rPr>
                <w:b w:val="0"/>
                <w:sz w:val="15"/>
              </w:rPr>
              <w:t>Medium / Medium–High</w:t>
            </w:r>
          </w:p>
        </w:tc>
        <w:tc>
          <w:tcPr>
            <w:tcW w:type="dxa" w:w="2498"/>
            <w:vAlign w:val="center"/>
          </w:tcPr>
          <w:p>
            <w:pPr>
              <w:spacing w:after="20"/>
            </w:pPr>
            <w:r/>
            <w:r>
              <w:rPr>
                <w:b w:val="0"/>
                <w:sz w:val="15"/>
              </w:rPr>
              <w:t>Hindi user testing, plain language, comprehension metrics</w:t>
            </w:r>
          </w:p>
        </w:tc>
        <w:tc>
          <w:tcPr>
            <w:tcW w:type="dxa" w:w="2498"/>
            <w:vAlign w:val="center"/>
          </w:tcPr>
          <w:p>
            <w:pPr>
              <w:spacing w:after="20"/>
            </w:pPr>
            <w:r/>
            <w:r>
              <w:rPr>
                <w:b w:val="0"/>
                <w:sz w:val="15"/>
              </w:rPr>
              <w:t>UX/localization</w:t>
            </w:r>
          </w:p>
        </w:tc>
      </w:tr>
      <w:tr>
        <w:tc>
          <w:tcPr>
            <w:tcW w:type="dxa" w:w="2498"/>
            <w:vAlign w:val="center"/>
            <w:shd w:fill="F2F6F8"/>
          </w:tcPr>
          <w:p>
            <w:pPr>
              <w:spacing w:after="20"/>
            </w:pPr>
            <w:r/>
            <w:r>
              <w:rPr>
                <w:b w:val="0"/>
                <w:sz w:val="15"/>
              </w:rPr>
              <w:t>Privacy/security incident involving contact data</w:t>
            </w:r>
          </w:p>
        </w:tc>
        <w:tc>
          <w:tcPr>
            <w:tcW w:type="dxa" w:w="2498"/>
            <w:vAlign w:val="center"/>
            <w:shd w:fill="F2F6F8"/>
          </w:tcPr>
          <w:p>
            <w:pPr>
              <w:spacing w:after="20"/>
            </w:pPr>
            <w:r/>
            <w:r>
              <w:rPr>
                <w:b w:val="0"/>
                <w:sz w:val="15"/>
              </w:rPr>
              <w:t>Medium / High</w:t>
            </w:r>
          </w:p>
        </w:tc>
        <w:tc>
          <w:tcPr>
            <w:tcW w:type="dxa" w:w="2498"/>
            <w:vAlign w:val="center"/>
            <w:shd w:fill="F2F6F8"/>
          </w:tcPr>
          <w:p>
            <w:pPr>
              <w:spacing w:after="20"/>
            </w:pPr>
            <w:r/>
            <w:r>
              <w:rPr>
                <w:b w:val="0"/>
                <w:sz w:val="15"/>
              </w:rPr>
              <w:t>Data minimization, RBAC, encryption, retention controls and incident response</w:t>
            </w:r>
          </w:p>
        </w:tc>
        <w:tc>
          <w:tcPr>
            <w:tcW w:type="dxa" w:w="2498"/>
            <w:vAlign w:val="center"/>
            <w:shd w:fill="F2F6F8"/>
          </w:tcPr>
          <w:p>
            <w:pPr>
              <w:spacing w:after="20"/>
            </w:pPr>
            <w:r/>
            <w:r>
              <w:rPr>
                <w:b w:val="0"/>
                <w:sz w:val="15"/>
              </w:rPr>
              <w:t>Security/privacy owner</w:t>
            </w:r>
          </w:p>
        </w:tc>
      </w:tr>
      <w:tr>
        <w:tc>
          <w:tcPr>
            <w:tcW w:type="dxa" w:w="2498"/>
            <w:vAlign w:val="center"/>
          </w:tcPr>
          <w:p>
            <w:pPr>
              <w:spacing w:after="20"/>
            </w:pPr>
            <w:r/>
            <w:r>
              <w:rPr>
                <w:b w:val="0"/>
                <w:sz w:val="15"/>
              </w:rPr>
              <w:t>Vendor/API terms or costs change</w:t>
            </w:r>
          </w:p>
        </w:tc>
        <w:tc>
          <w:tcPr>
            <w:tcW w:type="dxa" w:w="2498"/>
            <w:vAlign w:val="center"/>
          </w:tcPr>
          <w:p>
            <w:pPr>
              <w:spacing w:after="20"/>
            </w:pPr>
            <w:r/>
            <w:r>
              <w:rPr>
                <w:b w:val="0"/>
                <w:sz w:val="15"/>
              </w:rPr>
              <w:t>Medium / Medium</w:t>
            </w:r>
          </w:p>
        </w:tc>
        <w:tc>
          <w:tcPr>
            <w:tcW w:type="dxa" w:w="2498"/>
            <w:vAlign w:val="center"/>
          </w:tcPr>
          <w:p>
            <w:pPr>
              <w:spacing w:after="20"/>
            </w:pPr>
            <w:r/>
            <w:r>
              <w:rPr>
                <w:b w:val="0"/>
                <w:sz w:val="15"/>
              </w:rPr>
              <w:t>Provider abstraction where feasible, periodic terms review, budget and contingency</w:t>
            </w:r>
          </w:p>
        </w:tc>
        <w:tc>
          <w:tcPr>
            <w:tcW w:type="dxa" w:w="2498"/>
            <w:vAlign w:val="center"/>
          </w:tcPr>
          <w:p>
            <w:pPr>
              <w:spacing w:after="20"/>
            </w:pPr>
            <w:r/>
            <w:r>
              <w:rPr>
                <w:b w:val="0"/>
                <w:sz w:val="15"/>
              </w:rPr>
              <w:t>Engineering/procurement</w:t>
            </w:r>
          </w:p>
        </w:tc>
      </w:tr>
      <w:tr>
        <w:tc>
          <w:tcPr>
            <w:tcW w:type="dxa" w:w="2498"/>
            <w:vAlign w:val="center"/>
            <w:shd w:fill="F2F6F8"/>
          </w:tcPr>
          <w:p>
            <w:pPr>
              <w:spacing w:after="20"/>
            </w:pPr>
            <w:r/>
            <w:r>
              <w:rPr>
                <w:b w:val="0"/>
                <w:sz w:val="15"/>
              </w:rPr>
              <w:t>Unequal data coverage across blocks</w:t>
            </w:r>
          </w:p>
        </w:tc>
        <w:tc>
          <w:tcPr>
            <w:tcW w:type="dxa" w:w="2498"/>
            <w:vAlign w:val="center"/>
            <w:shd w:fill="F2F6F8"/>
          </w:tcPr>
          <w:p>
            <w:pPr>
              <w:spacing w:after="20"/>
            </w:pPr>
            <w:r/>
            <w:r>
              <w:rPr>
                <w:b w:val="0"/>
                <w:sz w:val="15"/>
              </w:rPr>
              <w:t>High / Medium–High</w:t>
            </w:r>
          </w:p>
        </w:tc>
        <w:tc>
          <w:tcPr>
            <w:tcW w:type="dxa" w:w="2498"/>
            <w:vAlign w:val="center"/>
            <w:shd w:fill="F2F6F8"/>
          </w:tcPr>
          <w:p>
            <w:pPr>
              <w:spacing w:after="20"/>
            </w:pPr>
            <w:r/>
            <w:r>
              <w:rPr>
                <w:b w:val="0"/>
                <w:sz w:val="15"/>
              </w:rPr>
              <w:t>Coverage dashboard, insufficient-evidence state, avoid ranking data-poor areas as safe</w:t>
            </w:r>
          </w:p>
        </w:tc>
        <w:tc>
          <w:tcPr>
            <w:tcW w:type="dxa" w:w="2498"/>
            <w:vAlign w:val="center"/>
            <w:shd w:fill="F2F6F8"/>
          </w:tcPr>
          <w:p>
            <w:pPr>
              <w:spacing w:after="20"/>
            </w:pPr>
            <w:r/>
            <w:r>
              <w:rPr>
                <w:b w:val="0"/>
                <w:sz w:val="15"/>
              </w:rPr>
              <w:t>Data steward</w:t>
            </w:r>
          </w:p>
        </w:tc>
      </w:tr>
      <w:tr>
        <w:tc>
          <w:tcPr>
            <w:tcW w:type="dxa" w:w="2498"/>
            <w:vAlign w:val="center"/>
          </w:tcPr>
          <w:p>
            <w:pPr>
              <w:spacing w:after="20"/>
            </w:pPr>
            <w:r/>
            <w:r>
              <w:rPr>
                <w:b w:val="0"/>
                <w:sz w:val="15"/>
              </w:rPr>
              <w:t>Operational actions are not funded/feasible</w:t>
            </w:r>
          </w:p>
        </w:tc>
        <w:tc>
          <w:tcPr>
            <w:tcW w:type="dxa" w:w="2498"/>
            <w:vAlign w:val="center"/>
          </w:tcPr>
          <w:p>
            <w:pPr>
              <w:spacing w:after="20"/>
            </w:pPr>
            <w:r/>
            <w:r>
              <w:rPr>
                <w:b w:val="0"/>
                <w:sz w:val="15"/>
              </w:rPr>
              <w:t>Medium / High</w:t>
            </w:r>
          </w:p>
        </w:tc>
        <w:tc>
          <w:tcPr>
            <w:tcW w:type="dxa" w:w="2498"/>
            <w:vAlign w:val="center"/>
          </w:tcPr>
          <w:p>
            <w:pPr>
              <w:spacing w:after="20"/>
            </w:pPr>
            <w:r/>
            <w:r>
              <w:rPr>
                <w:b w:val="0"/>
                <w:sz w:val="15"/>
              </w:rPr>
              <w:t>Recommendation is advisory; show authority, eligibility and feasibility dependencies</w:t>
            </w:r>
          </w:p>
        </w:tc>
        <w:tc>
          <w:tcPr>
            <w:tcW w:type="dxa" w:w="2498"/>
            <w:vAlign w:val="center"/>
          </w:tcPr>
          <w:p>
            <w:pPr>
              <w:spacing w:after="20"/>
            </w:pPr>
            <w:r/>
            <w:r>
              <w:rPr>
                <w:b w:val="0"/>
                <w:sz w:val="15"/>
              </w:rPr>
              <w:t>District/programme owner</w:t>
            </w:r>
          </w:p>
        </w:tc>
      </w:tr>
      <w:tr>
        <w:tc>
          <w:tcPr>
            <w:tcW w:type="dxa" w:w="2498"/>
            <w:vAlign w:val="center"/>
            <w:shd w:fill="F2F6F8"/>
          </w:tcPr>
          <w:p>
            <w:pPr>
              <w:spacing w:after="20"/>
            </w:pPr>
            <w:r/>
            <w:r>
              <w:rPr>
                <w:b w:val="0"/>
                <w:sz w:val="15"/>
              </w:rPr>
              <w:t>Boundary or schema changes break comparisons</w:t>
            </w:r>
          </w:p>
        </w:tc>
        <w:tc>
          <w:tcPr>
            <w:tcW w:type="dxa" w:w="2498"/>
            <w:vAlign w:val="center"/>
            <w:shd w:fill="F2F6F8"/>
          </w:tcPr>
          <w:p>
            <w:pPr>
              <w:spacing w:after="20"/>
            </w:pPr>
            <w:r/>
            <w:r>
              <w:rPr>
                <w:b w:val="0"/>
                <w:sz w:val="15"/>
              </w:rPr>
              <w:t>Medium / Medium</w:t>
            </w:r>
          </w:p>
        </w:tc>
        <w:tc>
          <w:tcPr>
            <w:tcW w:type="dxa" w:w="2498"/>
            <w:vAlign w:val="center"/>
            <w:shd w:fill="F2F6F8"/>
          </w:tcPr>
          <w:p>
            <w:pPr>
              <w:spacing w:after="20"/>
            </w:pPr>
            <w:r/>
            <w:r>
              <w:rPr>
                <w:b w:val="0"/>
                <w:sz w:val="15"/>
              </w:rPr>
              <w:t>Versioned boundaries, migration tests, historical comparability notes</w:t>
            </w:r>
          </w:p>
        </w:tc>
        <w:tc>
          <w:tcPr>
            <w:tcW w:type="dxa" w:w="2498"/>
            <w:vAlign w:val="center"/>
            <w:shd w:fill="F2F6F8"/>
          </w:tcPr>
          <w:p>
            <w:pPr>
              <w:spacing w:after="20"/>
            </w:pPr>
            <w:r/>
            <w:r>
              <w:rPr>
                <w:b w:val="0"/>
                <w:sz w:val="15"/>
              </w:rPr>
              <w:t>GIS/data steward</w:t>
            </w:r>
          </w:p>
        </w:tc>
      </w:tr>
    </w:tbl>
    <w:p/>
    <w:p>
      <w:pPr>
        <w:pStyle w:val="Heading1"/>
        <w:keepNext/>
      </w:pPr>
      <w:r>
        <w:t>21. Prioritized Product Backlog</w:t>
      </w:r>
    </w:p>
    <w:tbl>
      <w:tblPr>
        <w:tblStyle w:val="TableGrid"/>
        <w:tblW w:type="auto" w:w="0"/>
        <w:tblLayout w:type="autofit"/>
        <w:tblLook w:firstColumn="1" w:firstRow="1" w:lastColumn="0" w:lastRow="0" w:noHBand="0" w:noVBand="1" w:val="04A0"/>
      </w:tblPr>
      <w:tblGrid>
        <w:gridCol w:w="3331"/>
        <w:gridCol w:w="3331"/>
        <w:gridCol w:w="3331"/>
      </w:tblGrid>
      <w:tr>
        <w:tc>
          <w:tcPr>
            <w:tcW w:type="dxa" w:w="3331"/>
            <w:vAlign w:val="center"/>
            <w:shd w:fill="123B5D"/>
          </w:tcPr>
          <w:p>
            <w:pPr>
              <w:spacing w:after="20"/>
            </w:pPr>
            <w:r/>
            <w:r>
              <w:rPr>
                <w:b/>
                <w:color w:val="FFFFFF"/>
                <w:sz w:val="16"/>
              </w:rPr>
              <w:t>Priority</w:t>
            </w:r>
          </w:p>
        </w:tc>
        <w:tc>
          <w:tcPr>
            <w:tcW w:type="dxa" w:w="3331"/>
            <w:vAlign w:val="center"/>
            <w:shd w:fill="123B5D"/>
          </w:tcPr>
          <w:p>
            <w:pPr>
              <w:spacing w:after="20"/>
            </w:pPr>
            <w:r/>
            <w:r>
              <w:rPr>
                <w:b/>
                <w:color w:val="FFFFFF"/>
                <w:sz w:val="16"/>
              </w:rPr>
              <w:t>Backlog item</w:t>
            </w:r>
          </w:p>
        </w:tc>
        <w:tc>
          <w:tcPr>
            <w:tcW w:type="dxa" w:w="3331"/>
            <w:vAlign w:val="center"/>
            <w:shd w:fill="123B5D"/>
          </w:tcPr>
          <w:p>
            <w:pPr>
              <w:spacing w:after="20"/>
            </w:pPr>
            <w:r/>
            <w:r>
              <w:rPr>
                <w:b/>
                <w:color w:val="FFFFFF"/>
                <w:sz w:val="16"/>
              </w:rPr>
              <w:t>Definition of done</w:t>
            </w:r>
          </w:p>
        </w:tc>
      </w:tr>
      <w:tr>
        <w:tc>
          <w:tcPr>
            <w:tcW w:type="dxa" w:w="3331"/>
            <w:vAlign w:val="center"/>
          </w:tcPr>
          <w:p>
            <w:pPr>
              <w:spacing w:after="20"/>
            </w:pPr>
            <w:r/>
            <w:r>
              <w:rPr>
                <w:b w:val="0"/>
                <w:sz w:val="15"/>
              </w:rPr>
              <w:t>P0</w:t>
            </w:r>
          </w:p>
        </w:tc>
        <w:tc>
          <w:tcPr>
            <w:tcW w:type="dxa" w:w="3331"/>
            <w:vAlign w:val="center"/>
          </w:tcPr>
          <w:p>
            <w:pPr>
              <w:spacing w:after="20"/>
            </w:pPr>
            <w:r/>
            <w:r>
              <w:rPr>
                <w:b w:val="0"/>
                <w:sz w:val="15"/>
              </w:rPr>
              <w:t>Pilot charter and governance</w:t>
            </w:r>
          </w:p>
        </w:tc>
        <w:tc>
          <w:tcPr>
            <w:tcW w:type="dxa" w:w="3331"/>
            <w:vAlign w:val="center"/>
          </w:tcPr>
          <w:p>
            <w:pPr>
              <w:spacing w:after="20"/>
            </w:pPr>
            <w:r/>
            <w:r>
              <w:rPr>
                <w:b w:val="0"/>
                <w:sz w:val="15"/>
              </w:rPr>
              <w:t>Named owners, pilot units, review board, data-use rules and escalation path approved</w:t>
            </w:r>
          </w:p>
        </w:tc>
      </w:tr>
      <w:tr>
        <w:tc>
          <w:tcPr>
            <w:tcW w:type="dxa" w:w="3331"/>
            <w:vAlign w:val="center"/>
            <w:shd w:fill="F2F6F8"/>
          </w:tcPr>
          <w:p>
            <w:pPr>
              <w:spacing w:after="20"/>
            </w:pPr>
            <w:r/>
            <w:r>
              <w:rPr>
                <w:b w:val="0"/>
                <w:sz w:val="15"/>
              </w:rPr>
              <w:t>P0</w:t>
            </w:r>
          </w:p>
        </w:tc>
        <w:tc>
          <w:tcPr>
            <w:tcW w:type="dxa" w:w="3331"/>
            <w:vAlign w:val="center"/>
            <w:shd w:fill="F2F6F8"/>
          </w:tcPr>
          <w:p>
            <w:pPr>
              <w:spacing w:after="20"/>
            </w:pPr>
            <w:r/>
            <w:r>
              <w:rPr>
                <w:b w:val="0"/>
                <w:sz w:val="15"/>
              </w:rPr>
              <w:t>Data inventory and access proof</w:t>
            </w:r>
          </w:p>
        </w:tc>
        <w:tc>
          <w:tcPr>
            <w:tcW w:type="dxa" w:w="3331"/>
            <w:vAlign w:val="center"/>
            <w:shd w:fill="F2F6F8"/>
          </w:tcPr>
          <w:p>
            <w:pPr>
              <w:spacing w:after="20"/>
            </w:pPr>
            <w:r/>
            <w:r>
              <w:rPr>
                <w:b w:val="0"/>
                <w:sz w:val="15"/>
              </w:rPr>
              <w:t>Every selected source successfully retrieved, documented and terms-reviewed</w:t>
            </w:r>
          </w:p>
        </w:tc>
      </w:tr>
      <w:tr>
        <w:tc>
          <w:tcPr>
            <w:tcW w:type="dxa" w:w="3331"/>
            <w:vAlign w:val="center"/>
          </w:tcPr>
          <w:p>
            <w:pPr>
              <w:spacing w:after="20"/>
            </w:pPr>
            <w:r/>
            <w:r>
              <w:rPr>
                <w:b w:val="0"/>
                <w:sz w:val="15"/>
              </w:rPr>
              <w:t>P0</w:t>
            </w:r>
          </w:p>
        </w:tc>
        <w:tc>
          <w:tcPr>
            <w:tcW w:type="dxa" w:w="3331"/>
            <w:vAlign w:val="center"/>
          </w:tcPr>
          <w:p>
            <w:pPr>
              <w:spacing w:after="20"/>
            </w:pPr>
            <w:r/>
            <w:r>
              <w:rPr>
                <w:b w:val="0"/>
                <w:sz w:val="15"/>
              </w:rPr>
              <w:t>Boundary master and identifiers</w:t>
            </w:r>
          </w:p>
        </w:tc>
        <w:tc>
          <w:tcPr>
            <w:tcW w:type="dxa" w:w="3331"/>
            <w:vAlign w:val="center"/>
          </w:tcPr>
          <w:p>
            <w:pPr>
              <w:spacing w:after="20"/>
            </w:pPr>
            <w:r/>
            <w:r>
              <w:rPr>
                <w:b w:val="0"/>
                <w:sz w:val="15"/>
              </w:rPr>
              <w:t>Validated pilot geometry, stable IDs, version history and spatial tests</w:t>
            </w:r>
          </w:p>
        </w:tc>
      </w:tr>
      <w:tr>
        <w:tc>
          <w:tcPr>
            <w:tcW w:type="dxa" w:w="3331"/>
            <w:vAlign w:val="center"/>
            <w:shd w:fill="F2F6F8"/>
          </w:tcPr>
          <w:p>
            <w:pPr>
              <w:spacing w:after="20"/>
            </w:pPr>
            <w:r/>
            <w:r>
              <w:rPr>
                <w:b w:val="0"/>
                <w:sz w:val="15"/>
              </w:rPr>
              <w:t>P0</w:t>
            </w:r>
          </w:p>
        </w:tc>
        <w:tc>
          <w:tcPr>
            <w:tcW w:type="dxa" w:w="3331"/>
            <w:vAlign w:val="center"/>
            <w:shd w:fill="F2F6F8"/>
          </w:tcPr>
          <w:p>
            <w:pPr>
              <w:spacing w:after="20"/>
            </w:pPr>
            <w:r/>
            <w:r>
              <w:rPr>
                <w:b w:val="0"/>
                <w:sz w:val="15"/>
              </w:rPr>
              <w:t>Ingestion and quality framework</w:t>
            </w:r>
          </w:p>
        </w:tc>
        <w:tc>
          <w:tcPr>
            <w:tcW w:type="dxa" w:w="3331"/>
            <w:vAlign w:val="center"/>
            <w:shd w:fill="F2F6F8"/>
          </w:tcPr>
          <w:p>
            <w:pPr>
              <w:spacing w:after="20"/>
            </w:pPr>
            <w:r/>
            <w:r>
              <w:rPr>
                <w:b w:val="0"/>
                <w:sz w:val="15"/>
              </w:rPr>
              <w:t>Idempotent pipelines, source freshness, QA reports, retries and no silent defaults</w:t>
            </w:r>
          </w:p>
        </w:tc>
      </w:tr>
      <w:tr>
        <w:tc>
          <w:tcPr>
            <w:tcW w:type="dxa" w:w="3331"/>
            <w:vAlign w:val="center"/>
          </w:tcPr>
          <w:p>
            <w:pPr>
              <w:spacing w:after="20"/>
            </w:pPr>
            <w:r/>
            <w:r>
              <w:rPr>
                <w:b w:val="0"/>
                <w:sz w:val="15"/>
              </w:rPr>
              <w:t>P0</w:t>
            </w:r>
          </w:p>
        </w:tc>
        <w:tc>
          <w:tcPr>
            <w:tcW w:type="dxa" w:w="3331"/>
            <w:vAlign w:val="center"/>
          </w:tcPr>
          <w:p>
            <w:pPr>
              <w:spacing w:after="20"/>
            </w:pPr>
            <w:r/>
            <w:r>
              <w:rPr>
                <w:b w:val="0"/>
                <w:sz w:val="15"/>
              </w:rPr>
              <w:t>Monitoring dashboard</w:t>
            </w:r>
          </w:p>
        </w:tc>
        <w:tc>
          <w:tcPr>
            <w:tcW w:type="dxa" w:w="3331"/>
            <w:vAlign w:val="center"/>
          </w:tcPr>
          <w:p>
            <w:pPr>
              <w:spacing w:after="20"/>
            </w:pPr>
            <w:r/>
            <w:r>
              <w:rPr>
                <w:b w:val="0"/>
                <w:sz w:val="15"/>
              </w:rPr>
              <w:t>Map, block details, historical charts, data provenance and insufficient-evidence state</w:t>
            </w:r>
          </w:p>
        </w:tc>
      </w:tr>
      <w:tr>
        <w:tc>
          <w:tcPr>
            <w:tcW w:type="dxa" w:w="3331"/>
            <w:vAlign w:val="center"/>
            <w:shd w:fill="F2F6F8"/>
          </w:tcPr>
          <w:p>
            <w:pPr>
              <w:spacing w:after="20"/>
            </w:pPr>
            <w:r/>
            <w:r>
              <w:rPr>
                <w:b w:val="0"/>
                <w:sz w:val="15"/>
              </w:rPr>
              <w:t>P0</w:t>
            </w:r>
          </w:p>
        </w:tc>
        <w:tc>
          <w:tcPr>
            <w:tcW w:type="dxa" w:w="3331"/>
            <w:vAlign w:val="center"/>
            <w:shd w:fill="F2F6F8"/>
          </w:tcPr>
          <w:p>
            <w:pPr>
              <w:spacing w:after="20"/>
            </w:pPr>
            <w:r/>
            <w:r>
              <w:rPr>
                <w:b w:val="0"/>
                <w:sz w:val="15"/>
              </w:rPr>
              <w:t>Security and access control</w:t>
            </w:r>
          </w:p>
        </w:tc>
        <w:tc>
          <w:tcPr>
            <w:tcW w:type="dxa" w:w="3331"/>
            <w:vAlign w:val="center"/>
            <w:shd w:fill="F2F6F8"/>
          </w:tcPr>
          <w:p>
            <w:pPr>
              <w:spacing w:after="20"/>
            </w:pPr>
            <w:r/>
            <w:r>
              <w:rPr>
                <w:b w:val="0"/>
                <w:sz w:val="15"/>
              </w:rPr>
              <w:t>Roles, scoped access, secret management, audit logging and backup plan</w:t>
            </w:r>
          </w:p>
        </w:tc>
      </w:tr>
      <w:tr>
        <w:tc>
          <w:tcPr>
            <w:tcW w:type="dxa" w:w="3331"/>
            <w:vAlign w:val="center"/>
          </w:tcPr>
          <w:p>
            <w:pPr>
              <w:spacing w:after="20"/>
            </w:pPr>
            <w:r/>
            <w:r>
              <w:rPr>
                <w:b w:val="0"/>
                <w:sz w:val="15"/>
              </w:rPr>
              <w:t>P0</w:t>
            </w:r>
          </w:p>
        </w:tc>
        <w:tc>
          <w:tcPr>
            <w:tcW w:type="dxa" w:w="3331"/>
            <w:vAlign w:val="center"/>
          </w:tcPr>
          <w:p>
            <w:pPr>
              <w:spacing w:after="20"/>
            </w:pPr>
            <w:r/>
            <w:r>
              <w:rPr>
                <w:b w:val="0"/>
                <w:sz w:val="15"/>
              </w:rPr>
              <w:t>Scientific evaluation plan</w:t>
            </w:r>
          </w:p>
        </w:tc>
        <w:tc>
          <w:tcPr>
            <w:tcW w:type="dxa" w:w="3331"/>
            <w:vAlign w:val="center"/>
          </w:tcPr>
          <w:p>
            <w:pPr>
              <w:spacing w:after="20"/>
            </w:pPr>
            <w:r/>
            <w:r>
              <w:rPr>
                <w:b w:val="0"/>
                <w:sz w:val="15"/>
              </w:rPr>
              <w:t>Target variable, reference data, split strategy, baseline metrics and release gates approved</w:t>
            </w:r>
          </w:p>
        </w:tc>
      </w:tr>
      <w:tr>
        <w:tc>
          <w:tcPr>
            <w:tcW w:type="dxa" w:w="3331"/>
            <w:vAlign w:val="center"/>
            <w:shd w:fill="F2F6F8"/>
          </w:tcPr>
          <w:p>
            <w:pPr>
              <w:spacing w:after="20"/>
            </w:pPr>
            <w:r/>
            <w:r>
              <w:rPr>
                <w:b w:val="0"/>
                <w:sz w:val="15"/>
              </w:rPr>
              <w:t>P1</w:t>
            </w:r>
          </w:p>
        </w:tc>
        <w:tc>
          <w:tcPr>
            <w:tcW w:type="dxa" w:w="3331"/>
            <w:vAlign w:val="center"/>
            <w:shd w:fill="F2F6F8"/>
          </w:tcPr>
          <w:p>
            <w:pPr>
              <w:spacing w:after="20"/>
            </w:pPr>
            <w:r/>
            <w:r>
              <w:rPr>
                <w:b w:val="0"/>
                <w:sz w:val="15"/>
              </w:rPr>
              <w:t>Retrospective model evaluation</w:t>
            </w:r>
          </w:p>
        </w:tc>
        <w:tc>
          <w:tcPr>
            <w:tcW w:type="dxa" w:w="3331"/>
            <w:vAlign w:val="center"/>
            <w:shd w:fill="F2F6F8"/>
          </w:tcPr>
          <w:p>
            <w:pPr>
              <w:spacing w:after="20"/>
            </w:pPr>
            <w:r/>
            <w:r>
              <w:rPr>
                <w:b w:val="0"/>
                <w:sz w:val="15"/>
              </w:rPr>
              <w:t>Candidate model evaluated and documented against baselines; go/no-go decision recorded</w:t>
            </w:r>
          </w:p>
        </w:tc>
      </w:tr>
      <w:tr>
        <w:tc>
          <w:tcPr>
            <w:tcW w:type="dxa" w:w="3331"/>
            <w:vAlign w:val="center"/>
          </w:tcPr>
          <w:p>
            <w:pPr>
              <w:spacing w:after="20"/>
            </w:pPr>
            <w:r/>
            <w:r>
              <w:rPr>
                <w:b w:val="0"/>
                <w:sz w:val="15"/>
              </w:rPr>
              <w:t>P1</w:t>
            </w:r>
          </w:p>
        </w:tc>
        <w:tc>
          <w:tcPr>
            <w:tcW w:type="dxa" w:w="3331"/>
            <w:vAlign w:val="center"/>
          </w:tcPr>
          <w:p>
            <w:pPr>
              <w:spacing w:after="20"/>
            </w:pPr>
            <w:r/>
            <w:r>
              <w:rPr>
                <w:b w:val="0"/>
                <w:sz w:val="15"/>
              </w:rPr>
              <w:t>Model registry and monitoring</w:t>
            </w:r>
          </w:p>
        </w:tc>
        <w:tc>
          <w:tcPr>
            <w:tcW w:type="dxa" w:w="3331"/>
            <w:vAlign w:val="center"/>
          </w:tcPr>
          <w:p>
            <w:pPr>
              <w:spacing w:after="20"/>
            </w:pPr>
            <w:r/>
            <w:r>
              <w:rPr>
                <w:b w:val="0"/>
                <w:sz w:val="15"/>
              </w:rPr>
              <w:t>Versioned artifacts, prediction lineage, drift/error monitoring and rollback</w:t>
            </w:r>
          </w:p>
        </w:tc>
      </w:tr>
      <w:tr>
        <w:tc>
          <w:tcPr>
            <w:tcW w:type="dxa" w:w="3331"/>
            <w:vAlign w:val="center"/>
            <w:shd w:fill="F2F6F8"/>
          </w:tcPr>
          <w:p>
            <w:pPr>
              <w:spacing w:after="20"/>
            </w:pPr>
            <w:r/>
            <w:r>
              <w:rPr>
                <w:b w:val="0"/>
                <w:sz w:val="15"/>
              </w:rPr>
              <w:t>P1</w:t>
            </w:r>
          </w:p>
        </w:tc>
        <w:tc>
          <w:tcPr>
            <w:tcW w:type="dxa" w:w="3331"/>
            <w:vAlign w:val="center"/>
            <w:shd w:fill="F2F6F8"/>
          </w:tcPr>
          <w:p>
            <w:pPr>
              <w:spacing w:after="20"/>
            </w:pPr>
            <w:r/>
            <w:r>
              <w:rPr>
                <w:b w:val="0"/>
                <w:sz w:val="15"/>
              </w:rPr>
              <w:t>Scheme catalogue</w:t>
            </w:r>
          </w:p>
        </w:tc>
        <w:tc>
          <w:tcPr>
            <w:tcW w:type="dxa" w:w="3331"/>
            <w:vAlign w:val="center"/>
            <w:shd w:fill="F2F6F8"/>
          </w:tcPr>
          <w:p>
            <w:pPr>
              <w:spacing w:after="20"/>
            </w:pPr>
            <w:r/>
            <w:r>
              <w:rPr>
                <w:b w:val="0"/>
                <w:sz w:val="15"/>
              </w:rPr>
              <w:t>Official sources, activity mapping, effective dates and review owner maintained</w:t>
            </w:r>
          </w:p>
        </w:tc>
      </w:tr>
      <w:tr>
        <w:tc>
          <w:tcPr>
            <w:tcW w:type="dxa" w:w="3331"/>
            <w:vAlign w:val="center"/>
          </w:tcPr>
          <w:p>
            <w:pPr>
              <w:spacing w:after="20"/>
            </w:pPr>
            <w:r/>
            <w:r>
              <w:rPr>
                <w:b w:val="0"/>
                <w:sz w:val="15"/>
              </w:rPr>
              <w:t>P1</w:t>
            </w:r>
          </w:p>
        </w:tc>
        <w:tc>
          <w:tcPr>
            <w:tcW w:type="dxa" w:w="3331"/>
            <w:vAlign w:val="center"/>
          </w:tcPr>
          <w:p>
            <w:pPr>
              <w:spacing w:after="20"/>
            </w:pPr>
            <w:r/>
            <w:r>
              <w:rPr>
                <w:b w:val="0"/>
                <w:sz w:val="15"/>
              </w:rPr>
              <w:t>Human-reviewed alert workflow</w:t>
            </w:r>
          </w:p>
        </w:tc>
        <w:tc>
          <w:tcPr>
            <w:tcW w:type="dxa" w:w="3331"/>
            <w:vAlign w:val="center"/>
          </w:tcPr>
          <w:p>
            <w:pPr>
              <w:spacing w:after="20"/>
            </w:pPr>
            <w:r/>
            <w:r>
              <w:rPr>
                <w:b w:val="0"/>
                <w:sz w:val="15"/>
              </w:rPr>
              <w:t>Candidate queue, reviewer approval/rejection, reason codes and complete audit trail</w:t>
            </w:r>
          </w:p>
        </w:tc>
      </w:tr>
      <w:tr>
        <w:tc>
          <w:tcPr>
            <w:tcW w:type="dxa" w:w="3331"/>
            <w:vAlign w:val="center"/>
            <w:shd w:fill="F2F6F8"/>
          </w:tcPr>
          <w:p>
            <w:pPr>
              <w:spacing w:after="20"/>
            </w:pPr>
            <w:r/>
            <w:r>
              <w:rPr>
                <w:b w:val="0"/>
                <w:sz w:val="15"/>
              </w:rPr>
              <w:t>P1</w:t>
            </w:r>
          </w:p>
        </w:tc>
        <w:tc>
          <w:tcPr>
            <w:tcW w:type="dxa" w:w="3331"/>
            <w:vAlign w:val="center"/>
            <w:shd w:fill="F2F6F8"/>
          </w:tcPr>
          <w:p>
            <w:pPr>
              <w:spacing w:after="20"/>
            </w:pPr>
            <w:r/>
            <w:r>
              <w:rPr>
                <w:b w:val="0"/>
                <w:sz w:val="15"/>
              </w:rPr>
              <w:t>Hindi templates and localization tests</w:t>
            </w:r>
          </w:p>
        </w:tc>
        <w:tc>
          <w:tcPr>
            <w:tcW w:type="dxa" w:w="3331"/>
            <w:vAlign w:val="center"/>
            <w:shd w:fill="F2F6F8"/>
          </w:tcPr>
          <w:p>
            <w:pPr>
              <w:spacing w:after="20"/>
            </w:pPr>
            <w:r/>
            <w:r>
              <w:rPr>
                <w:b w:val="0"/>
                <w:sz w:val="15"/>
              </w:rPr>
              <w:t>Native reviewer approval and recipient comprehension results</w:t>
            </w:r>
          </w:p>
        </w:tc>
      </w:tr>
      <w:tr>
        <w:tc>
          <w:tcPr>
            <w:tcW w:type="dxa" w:w="3331"/>
            <w:vAlign w:val="center"/>
          </w:tcPr>
          <w:p>
            <w:pPr>
              <w:spacing w:after="20"/>
            </w:pPr>
            <w:r/>
            <w:r>
              <w:rPr>
                <w:b w:val="0"/>
                <w:sz w:val="15"/>
              </w:rPr>
              <w:t>P1</w:t>
            </w:r>
          </w:p>
        </w:tc>
        <w:tc>
          <w:tcPr>
            <w:tcW w:type="dxa" w:w="3331"/>
            <w:vAlign w:val="center"/>
          </w:tcPr>
          <w:p>
            <w:pPr>
              <w:spacing w:after="20"/>
            </w:pPr>
            <w:r/>
            <w:r>
              <w:rPr>
                <w:b w:val="0"/>
                <w:sz w:val="15"/>
              </w:rPr>
              <w:t>WhatsApp/SMS sandbox integration</w:t>
            </w:r>
          </w:p>
        </w:tc>
        <w:tc>
          <w:tcPr>
            <w:tcW w:type="dxa" w:w="3331"/>
            <w:vAlign w:val="center"/>
          </w:tcPr>
          <w:p>
            <w:pPr>
              <w:spacing w:after="20"/>
            </w:pPr>
            <w:r/>
            <w:r>
              <w:rPr>
                <w:b w:val="0"/>
                <w:sz w:val="15"/>
              </w:rPr>
              <w:t>Delivery, failure, deduplication and retry paths tested with no production recipients</w:t>
            </w:r>
          </w:p>
        </w:tc>
      </w:tr>
      <w:tr>
        <w:tc>
          <w:tcPr>
            <w:tcW w:type="dxa" w:w="3331"/>
            <w:vAlign w:val="center"/>
            <w:shd w:fill="F2F6F8"/>
          </w:tcPr>
          <w:p>
            <w:pPr>
              <w:spacing w:after="20"/>
            </w:pPr>
            <w:r/>
            <w:r>
              <w:rPr>
                <w:b w:val="0"/>
                <w:sz w:val="15"/>
              </w:rPr>
              <w:t>P1</w:t>
            </w:r>
          </w:p>
        </w:tc>
        <w:tc>
          <w:tcPr>
            <w:tcW w:type="dxa" w:w="3331"/>
            <w:vAlign w:val="center"/>
            <w:shd w:fill="F2F6F8"/>
          </w:tcPr>
          <w:p>
            <w:pPr>
              <w:spacing w:after="20"/>
            </w:pPr>
            <w:r/>
            <w:r>
              <w:rPr>
                <w:b w:val="0"/>
                <w:sz w:val="15"/>
              </w:rPr>
              <w:t>Action tracking and field feedback</w:t>
            </w:r>
          </w:p>
        </w:tc>
        <w:tc>
          <w:tcPr>
            <w:tcW w:type="dxa" w:w="3331"/>
            <w:vAlign w:val="center"/>
            <w:shd w:fill="F2F6F8"/>
          </w:tcPr>
          <w:p>
            <w:pPr>
              <w:spacing w:after="20"/>
            </w:pPr>
            <w:r/>
            <w:r>
              <w:rPr>
                <w:b w:val="0"/>
                <w:sz w:val="15"/>
              </w:rPr>
              <w:t>Acknowledgement and action status flow operational</w:t>
            </w:r>
          </w:p>
        </w:tc>
      </w:tr>
      <w:tr>
        <w:tc>
          <w:tcPr>
            <w:tcW w:type="dxa" w:w="3331"/>
            <w:vAlign w:val="center"/>
          </w:tcPr>
          <w:p>
            <w:pPr>
              <w:spacing w:after="20"/>
            </w:pPr>
            <w:r/>
            <w:r>
              <w:rPr>
                <w:b w:val="0"/>
                <w:sz w:val="15"/>
              </w:rPr>
              <w:t>P2</w:t>
            </w:r>
          </w:p>
        </w:tc>
        <w:tc>
          <w:tcPr>
            <w:tcW w:type="dxa" w:w="3331"/>
            <w:vAlign w:val="center"/>
          </w:tcPr>
          <w:p>
            <w:pPr>
              <w:spacing w:after="20"/>
            </w:pPr>
            <w:r/>
            <w:r>
              <w:rPr>
                <w:b w:val="0"/>
                <w:sz w:val="15"/>
              </w:rPr>
              <w:t>Advanced spatial modelling</w:t>
            </w:r>
          </w:p>
        </w:tc>
        <w:tc>
          <w:tcPr>
            <w:tcW w:type="dxa" w:w="3331"/>
            <w:vAlign w:val="center"/>
          </w:tcPr>
          <w:p>
            <w:pPr>
              <w:spacing w:after="20"/>
            </w:pPr>
            <w:r/>
            <w:r>
              <w:rPr>
                <w:b w:val="0"/>
                <w:sz w:val="15"/>
              </w:rPr>
              <w:t>Only after ground truth, resolution and validation justify it</w:t>
            </w:r>
          </w:p>
        </w:tc>
      </w:tr>
      <w:tr>
        <w:tc>
          <w:tcPr>
            <w:tcW w:type="dxa" w:w="3331"/>
            <w:vAlign w:val="center"/>
            <w:shd w:fill="F2F6F8"/>
          </w:tcPr>
          <w:p>
            <w:pPr>
              <w:spacing w:after="20"/>
            </w:pPr>
            <w:r/>
            <w:r>
              <w:rPr>
                <w:b w:val="0"/>
                <w:sz w:val="15"/>
              </w:rPr>
              <w:t>P2</w:t>
            </w:r>
          </w:p>
        </w:tc>
        <w:tc>
          <w:tcPr>
            <w:tcW w:type="dxa" w:w="3331"/>
            <w:vAlign w:val="center"/>
            <w:shd w:fill="F2F6F8"/>
          </w:tcPr>
          <w:p>
            <w:pPr>
              <w:spacing w:after="20"/>
            </w:pPr>
            <w:r/>
            <w:r>
              <w:rPr>
                <w:b w:val="0"/>
                <w:sz w:val="15"/>
              </w:rPr>
              <w:t>Additional districts/statewide scale</w:t>
            </w:r>
          </w:p>
        </w:tc>
        <w:tc>
          <w:tcPr>
            <w:tcW w:type="dxa" w:w="3331"/>
            <w:vAlign w:val="center"/>
            <w:shd w:fill="F2F6F8"/>
          </w:tcPr>
          <w:p>
            <w:pPr>
              <w:spacing w:after="20"/>
            </w:pPr>
            <w:r/>
            <w:r>
              <w:rPr>
                <w:b w:val="0"/>
                <w:sz w:val="15"/>
              </w:rPr>
              <w:t>Per-region validation, load/cost/security review and approved operating model</w:t>
            </w:r>
          </w:p>
        </w:tc>
      </w:tr>
      <w:tr>
        <w:tc>
          <w:tcPr>
            <w:tcW w:type="dxa" w:w="3331"/>
            <w:vAlign w:val="center"/>
          </w:tcPr>
          <w:p>
            <w:pPr>
              <w:spacing w:after="20"/>
            </w:pPr>
            <w:r/>
            <w:r>
              <w:rPr>
                <w:b w:val="0"/>
                <w:sz w:val="15"/>
              </w:rPr>
              <w:t>P2</w:t>
            </w:r>
          </w:p>
        </w:tc>
        <w:tc>
          <w:tcPr>
            <w:tcW w:type="dxa" w:w="3331"/>
            <w:vAlign w:val="center"/>
          </w:tcPr>
          <w:p>
            <w:pPr>
              <w:spacing w:after="20"/>
            </w:pPr>
            <w:r/>
            <w:r>
              <w:rPr>
                <w:b w:val="0"/>
                <w:sz w:val="15"/>
              </w:rPr>
              <w:t>Public-facing summaries/open data</w:t>
            </w:r>
          </w:p>
        </w:tc>
        <w:tc>
          <w:tcPr>
            <w:tcW w:type="dxa" w:w="3331"/>
            <w:vAlign w:val="center"/>
          </w:tcPr>
          <w:p>
            <w:pPr>
              <w:spacing w:after="20"/>
            </w:pPr>
            <w:r/>
            <w:r>
              <w:rPr>
                <w:b w:val="0"/>
                <w:sz w:val="15"/>
              </w:rPr>
              <w:t>Separate privacy, accuracy, licensing and public communication review</w:t>
            </w:r>
          </w:p>
        </w:tc>
      </w:tr>
    </w:tbl>
    <w:p/>
    <w:p>
      <w:pPr>
        <w:pStyle w:val="Heading1"/>
        <w:keepNext/>
      </w:pPr>
      <w:r>
        <w:t>22. Proposed Data Model — Product-Level Requirements</w:t>
      </w:r>
    </w:p>
    <w:p>
      <w:r>
        <w:t>The supplied TRD proposes administrative_blocks, block_hydro_observations, groundwater_predictions and alert_recipients. These are a useful starting point but are not sufficient by themselves for traceable, governable operation.</w:t>
      </w:r>
    </w:p>
    <w:tbl>
      <w:tblPr>
        <w:tblStyle w:val="TableGrid"/>
        <w:tblW w:type="auto" w:w="0"/>
        <w:tblLayout w:type="autofit"/>
        <w:tblLook w:firstColumn="1" w:firstRow="1" w:lastColumn="0" w:lastRow="0" w:noHBand="0" w:noVBand="1" w:val="04A0"/>
      </w:tblPr>
      <w:tblGrid>
        <w:gridCol w:w="4997"/>
        <w:gridCol w:w="4997"/>
      </w:tblGrid>
      <w:tr>
        <w:tc>
          <w:tcPr>
            <w:tcW w:type="dxa" w:w="4997"/>
            <w:vAlign w:val="center"/>
            <w:shd w:fill="123B5D"/>
          </w:tcPr>
          <w:p>
            <w:pPr>
              <w:spacing w:after="20"/>
            </w:pPr>
            <w:r/>
            <w:r>
              <w:rPr>
                <w:b/>
                <w:color w:val="FFFFFF"/>
                <w:sz w:val="16"/>
              </w:rPr>
              <w:t>Entity</w:t>
            </w:r>
          </w:p>
        </w:tc>
        <w:tc>
          <w:tcPr>
            <w:tcW w:type="dxa" w:w="4997"/>
            <w:vAlign w:val="center"/>
            <w:shd w:fill="123B5D"/>
          </w:tcPr>
          <w:p>
            <w:pPr>
              <w:spacing w:after="20"/>
            </w:pPr>
            <w:r/>
            <w:r>
              <w:rPr>
                <w:b/>
                <w:color w:val="FFFFFF"/>
                <w:sz w:val="16"/>
              </w:rPr>
              <w:t>Purpose / minimum fields</w:t>
            </w:r>
          </w:p>
        </w:tc>
      </w:tr>
      <w:tr>
        <w:tc>
          <w:tcPr>
            <w:tcW w:type="dxa" w:w="4997"/>
            <w:vAlign w:val="center"/>
          </w:tcPr>
          <w:p>
            <w:pPr>
              <w:spacing w:after="20"/>
            </w:pPr>
            <w:r/>
            <w:r>
              <w:rPr>
                <w:b w:val="0"/>
                <w:sz w:val="15"/>
              </w:rPr>
              <w:t>administrative_units</w:t>
            </w:r>
          </w:p>
        </w:tc>
        <w:tc>
          <w:tcPr>
            <w:tcW w:type="dxa" w:w="4997"/>
            <w:vAlign w:val="center"/>
          </w:tcPr>
          <w:p>
            <w:pPr>
              <w:spacing w:after="20"/>
            </w:pPr>
            <w:r/>
            <w:r>
              <w:rPr>
                <w:b w:val="0"/>
                <w:sz w:val="15"/>
              </w:rPr>
              <w:t>Stable unit ID, name, parent unit, geometry, CRS, boundary version, effective dates, source</w:t>
            </w:r>
          </w:p>
        </w:tc>
      </w:tr>
      <w:tr>
        <w:tc>
          <w:tcPr>
            <w:tcW w:type="dxa" w:w="4997"/>
            <w:vAlign w:val="center"/>
            <w:shd w:fill="F2F6F8"/>
          </w:tcPr>
          <w:p>
            <w:pPr>
              <w:spacing w:after="20"/>
            </w:pPr>
            <w:r/>
            <w:r>
              <w:rPr>
                <w:b w:val="0"/>
                <w:sz w:val="15"/>
              </w:rPr>
              <w:t>data_sources</w:t>
            </w:r>
          </w:p>
        </w:tc>
        <w:tc>
          <w:tcPr>
            <w:tcW w:type="dxa" w:w="4997"/>
            <w:vAlign w:val="center"/>
            <w:shd w:fill="F2F6F8"/>
          </w:tcPr>
          <w:p>
            <w:pPr>
              <w:spacing w:after="20"/>
            </w:pPr>
            <w:r/>
            <w:r>
              <w:rPr>
                <w:b w:val="0"/>
                <w:sz w:val="15"/>
              </w:rPr>
              <w:t>Source ID, provider, product/version, license/terms, expected cadence, spatial/temporal support, owner</w:t>
            </w:r>
          </w:p>
        </w:tc>
      </w:tr>
      <w:tr>
        <w:tc>
          <w:tcPr>
            <w:tcW w:type="dxa" w:w="4997"/>
            <w:vAlign w:val="center"/>
          </w:tcPr>
          <w:p>
            <w:pPr>
              <w:spacing w:after="20"/>
            </w:pPr>
            <w:r/>
            <w:r>
              <w:rPr>
                <w:b w:val="0"/>
                <w:sz w:val="15"/>
              </w:rPr>
              <w:t>ingestion_runs</w:t>
            </w:r>
          </w:p>
        </w:tc>
        <w:tc>
          <w:tcPr>
            <w:tcW w:type="dxa" w:w="4997"/>
            <w:vAlign w:val="center"/>
          </w:tcPr>
          <w:p>
            <w:pPr>
              <w:spacing w:after="20"/>
            </w:pPr>
            <w:r/>
            <w:r>
              <w:rPr>
                <w:b w:val="0"/>
                <w:sz w:val="15"/>
              </w:rPr>
              <w:t>Run ID, source, start/end, status, record counts, QA summary, error details, code version</w:t>
            </w:r>
          </w:p>
        </w:tc>
      </w:tr>
      <w:tr>
        <w:tc>
          <w:tcPr>
            <w:tcW w:type="dxa" w:w="4997"/>
            <w:vAlign w:val="center"/>
            <w:shd w:fill="F2F6F8"/>
          </w:tcPr>
          <w:p>
            <w:pPr>
              <w:spacing w:after="20"/>
            </w:pPr>
            <w:r/>
            <w:r>
              <w:rPr>
                <w:b w:val="0"/>
                <w:sz w:val="15"/>
              </w:rPr>
              <w:t>observations</w:t>
            </w:r>
          </w:p>
        </w:tc>
        <w:tc>
          <w:tcPr>
            <w:tcW w:type="dxa" w:w="4997"/>
            <w:vAlign w:val="center"/>
            <w:shd w:fill="F2F6F8"/>
          </w:tcPr>
          <w:p>
            <w:pPr>
              <w:spacing w:after="20"/>
            </w:pPr>
            <w:r/>
            <w:r>
              <w:rPr>
                <w:b w:val="0"/>
                <w:sz w:val="15"/>
              </w:rPr>
              <w:t>Observation ID, location/unit, variable, value, unit, observation period, source ID, QA flag, retrieval time</w:t>
            </w:r>
          </w:p>
        </w:tc>
      </w:tr>
      <w:tr>
        <w:tc>
          <w:tcPr>
            <w:tcW w:type="dxa" w:w="4997"/>
            <w:vAlign w:val="center"/>
          </w:tcPr>
          <w:p>
            <w:pPr>
              <w:spacing w:after="20"/>
            </w:pPr>
            <w:r/>
            <w:r>
              <w:rPr>
                <w:b w:val="0"/>
                <w:sz w:val="15"/>
              </w:rPr>
              <w:t>derived_indicators</w:t>
            </w:r>
          </w:p>
        </w:tc>
        <w:tc>
          <w:tcPr>
            <w:tcW w:type="dxa" w:w="4997"/>
            <w:vAlign w:val="center"/>
          </w:tcPr>
          <w:p>
            <w:pPr>
              <w:spacing w:after="20"/>
            </w:pPr>
            <w:r/>
            <w:r>
              <w:rPr>
                <w:b w:val="0"/>
                <w:sz w:val="15"/>
              </w:rPr>
              <w:t>Indicator ID, unit, period, method/version, value, uncertainty/quality, input lineage</w:t>
            </w:r>
          </w:p>
        </w:tc>
      </w:tr>
      <w:tr>
        <w:tc>
          <w:tcPr>
            <w:tcW w:type="dxa" w:w="4997"/>
            <w:vAlign w:val="center"/>
            <w:shd w:fill="F2F6F8"/>
          </w:tcPr>
          <w:p>
            <w:pPr>
              <w:spacing w:after="20"/>
            </w:pPr>
            <w:r/>
            <w:r>
              <w:rPr>
                <w:b w:val="0"/>
                <w:sz w:val="15"/>
              </w:rPr>
              <w:t>model_registry</w:t>
            </w:r>
          </w:p>
        </w:tc>
        <w:tc>
          <w:tcPr>
            <w:tcW w:type="dxa" w:w="4997"/>
            <w:vAlign w:val="center"/>
            <w:shd w:fill="F2F6F8"/>
          </w:tcPr>
          <w:p>
            <w:pPr>
              <w:spacing w:after="20"/>
            </w:pPr>
            <w:r/>
            <w:r>
              <w:rPr>
                <w:b w:val="0"/>
                <w:sz w:val="15"/>
              </w:rPr>
              <w:t>Model/version, target, training period, feature schema, validation report, approval state</w:t>
            </w:r>
          </w:p>
        </w:tc>
      </w:tr>
      <w:tr>
        <w:tc>
          <w:tcPr>
            <w:tcW w:type="dxa" w:w="4997"/>
            <w:vAlign w:val="center"/>
          </w:tcPr>
          <w:p>
            <w:pPr>
              <w:spacing w:after="20"/>
            </w:pPr>
            <w:r/>
            <w:r>
              <w:rPr>
                <w:b w:val="0"/>
                <w:sz w:val="15"/>
              </w:rPr>
              <w:t>predictions</w:t>
            </w:r>
          </w:p>
        </w:tc>
        <w:tc>
          <w:tcPr>
            <w:tcW w:type="dxa" w:w="4997"/>
            <w:vAlign w:val="center"/>
          </w:tcPr>
          <w:p>
            <w:pPr>
              <w:spacing w:after="20"/>
            </w:pPr>
            <w:r/>
            <w:r>
              <w:rPr>
                <w:b w:val="0"/>
                <w:sz w:val="15"/>
              </w:rPr>
              <w:t>Target, unit, reference date, horizon, output, interval/probability if valid, model version, quality gate</w:t>
            </w:r>
          </w:p>
        </w:tc>
      </w:tr>
      <w:tr>
        <w:tc>
          <w:tcPr>
            <w:tcW w:type="dxa" w:w="4997"/>
            <w:vAlign w:val="center"/>
            <w:shd w:fill="F2F6F8"/>
          </w:tcPr>
          <w:p>
            <w:pPr>
              <w:spacing w:after="20"/>
            </w:pPr>
            <w:r/>
            <w:r>
              <w:rPr>
                <w:b w:val="0"/>
                <w:sz w:val="15"/>
              </w:rPr>
              <w:t>risk_reviews</w:t>
            </w:r>
          </w:p>
        </w:tc>
        <w:tc>
          <w:tcPr>
            <w:tcW w:type="dxa" w:w="4997"/>
            <w:vAlign w:val="center"/>
            <w:shd w:fill="F2F6F8"/>
          </w:tcPr>
          <w:p>
            <w:pPr>
              <w:spacing w:after="20"/>
            </w:pPr>
            <w:r/>
            <w:r>
              <w:rPr>
                <w:b w:val="0"/>
                <w:sz w:val="15"/>
              </w:rPr>
              <w:t>Candidate ID, reviewer, decision, reason, notes, timestamp, approved threshold version</w:t>
            </w:r>
          </w:p>
        </w:tc>
      </w:tr>
      <w:tr>
        <w:tc>
          <w:tcPr>
            <w:tcW w:type="dxa" w:w="4997"/>
            <w:vAlign w:val="center"/>
          </w:tcPr>
          <w:p>
            <w:pPr>
              <w:spacing w:after="20"/>
            </w:pPr>
            <w:r/>
            <w:r>
              <w:rPr>
                <w:b w:val="0"/>
                <w:sz w:val="15"/>
              </w:rPr>
              <w:t>scheme_catalogue</w:t>
            </w:r>
          </w:p>
        </w:tc>
        <w:tc>
          <w:tcPr>
            <w:tcW w:type="dxa" w:w="4997"/>
            <w:vAlign w:val="center"/>
          </w:tcPr>
          <w:p>
            <w:pPr>
              <w:spacing w:after="20"/>
            </w:pPr>
            <w:r/>
            <w:r>
              <w:rPr>
                <w:b w:val="0"/>
                <w:sz w:val="15"/>
              </w:rPr>
              <w:t>Programme/activity, official source, eligibility notes, effective date, last verified date, curator</w:t>
            </w:r>
          </w:p>
        </w:tc>
      </w:tr>
      <w:tr>
        <w:tc>
          <w:tcPr>
            <w:tcW w:type="dxa" w:w="4997"/>
            <w:vAlign w:val="center"/>
            <w:shd w:fill="F2F6F8"/>
          </w:tcPr>
          <w:p>
            <w:pPr>
              <w:spacing w:after="20"/>
            </w:pPr>
            <w:r/>
            <w:r>
              <w:rPr>
                <w:b w:val="0"/>
                <w:sz w:val="15"/>
              </w:rPr>
              <w:t>recommendations</w:t>
            </w:r>
          </w:p>
        </w:tc>
        <w:tc>
          <w:tcPr>
            <w:tcW w:type="dxa" w:w="4997"/>
            <w:vAlign w:val="center"/>
            <w:shd w:fill="F2F6F8"/>
          </w:tcPr>
          <w:p>
            <w:pPr>
              <w:spacing w:after="20"/>
            </w:pPr>
            <w:r/>
            <w:r>
              <w:rPr>
                <w:b w:val="0"/>
                <w:sz w:val="15"/>
              </w:rPr>
              <w:t>Recommendation ID, trigger evidence, scheme reference, rationale, verification needs, status</w:t>
            </w:r>
          </w:p>
        </w:tc>
      </w:tr>
      <w:tr>
        <w:tc>
          <w:tcPr>
            <w:tcW w:type="dxa" w:w="4997"/>
            <w:vAlign w:val="center"/>
          </w:tcPr>
          <w:p>
            <w:pPr>
              <w:spacing w:after="20"/>
            </w:pPr>
            <w:r/>
            <w:r>
              <w:rPr>
                <w:b w:val="0"/>
                <w:sz w:val="15"/>
              </w:rPr>
              <w:t>recipients</w:t>
            </w:r>
          </w:p>
        </w:tc>
        <w:tc>
          <w:tcPr>
            <w:tcW w:type="dxa" w:w="4997"/>
            <w:vAlign w:val="center"/>
          </w:tcPr>
          <w:p>
            <w:pPr>
              <w:spacing w:after="20"/>
            </w:pPr>
            <w:r/>
            <w:r>
              <w:rPr>
                <w:b w:val="0"/>
                <w:sz w:val="15"/>
              </w:rPr>
              <w:t>Role, jurisdiction, contact, channel preference, authorization/notice status, verification date, active flag</w:t>
            </w:r>
          </w:p>
        </w:tc>
      </w:tr>
      <w:tr>
        <w:tc>
          <w:tcPr>
            <w:tcW w:type="dxa" w:w="4997"/>
            <w:vAlign w:val="center"/>
            <w:shd w:fill="F2F6F8"/>
          </w:tcPr>
          <w:p>
            <w:pPr>
              <w:spacing w:after="20"/>
            </w:pPr>
            <w:r/>
            <w:r>
              <w:rPr>
                <w:b w:val="0"/>
                <w:sz w:val="15"/>
              </w:rPr>
              <w:t>alerts</w:t>
            </w:r>
          </w:p>
        </w:tc>
        <w:tc>
          <w:tcPr>
            <w:tcW w:type="dxa" w:w="4997"/>
            <w:vAlign w:val="center"/>
            <w:shd w:fill="F2F6F8"/>
          </w:tcPr>
          <w:p>
            <w:pPr>
              <w:spacing w:after="20"/>
            </w:pPr>
            <w:r/>
            <w:r>
              <w:rPr>
                <w:b w:val="0"/>
                <w:sz w:val="15"/>
              </w:rPr>
              <w:t>Alert ID, candidate/review link, template version, recipients, channel, provider status, timestamps</w:t>
            </w:r>
          </w:p>
        </w:tc>
      </w:tr>
      <w:tr>
        <w:tc>
          <w:tcPr>
            <w:tcW w:type="dxa" w:w="4997"/>
            <w:vAlign w:val="center"/>
          </w:tcPr>
          <w:p>
            <w:pPr>
              <w:spacing w:after="20"/>
            </w:pPr>
            <w:r/>
            <w:r>
              <w:rPr>
                <w:b w:val="0"/>
                <w:sz w:val="15"/>
              </w:rPr>
              <w:t>actions_feedback</w:t>
            </w:r>
          </w:p>
        </w:tc>
        <w:tc>
          <w:tcPr>
            <w:tcW w:type="dxa" w:w="4997"/>
            <w:vAlign w:val="center"/>
          </w:tcPr>
          <w:p>
            <w:pPr>
              <w:spacing w:after="20"/>
            </w:pPr>
            <w:r/>
            <w:r>
              <w:rPr>
                <w:b w:val="0"/>
                <w:sz w:val="15"/>
              </w:rPr>
              <w:t>Alert/recommendation link, response type, owner, status, timestamp, optional evidence</w:t>
            </w:r>
          </w:p>
        </w:tc>
      </w:tr>
      <w:tr>
        <w:tc>
          <w:tcPr>
            <w:tcW w:type="dxa" w:w="4997"/>
            <w:vAlign w:val="center"/>
            <w:shd w:fill="F2F6F8"/>
          </w:tcPr>
          <w:p>
            <w:pPr>
              <w:spacing w:after="20"/>
            </w:pPr>
            <w:r/>
            <w:r>
              <w:rPr>
                <w:b w:val="0"/>
                <w:sz w:val="15"/>
              </w:rPr>
              <w:t>audit_events</w:t>
            </w:r>
          </w:p>
        </w:tc>
        <w:tc>
          <w:tcPr>
            <w:tcW w:type="dxa" w:w="4997"/>
            <w:vAlign w:val="center"/>
            <w:shd w:fill="F2F6F8"/>
          </w:tcPr>
          <w:p>
            <w:pPr>
              <w:spacing w:after="20"/>
            </w:pPr>
            <w:r/>
            <w:r>
              <w:rPr>
                <w:b w:val="0"/>
                <w:sz w:val="15"/>
              </w:rPr>
              <w:t>Actor, action, target, timestamp, result, metadata; protected from ordinary modification</w:t>
            </w:r>
          </w:p>
        </w:tc>
      </w:tr>
    </w:tbl>
    <w:p/>
    <w:p>
      <w:r>
        <w:t>Schema design should distinguish raw observations, derived indicators and predictions. Do not store a derived TWSA proxy in a field that implies it is a direct groundwater measurement. Preserve units and provenance at field level.</w:t>
      </w:r>
    </w:p>
    <w:p>
      <w:pPr>
        <w:pStyle w:val="Heading1"/>
        <w:keepNext/>
      </w:pPr>
      <w:r>
        <w:t>23. Architecture Constraints at Product Level</w:t>
      </w:r>
    </w:p>
    <w:p>
      <w:r>
        <w:t>The supplied TRD proposes Python, Google Earth Engine, PostgreSQL/PostGIS, PyTorch, Streamlit, Celery, Redis and Twilio. This stack can be evaluated during technical design, but this PRD does not mandate every component. The selected architecture must support reproducibility, source-specific connectors, geospatial indexing, versioned indicators/models, asynchronous jobs, auditability and low-bandwidth presentation.</w:t>
      </w:r>
    </w:p>
    <w:p>
      <w:pPr>
        <w:pStyle w:val="ListBullet"/>
        <w:spacing w:after="40"/>
      </w:pPr>
      <w:r>
        <w:t>Batch ingestion and scoring are acceptable for monthly/periodic sources; frequency must match real source cadence and operational need.</w:t>
      </w:r>
    </w:p>
    <w:p>
      <w:pPr>
        <w:pStyle w:val="ListBullet"/>
        <w:spacing w:after="40"/>
      </w:pPr>
      <w:r>
        <w:t>Avoid per-block synchronous Earth Engine calls in request-serving paths; use batch exports/aggregations, quotas-aware scheduling and caching.</w:t>
      </w:r>
    </w:p>
    <w:p>
      <w:pPr>
        <w:pStyle w:val="ListBullet"/>
        <w:spacing w:after="40"/>
      </w:pPr>
      <w:r>
        <w:t>Confirm Earth Engine access terms and quotas for the intended use; do not assume every API or dataset is freely usable for any deployment.</w:t>
      </w:r>
    </w:p>
    <w:p>
      <w:pPr>
        <w:pStyle w:val="ListBullet"/>
        <w:spacing w:after="40"/>
      </w:pPr>
      <w:r>
        <w:t>Use a spatially correct aggregation method and coordinate reference system; do not use raw latitude/longitude Euclidean distance as a general distance metric.</w:t>
      </w:r>
    </w:p>
    <w:p>
      <w:pPr>
        <w:pStyle w:val="ListBullet"/>
        <w:spacing w:after="40"/>
      </w:pPr>
      <w:r>
        <w:t>Maintain API contracts between ingestion, indicator, prediction, review, notification and UI services.</w:t>
      </w:r>
    </w:p>
    <w:p>
      <w:pPr>
        <w:pStyle w:val="ListBullet"/>
        <w:spacing w:after="40"/>
      </w:pPr>
      <w:r>
        <w:t>Separate provider acceptance, delivery confirmation and user acknowledgement states.</w:t>
      </w:r>
    </w:p>
    <w:p>
      <w:pPr>
        <w:pStyle w:val="ListBullet"/>
        <w:spacing w:after="40"/>
      </w:pPr>
      <w:r>
        <w:t>Provide staging/test environments and sandbox messaging before production dispatch.</w:t>
      </w:r>
    </w:p>
    <w:p>
      <w:pPr>
        <w:pStyle w:val="ListBullet"/>
        <w:spacing w:after="40"/>
      </w:pPr>
      <w:r>
        <w:t>Ensure queue retries are idempotent and do not duplicate messages.</w:t>
      </w:r>
    </w:p>
    <w:p>
      <w:pPr>
        <w:pStyle w:val="Heading1"/>
        <w:keepNext/>
      </w:pPr>
      <w:r>
        <w:t>24. Source-Code and TRD Review Notes</w:t>
      </w:r>
    </w:p>
    <w:p>
      <w:r>
        <w:t>The code snippets in the supplied source are illustrative and should not be treated as production-ready. Before reuse, the engineering and science teams should address the following:</w:t>
      </w:r>
    </w:p>
    <w:p>
      <w:pPr>
        <w:pStyle w:val="ListBullet"/>
        <w:spacing w:after="40"/>
      </w:pPr>
      <w:r>
        <w:t>The nearest-centroid GRACE assignment does not constitute validated spatial downscaling and may give neighboring blocks effectively identical coarse values.</w:t>
      </w:r>
    </w:p>
    <w:p>
      <w:pPr>
        <w:pStyle w:val="ListBullet"/>
        <w:spacing w:after="40"/>
      </w:pPr>
      <w:r>
        <w:t>The example polygon construction uses only the exterior ring and may fail for multipolygons, holes or coordinate-reference mismatches.</w:t>
      </w:r>
    </w:p>
    <w:p>
      <w:pPr>
        <w:pStyle w:val="ListBullet"/>
        <w:spacing w:after="40"/>
      </w:pPr>
      <w:r>
        <w:t>Calling getInfo() inside a loop can create slow, quota-intensive synchronous requests; use appropriate batch operations and error handling.</w:t>
      </w:r>
    </w:p>
    <w:p>
      <w:pPr>
        <w:pStyle w:val="ListBullet"/>
        <w:spacing w:after="40"/>
      </w:pPr>
      <w:r>
        <w:t>Hard-coded fallback values for missing NDVI, ET and soil moisture hide data-quality failures and can create fabricated signals.</w:t>
      </w:r>
    </w:p>
    <w:p>
      <w:pPr>
        <w:pStyle w:val="ListBullet"/>
        <w:spacing w:after="40"/>
      </w:pPr>
      <w:r>
        <w:t>The proxy equation coefficients are arbitrary unless fitted and validated against an appropriate target and independent observations.</w:t>
      </w:r>
    </w:p>
    <w:p>
      <w:pPr>
        <w:pStyle w:val="ListBullet"/>
        <w:spacing w:after="40"/>
      </w:pPr>
      <w:r>
        <w:t>The stated LSTM input/output structure and model code do not include data preparation, normalization, leakage prevention, training/evaluation, uncertainty, missing-data handling or model persistence.</w:t>
      </w:r>
    </w:p>
    <w:p>
      <w:pPr>
        <w:pStyle w:val="ListBullet"/>
        <w:spacing w:after="40"/>
      </w:pPr>
      <w:r>
        <w:t>Calling .numpy() may require moving tensors to CPU and handling device state; inference should include robust input validation and model versioning.</w:t>
      </w:r>
    </w:p>
    <w:p>
      <w:pPr>
        <w:pStyle w:val="ListBullet"/>
        <w:spacing w:after="40"/>
      </w:pPr>
      <w:r>
        <w:t>The GSS and days-to-crisis equations lack demonstrated units and calibration and can produce misleading values.</w:t>
      </w:r>
    </w:p>
    <w:p>
      <w:pPr>
        <w:pStyle w:val="ListBullet"/>
        <w:spacing w:after="40"/>
      </w:pPr>
      <w:r>
        <w:t>The scheme mapping in the sample code is hard-coded and should be replaced with a versioned, verified catalogue plus human review.</w:t>
      </w:r>
    </w:p>
    <w:p>
      <w:pPr>
        <w:pStyle w:val="ListBullet"/>
        <w:spacing w:after="40"/>
      </w:pPr>
      <w:r>
        <w:t>Alert code should normalize phone numbers, validate recipient authorization, handle provider statuses, template constraints, deduplication, privacy, structured logging and retry backoff.</w:t>
      </w:r>
    </w:p>
    <w:p>
      <w:pPr>
        <w:pStyle w:val="ListBullet"/>
        <w:spacing w:after="40"/>
      </w:pPr>
      <w:r>
        <w:t>The schema should include data lineage, source quality, model versions, alert-review history, timestamps with timezone conventions and retention controls.</w:t>
      </w:r>
    </w:p>
    <w:p>
      <w:pPr>
        <w:pStyle w:val="Heading1"/>
        <w:keepNext/>
      </w:pPr>
      <w:r>
        <w:t>25. Open Questions Requiring Decisions</w:t>
      </w:r>
    </w:p>
    <w:p>
      <w:pPr>
        <w:pStyle w:val="ListNumber"/>
        <w:spacing w:after="40"/>
      </w:pPr>
      <w:r>
        <w:t>Which exact districts and blocks comprise the first pilot, and who is the accountable government sponsor?</w:t>
      </w:r>
    </w:p>
    <w:p>
      <w:pPr>
        <w:pStyle w:val="ListNumber"/>
        <w:spacing w:after="40"/>
      </w:pPr>
      <w:r>
        <w:t>What target is JalDrishti attempting to estimate: observed groundwater depth, groundwater-level anomaly, drought stress, water-supply risk or a composite? Which target can be independently measured?</w:t>
      </w:r>
    </w:p>
    <w:p>
      <w:pPr>
        <w:pStyle w:val="ListNumber"/>
        <w:spacing w:after="40"/>
      </w:pPr>
      <w:r>
        <w:t>Which CGWB/state well observations are accessible, at what frequency, with what historical depth and terms?</w:t>
      </w:r>
    </w:p>
    <w:p>
      <w:pPr>
        <w:pStyle w:val="ListNumber"/>
        <w:spacing w:after="40"/>
      </w:pPr>
      <w:r>
        <w:t>Which exact IMD rainfall product and NASA/ISRO/other datasets are approved for use, and what are their real latency, spatial support and licensing terms?</w:t>
      </w:r>
    </w:p>
    <w:p>
      <w:pPr>
        <w:pStyle w:val="ListNumber"/>
        <w:spacing w:after="40"/>
      </w:pPr>
      <w:r>
        <w:t>Is a numeric GSS necessary for the first release, or would separate validated indicators be more transparent?</w:t>
      </w:r>
    </w:p>
    <w:p>
      <w:pPr>
        <w:pStyle w:val="ListNumber"/>
        <w:spacing w:after="40"/>
      </w:pPr>
      <w:r>
        <w:t>What constitutes a 'critical' local condition, who approves the threshold, and what reference evidence supports it?</w:t>
      </w:r>
    </w:p>
    <w:p>
      <w:pPr>
        <w:pStyle w:val="ListNumber"/>
        <w:spacing w:after="40"/>
      </w:pPr>
      <w:r>
        <w:t>What is the minimum acceptable forecast skill and maximum tolerable false-alert burden for the pilot?</w:t>
      </w:r>
    </w:p>
    <w:p>
      <w:pPr>
        <w:pStyle w:val="ListNumber"/>
        <w:spacing w:after="40"/>
      </w:pPr>
      <w:r>
        <w:t>Who is the designated scientific approver and who is allowed to approve operational alerts?</w:t>
      </w:r>
    </w:p>
    <w:p>
      <w:pPr>
        <w:pStyle w:val="ListNumber"/>
        <w:spacing w:after="40"/>
      </w:pPr>
      <w:r>
        <w:t>Which scheme actions are currently permitted and locally applicable, and who will maintain their official rule catalogue?</w:t>
      </w:r>
    </w:p>
    <w:p>
      <w:pPr>
        <w:pStyle w:val="ListNumber"/>
        <w:spacing w:after="40"/>
      </w:pPr>
      <w:r>
        <w:t>What notification provider and sender will be used, what are the current costs, and what consent/notice and government communications rules apply?</w:t>
      </w:r>
    </w:p>
    <w:p>
      <w:pPr>
        <w:pStyle w:val="ListNumber"/>
        <w:spacing w:after="40"/>
      </w:pPr>
      <w:r>
        <w:t>What data retention periods and hosting/security requirements are mandated by the participating authority?</w:t>
      </w:r>
    </w:p>
    <w:p>
      <w:pPr>
        <w:pStyle w:val="ListNumber"/>
        <w:spacing w:after="40"/>
      </w:pPr>
      <w:r>
        <w:t>What budget and staffing are available for data engineering, science review, field validation, message costs, support and incident response?</w:t>
      </w:r>
    </w:p>
    <w:p>
      <w:pPr>
        <w:pStyle w:val="ListNumber"/>
        <w:spacing w:after="40"/>
      </w:pPr>
      <w:r>
        <w:t>What is the plan for blocks with insufficient ground truth or stale data?</w:t>
      </w:r>
    </w:p>
    <w:p>
      <w:pPr>
        <w:pStyle w:val="ListNumber"/>
        <w:spacing w:after="40"/>
      </w:pPr>
      <w:r>
        <w:t>What measurable outcomes would justify scale-up, and what outcomes would cause the pilot to pause or stop?</w:t>
      </w:r>
    </w:p>
    <w:p>
      <w:pPr>
        <w:pStyle w:val="Heading1"/>
        <w:keepNext/>
      </w:pPr>
      <w:r>
        <w:t>26. Decision Log &amp; Change Control</w:t>
      </w:r>
    </w:p>
    <w:tbl>
      <w:tblPr>
        <w:tblStyle w:val="TableGrid"/>
        <w:tblW w:type="auto" w:w="0"/>
        <w:tblLayout w:type="autofit"/>
        <w:tblLook w:firstColumn="1" w:firstRow="1" w:lastColumn="0" w:lastRow="0" w:noHBand="0" w:noVBand="1" w:val="04A0"/>
      </w:tblPr>
      <w:tblGrid>
        <w:gridCol w:w="2498"/>
        <w:gridCol w:w="2498"/>
        <w:gridCol w:w="2498"/>
        <w:gridCol w:w="2498"/>
      </w:tblGrid>
      <w:tr>
        <w:tc>
          <w:tcPr>
            <w:tcW w:type="dxa" w:w="2498"/>
            <w:vAlign w:val="center"/>
            <w:shd w:fill="123B5D"/>
          </w:tcPr>
          <w:p>
            <w:pPr>
              <w:spacing w:after="20"/>
            </w:pPr>
            <w:r/>
            <w:r>
              <w:rPr>
                <w:b/>
                <w:color w:val="FFFFFF"/>
                <w:sz w:val="16"/>
              </w:rPr>
              <w:t>Decision</w:t>
            </w:r>
          </w:p>
        </w:tc>
        <w:tc>
          <w:tcPr>
            <w:tcW w:type="dxa" w:w="2498"/>
            <w:vAlign w:val="center"/>
            <w:shd w:fill="123B5D"/>
          </w:tcPr>
          <w:p>
            <w:pPr>
              <w:spacing w:after="20"/>
            </w:pPr>
            <w:r/>
            <w:r>
              <w:rPr>
                <w:b/>
                <w:color w:val="FFFFFF"/>
                <w:sz w:val="16"/>
              </w:rPr>
              <w:t>Default recommendation</w:t>
            </w:r>
          </w:p>
        </w:tc>
        <w:tc>
          <w:tcPr>
            <w:tcW w:type="dxa" w:w="2498"/>
            <w:vAlign w:val="center"/>
            <w:shd w:fill="123B5D"/>
          </w:tcPr>
          <w:p>
            <w:pPr>
              <w:spacing w:after="20"/>
            </w:pPr>
            <w:r/>
            <w:r>
              <w:rPr>
                <w:b/>
                <w:color w:val="FFFFFF"/>
                <w:sz w:val="16"/>
              </w:rPr>
              <w:t>Approver</w:t>
            </w:r>
          </w:p>
        </w:tc>
        <w:tc>
          <w:tcPr>
            <w:tcW w:type="dxa" w:w="2498"/>
            <w:vAlign w:val="center"/>
            <w:shd w:fill="123B5D"/>
          </w:tcPr>
          <w:p>
            <w:pPr>
              <w:spacing w:after="20"/>
            </w:pPr>
            <w:r/>
            <w:r>
              <w:rPr>
                <w:b/>
                <w:color w:val="FFFFFF"/>
                <w:sz w:val="16"/>
              </w:rPr>
              <w:t>Status</w:t>
            </w:r>
          </w:p>
        </w:tc>
      </w:tr>
      <w:tr>
        <w:tc>
          <w:tcPr>
            <w:tcW w:type="dxa" w:w="2498"/>
            <w:vAlign w:val="center"/>
          </w:tcPr>
          <w:p>
            <w:pPr>
              <w:spacing w:after="20"/>
            </w:pPr>
            <w:r/>
            <w:r>
              <w:rPr>
                <w:b w:val="0"/>
                <w:sz w:val="15"/>
              </w:rPr>
              <w:t>Operational countdown</w:t>
            </w:r>
          </w:p>
        </w:tc>
        <w:tc>
          <w:tcPr>
            <w:tcW w:type="dxa" w:w="2498"/>
            <w:vAlign w:val="center"/>
          </w:tcPr>
          <w:p>
            <w:pPr>
              <w:spacing w:after="20"/>
            </w:pPr>
            <w:r/>
            <w:r>
              <w:rPr>
                <w:b w:val="0"/>
                <w:sz w:val="15"/>
              </w:rPr>
              <w:t>Disabled until validated and approved</w:t>
            </w:r>
          </w:p>
        </w:tc>
        <w:tc>
          <w:tcPr>
            <w:tcW w:type="dxa" w:w="2498"/>
            <w:vAlign w:val="center"/>
          </w:tcPr>
          <w:p>
            <w:pPr>
              <w:spacing w:after="20"/>
            </w:pPr>
            <w:r/>
            <w:r>
              <w:rPr>
                <w:b w:val="0"/>
                <w:sz w:val="15"/>
              </w:rPr>
              <w:t>Science lead + product owner</w:t>
            </w:r>
          </w:p>
        </w:tc>
        <w:tc>
          <w:tcPr>
            <w:tcW w:type="dxa" w:w="2498"/>
            <w:vAlign w:val="center"/>
          </w:tcPr>
          <w:p>
            <w:pPr>
              <w:spacing w:after="20"/>
            </w:pPr>
            <w:r/>
            <w:r>
              <w:rPr>
                <w:b w:val="0"/>
                <w:sz w:val="15"/>
              </w:rPr>
              <w:t>Proposed</w:t>
            </w:r>
          </w:p>
        </w:tc>
      </w:tr>
      <w:tr>
        <w:tc>
          <w:tcPr>
            <w:tcW w:type="dxa" w:w="2498"/>
            <w:vAlign w:val="center"/>
            <w:shd w:fill="F2F6F8"/>
          </w:tcPr>
          <w:p>
            <w:pPr>
              <w:spacing w:after="20"/>
            </w:pPr>
            <w:r/>
            <w:r>
              <w:rPr>
                <w:b w:val="0"/>
                <w:sz w:val="15"/>
              </w:rPr>
              <w:t>Block-level GRACE output</w:t>
            </w:r>
          </w:p>
        </w:tc>
        <w:tc>
          <w:tcPr>
            <w:tcW w:type="dxa" w:w="2498"/>
            <w:vAlign w:val="center"/>
            <w:shd w:fill="F2F6F8"/>
          </w:tcPr>
          <w:p>
            <w:pPr>
              <w:spacing w:after="20"/>
            </w:pPr>
            <w:r/>
            <w:r>
              <w:rPr>
                <w:b w:val="0"/>
                <w:sz w:val="15"/>
              </w:rPr>
              <w:t>Do not represent nearest-grid values as block-level groundwater measurement</w:t>
            </w:r>
          </w:p>
        </w:tc>
        <w:tc>
          <w:tcPr>
            <w:tcW w:type="dxa" w:w="2498"/>
            <w:vAlign w:val="center"/>
            <w:shd w:fill="F2F6F8"/>
          </w:tcPr>
          <w:p>
            <w:pPr>
              <w:spacing w:after="20"/>
            </w:pPr>
            <w:r/>
            <w:r>
              <w:rPr>
                <w:b w:val="0"/>
                <w:sz w:val="15"/>
              </w:rPr>
              <w:t>Science lead</w:t>
            </w:r>
          </w:p>
        </w:tc>
        <w:tc>
          <w:tcPr>
            <w:tcW w:type="dxa" w:w="2498"/>
            <w:vAlign w:val="center"/>
            <w:shd w:fill="F2F6F8"/>
          </w:tcPr>
          <w:p>
            <w:pPr>
              <w:spacing w:after="20"/>
            </w:pPr>
            <w:r/>
            <w:r>
              <w:rPr>
                <w:b w:val="0"/>
                <w:sz w:val="15"/>
              </w:rPr>
              <w:t>Proposed</w:t>
            </w:r>
          </w:p>
        </w:tc>
      </w:tr>
      <w:tr>
        <w:tc>
          <w:tcPr>
            <w:tcW w:type="dxa" w:w="2498"/>
            <w:vAlign w:val="center"/>
          </w:tcPr>
          <w:p>
            <w:pPr>
              <w:spacing w:after="20"/>
            </w:pPr>
            <w:r/>
            <w:r>
              <w:rPr>
                <w:b w:val="0"/>
                <w:sz w:val="15"/>
              </w:rPr>
              <w:t>GSS thresholds</w:t>
            </w:r>
          </w:p>
        </w:tc>
        <w:tc>
          <w:tcPr>
            <w:tcW w:type="dxa" w:w="2498"/>
            <w:vAlign w:val="center"/>
          </w:tcPr>
          <w:p>
            <w:pPr>
              <w:spacing w:after="20"/>
            </w:pPr>
            <w:r/>
            <w:r>
              <w:rPr>
                <w:b w:val="0"/>
                <w:sz w:val="15"/>
              </w:rPr>
              <w:t>Treat source thresholds as prototype only; validate before use</w:t>
            </w:r>
          </w:p>
        </w:tc>
        <w:tc>
          <w:tcPr>
            <w:tcW w:type="dxa" w:w="2498"/>
            <w:vAlign w:val="center"/>
          </w:tcPr>
          <w:p>
            <w:pPr>
              <w:spacing w:after="20"/>
            </w:pPr>
            <w:r/>
            <w:r>
              <w:rPr>
                <w:b w:val="0"/>
                <w:sz w:val="15"/>
              </w:rPr>
              <w:t>Science lead + pilot governance</w:t>
            </w:r>
          </w:p>
        </w:tc>
        <w:tc>
          <w:tcPr>
            <w:tcW w:type="dxa" w:w="2498"/>
            <w:vAlign w:val="center"/>
          </w:tcPr>
          <w:p>
            <w:pPr>
              <w:spacing w:after="20"/>
            </w:pPr>
            <w:r/>
            <w:r>
              <w:rPr>
                <w:b w:val="0"/>
                <w:sz w:val="15"/>
              </w:rPr>
              <w:t>Proposed</w:t>
            </w:r>
          </w:p>
        </w:tc>
      </w:tr>
      <w:tr>
        <w:tc>
          <w:tcPr>
            <w:tcW w:type="dxa" w:w="2498"/>
            <w:vAlign w:val="center"/>
            <w:shd w:fill="F2F6F8"/>
          </w:tcPr>
          <w:p>
            <w:pPr>
              <w:spacing w:after="20"/>
            </w:pPr>
            <w:r/>
            <w:r>
              <w:rPr>
                <w:b w:val="0"/>
                <w:sz w:val="15"/>
              </w:rPr>
              <w:t>Scheme recommendations</w:t>
            </w:r>
          </w:p>
        </w:tc>
        <w:tc>
          <w:tcPr>
            <w:tcW w:type="dxa" w:w="2498"/>
            <w:vAlign w:val="center"/>
            <w:shd w:fill="F2F6F8"/>
          </w:tcPr>
          <w:p>
            <w:pPr>
              <w:spacing w:after="20"/>
            </w:pPr>
            <w:r/>
            <w:r>
              <w:rPr>
                <w:b w:val="0"/>
                <w:sz w:val="15"/>
              </w:rPr>
              <w:t>Human-reviewed, source-linked and versioned</w:t>
            </w:r>
          </w:p>
        </w:tc>
        <w:tc>
          <w:tcPr>
            <w:tcW w:type="dxa" w:w="2498"/>
            <w:vAlign w:val="center"/>
            <w:shd w:fill="F2F6F8"/>
          </w:tcPr>
          <w:p>
            <w:pPr>
              <w:spacing w:after="20"/>
            </w:pPr>
            <w:r/>
            <w:r>
              <w:rPr>
                <w:b w:val="0"/>
                <w:sz w:val="15"/>
              </w:rPr>
              <w:t>Programme/scheme owner</w:t>
            </w:r>
          </w:p>
        </w:tc>
        <w:tc>
          <w:tcPr>
            <w:tcW w:type="dxa" w:w="2498"/>
            <w:vAlign w:val="center"/>
            <w:shd w:fill="F2F6F8"/>
          </w:tcPr>
          <w:p>
            <w:pPr>
              <w:spacing w:after="20"/>
            </w:pPr>
            <w:r/>
            <w:r>
              <w:rPr>
                <w:b w:val="0"/>
                <w:sz w:val="15"/>
              </w:rPr>
              <w:t>Proposed</w:t>
            </w:r>
          </w:p>
        </w:tc>
      </w:tr>
      <w:tr>
        <w:tc>
          <w:tcPr>
            <w:tcW w:type="dxa" w:w="2498"/>
            <w:vAlign w:val="center"/>
          </w:tcPr>
          <w:p>
            <w:pPr>
              <w:spacing w:after="20"/>
            </w:pPr>
            <w:r/>
            <w:r>
              <w:rPr>
                <w:b w:val="0"/>
                <w:sz w:val="15"/>
              </w:rPr>
              <w:t>Automatic alerts</w:t>
            </w:r>
          </w:p>
        </w:tc>
        <w:tc>
          <w:tcPr>
            <w:tcW w:type="dxa" w:w="2498"/>
            <w:vAlign w:val="center"/>
          </w:tcPr>
          <w:p>
            <w:pPr>
              <w:spacing w:after="20"/>
            </w:pPr>
            <w:r/>
            <w:r>
              <w:rPr>
                <w:b w:val="0"/>
                <w:sz w:val="15"/>
              </w:rPr>
              <w:t>Disabled until data/model gates pass; human approval required in pilot</w:t>
            </w:r>
          </w:p>
        </w:tc>
        <w:tc>
          <w:tcPr>
            <w:tcW w:type="dxa" w:w="2498"/>
            <w:vAlign w:val="center"/>
          </w:tcPr>
          <w:p>
            <w:pPr>
              <w:spacing w:after="20"/>
            </w:pPr>
            <w:r/>
            <w:r>
              <w:rPr>
                <w:b w:val="0"/>
                <w:sz w:val="15"/>
              </w:rPr>
              <w:t>Pilot governance</w:t>
            </w:r>
          </w:p>
        </w:tc>
        <w:tc>
          <w:tcPr>
            <w:tcW w:type="dxa" w:w="2498"/>
            <w:vAlign w:val="center"/>
          </w:tcPr>
          <w:p>
            <w:pPr>
              <w:spacing w:after="20"/>
            </w:pPr>
            <w:r/>
            <w:r>
              <w:rPr>
                <w:b w:val="0"/>
                <w:sz w:val="15"/>
              </w:rPr>
              <w:t>Proposed</w:t>
            </w:r>
          </w:p>
        </w:tc>
      </w:tr>
      <w:tr>
        <w:tc>
          <w:tcPr>
            <w:tcW w:type="dxa" w:w="2498"/>
            <w:vAlign w:val="center"/>
            <w:shd w:fill="F2F6F8"/>
          </w:tcPr>
          <w:p>
            <w:pPr>
              <w:spacing w:after="20"/>
            </w:pPr>
            <w:r/>
            <w:r>
              <w:rPr>
                <w:b w:val="0"/>
                <w:sz w:val="15"/>
              </w:rPr>
              <w:t>Statewide rollout</w:t>
            </w:r>
          </w:p>
        </w:tc>
        <w:tc>
          <w:tcPr>
            <w:tcW w:type="dxa" w:w="2498"/>
            <w:vAlign w:val="center"/>
            <w:shd w:fill="F2F6F8"/>
          </w:tcPr>
          <w:p>
            <w:pPr>
              <w:spacing w:after="20"/>
            </w:pPr>
            <w:r/>
            <w:r>
              <w:rPr>
                <w:b w:val="0"/>
                <w:sz w:val="15"/>
              </w:rPr>
              <w:t>Incremental and evidence-gated</w:t>
            </w:r>
          </w:p>
        </w:tc>
        <w:tc>
          <w:tcPr>
            <w:tcW w:type="dxa" w:w="2498"/>
            <w:vAlign w:val="center"/>
            <w:shd w:fill="F2F6F8"/>
          </w:tcPr>
          <w:p>
            <w:pPr>
              <w:spacing w:after="20"/>
            </w:pPr>
            <w:r/>
            <w:r>
              <w:rPr>
                <w:b w:val="0"/>
                <w:sz w:val="15"/>
              </w:rPr>
              <w:t>Product sponsor + operations owner</w:t>
            </w:r>
          </w:p>
        </w:tc>
        <w:tc>
          <w:tcPr>
            <w:tcW w:type="dxa" w:w="2498"/>
            <w:vAlign w:val="center"/>
            <w:shd w:fill="F2F6F8"/>
          </w:tcPr>
          <w:p>
            <w:pPr>
              <w:spacing w:after="20"/>
            </w:pPr>
            <w:r/>
            <w:r>
              <w:rPr>
                <w:b w:val="0"/>
                <w:sz w:val="15"/>
              </w:rPr>
              <w:t>Proposed</w:t>
            </w:r>
          </w:p>
        </w:tc>
      </w:tr>
    </w:tbl>
    <w:p/>
    <w:p>
      <w:r>
        <w:t>Any change to these decisions must be recorded with rationale, evidence, affected requirements, effective date, approving owner and rollback plan.</w:t>
      </w:r>
    </w:p>
    <w:p>
      <w:pPr>
        <w:pStyle w:val="Heading1"/>
        <w:keepNext/>
      </w:pPr>
      <w:r>
        <w:t>27. Final Product Recommendation</w:t>
      </w:r>
    </w:p>
    <w:p>
      <w:r>
        <w:t>Build JalDrishti as a trustworthy groundwater evidence and response-coordination system first, and as a predictive system only to the extent that validation supports. The highest-risk failure is not an imperfect dashboard; it is a precise-looking but scientifically unsupported countdown that causes officials or communities to make costly decisions. The first release should make uncertainty visible, preserve source provenance, support local verification and document the actions taken.</w:t>
      </w:r>
    </w:p>
    <w:p>
      <w:r>
        <w:t>The project should proceed through a data-access and science-feasibility gate before committing to LSTM-based block forecasts or automatic crisis alerts. If validated forecasting is not feasible with available data, JalDrishti can still deliver value through transparent multi-source monitoring, observed-well trends, rainfall/vegetation context, data-gap visibility, human-reviewed notifications and better coordination of follow-up.</w:t>
      </w:r>
    </w:p>
    <w:p>
      <w:pPr>
        <w:pStyle w:val="Heading1"/>
        <w:keepNext/>
      </w:pPr>
      <w:r>
        <w:t>Appendix A — Requirement Traceability to Source Concept</w:t>
      </w:r>
    </w:p>
    <w:tbl>
      <w:tblPr>
        <w:tblStyle w:val="TableGrid"/>
        <w:tblW w:type="auto" w:w="0"/>
        <w:tblLayout w:type="autofit"/>
        <w:tblLook w:firstColumn="1" w:firstRow="1" w:lastColumn="0" w:lastRow="0" w:noHBand="0" w:noVBand="1" w:val="04A0"/>
      </w:tblPr>
      <w:tblGrid>
        <w:gridCol w:w="4997"/>
        <w:gridCol w:w="4997"/>
      </w:tblGrid>
      <w:tr>
        <w:tc>
          <w:tcPr>
            <w:tcW w:type="dxa" w:w="4997"/>
            <w:vAlign w:val="center"/>
            <w:shd w:fill="123B5D"/>
          </w:tcPr>
          <w:p>
            <w:pPr>
              <w:spacing w:after="20"/>
            </w:pPr>
            <w:r/>
            <w:r>
              <w:rPr>
                <w:b/>
                <w:color w:val="FFFFFF"/>
                <w:sz w:val="16"/>
              </w:rPr>
              <w:t>Source concept</w:t>
            </w:r>
          </w:p>
        </w:tc>
        <w:tc>
          <w:tcPr>
            <w:tcW w:type="dxa" w:w="4997"/>
            <w:vAlign w:val="center"/>
            <w:shd w:fill="123B5D"/>
          </w:tcPr>
          <w:p>
            <w:pPr>
              <w:spacing w:after="20"/>
            </w:pPr>
            <w:r/>
            <w:r>
              <w:rPr>
                <w:b/>
                <w:color w:val="FFFFFF"/>
                <w:sz w:val="16"/>
              </w:rPr>
              <w:t>PRD treatment</w:t>
            </w:r>
          </w:p>
        </w:tc>
      </w:tr>
      <w:tr>
        <w:tc>
          <w:tcPr>
            <w:tcW w:type="dxa" w:w="4997"/>
            <w:vAlign w:val="center"/>
          </w:tcPr>
          <w:p>
            <w:pPr>
              <w:spacing w:after="20"/>
            </w:pPr>
            <w:r/>
            <w:r>
              <w:rPr>
                <w:b w:val="0"/>
                <w:sz w:val="15"/>
              </w:rPr>
              <w:t>Satellite-first, zero-hardware system</w:t>
            </w:r>
          </w:p>
        </w:tc>
        <w:tc>
          <w:tcPr>
            <w:tcW w:type="dxa" w:w="4997"/>
            <w:vAlign w:val="center"/>
          </w:tcPr>
          <w:p>
            <w:pPr>
              <w:spacing w:after="20"/>
            </w:pPr>
            <w:r/>
            <w:r>
              <w:rPr>
                <w:b w:val="0"/>
                <w:sz w:val="15"/>
              </w:rPr>
              <w:t>Retained as an aspiration; clarify that ground measurements remain necessary for validation and local truth.</w:t>
            </w:r>
          </w:p>
        </w:tc>
      </w:tr>
      <w:tr>
        <w:tc>
          <w:tcPr>
            <w:tcW w:type="dxa" w:w="4997"/>
            <w:vAlign w:val="center"/>
            <w:shd w:fill="F2F6F8"/>
          </w:tcPr>
          <w:p>
            <w:pPr>
              <w:spacing w:after="20"/>
            </w:pPr>
            <w:r/>
            <w:r>
              <w:rPr>
                <w:b w:val="0"/>
                <w:sz w:val="15"/>
              </w:rPr>
              <w:t>Bundelkhand pilot, Madhya Pradesh</w:t>
            </w:r>
          </w:p>
        </w:tc>
        <w:tc>
          <w:tcPr>
            <w:tcW w:type="dxa" w:w="4997"/>
            <w:vAlign w:val="center"/>
            <w:shd w:fill="F2F6F8"/>
          </w:tcPr>
          <w:p>
            <w:pPr>
              <w:spacing w:after="20"/>
            </w:pPr>
            <w:r/>
            <w:r>
              <w:rPr>
                <w:b w:val="0"/>
                <w:sz w:val="15"/>
              </w:rPr>
              <w:t>Retained; exact units require confirmation.</w:t>
            </w:r>
          </w:p>
        </w:tc>
      </w:tr>
      <w:tr>
        <w:tc>
          <w:tcPr>
            <w:tcW w:type="dxa" w:w="4997"/>
            <w:vAlign w:val="center"/>
          </w:tcPr>
          <w:p>
            <w:pPr>
              <w:spacing w:after="20"/>
            </w:pPr>
            <w:r/>
            <w:r>
              <w:rPr>
                <w:b w:val="0"/>
                <w:sz w:val="15"/>
              </w:rPr>
              <w:t>GIS dashboard by blocks</w:t>
            </w:r>
          </w:p>
        </w:tc>
        <w:tc>
          <w:tcPr>
            <w:tcW w:type="dxa" w:w="4997"/>
            <w:vAlign w:val="center"/>
          </w:tcPr>
          <w:p>
            <w:pPr>
              <w:spacing w:after="20"/>
            </w:pPr>
            <w:r/>
            <w:r>
              <w:rPr>
                <w:b w:val="0"/>
                <w:sz w:val="15"/>
              </w:rPr>
              <w:t>Retained with spatial support, provenance, confidence and missing-data safeguards.</w:t>
            </w:r>
          </w:p>
        </w:tc>
      </w:tr>
      <w:tr>
        <w:tc>
          <w:tcPr>
            <w:tcW w:type="dxa" w:w="4997"/>
            <w:vAlign w:val="center"/>
            <w:shd w:fill="F2F6F8"/>
          </w:tcPr>
          <w:p>
            <w:pPr>
              <w:spacing w:after="20"/>
            </w:pPr>
            <w:r/>
            <w:r>
              <w:rPr>
                <w:b w:val="0"/>
                <w:sz w:val="15"/>
              </w:rPr>
              <w:t>GSS 0–100</w:t>
            </w:r>
          </w:p>
        </w:tc>
        <w:tc>
          <w:tcPr>
            <w:tcW w:type="dxa" w:w="4997"/>
            <w:vAlign w:val="center"/>
            <w:shd w:fill="F2F6F8"/>
          </w:tcPr>
          <w:p>
            <w:pPr>
              <w:spacing w:after="20"/>
            </w:pPr>
            <w:r/>
            <w:r>
              <w:rPr>
                <w:b w:val="0"/>
                <w:sz w:val="15"/>
              </w:rPr>
              <w:t>Retained as a candidate concept, not accepted as validated.</w:t>
            </w:r>
          </w:p>
        </w:tc>
      </w:tr>
      <w:tr>
        <w:tc>
          <w:tcPr>
            <w:tcW w:type="dxa" w:w="4997"/>
            <w:vAlign w:val="center"/>
          </w:tcPr>
          <w:p>
            <w:pPr>
              <w:spacing w:after="20"/>
            </w:pPr>
            <w:r/>
            <w:r>
              <w:rPr>
                <w:b w:val="0"/>
                <w:sz w:val="15"/>
              </w:rPr>
              <w:t>Days-to-crisis</w:t>
            </w:r>
          </w:p>
        </w:tc>
        <w:tc>
          <w:tcPr>
            <w:tcW w:type="dxa" w:w="4997"/>
            <w:vAlign w:val="center"/>
          </w:tcPr>
          <w:p>
            <w:pPr>
              <w:spacing w:after="20"/>
            </w:pPr>
            <w:r/>
            <w:r>
              <w:rPr>
                <w:b w:val="0"/>
                <w:sz w:val="15"/>
              </w:rPr>
              <w:t>Deferred until target definition and validation prove it defensible.</w:t>
            </w:r>
          </w:p>
        </w:tc>
      </w:tr>
      <w:tr>
        <w:tc>
          <w:tcPr>
            <w:tcW w:type="dxa" w:w="4997"/>
            <w:vAlign w:val="center"/>
            <w:shd w:fill="F2F6F8"/>
          </w:tcPr>
          <w:p>
            <w:pPr>
              <w:spacing w:after="20"/>
            </w:pPr>
            <w:r/>
            <w:r>
              <w:rPr>
                <w:b w:val="0"/>
                <w:sz w:val="15"/>
              </w:rPr>
              <w:t>LSTM model</w:t>
            </w:r>
          </w:p>
        </w:tc>
        <w:tc>
          <w:tcPr>
            <w:tcW w:type="dxa" w:w="4997"/>
            <w:vAlign w:val="center"/>
            <w:shd w:fill="F2F6F8"/>
          </w:tcPr>
          <w:p>
            <w:pPr>
              <w:spacing w:after="20"/>
            </w:pPr>
            <w:r/>
            <w:r>
              <w:rPr>
                <w:b w:val="0"/>
                <w:sz w:val="15"/>
              </w:rPr>
              <w:t>Candidate method only; must beat baselines and pass scientific gates.</w:t>
            </w:r>
          </w:p>
        </w:tc>
      </w:tr>
      <w:tr>
        <w:tc>
          <w:tcPr>
            <w:tcW w:type="dxa" w:w="4997"/>
            <w:vAlign w:val="center"/>
          </w:tcPr>
          <w:p>
            <w:pPr>
              <w:spacing w:after="20"/>
            </w:pPr>
            <w:r/>
            <w:r>
              <w:rPr>
                <w:b w:val="0"/>
                <w:sz w:val="15"/>
              </w:rPr>
              <w:t>JJM, ABY, MGNREGA/Amrit Sarovar</w:t>
            </w:r>
          </w:p>
        </w:tc>
        <w:tc>
          <w:tcPr>
            <w:tcW w:type="dxa" w:w="4997"/>
            <w:vAlign w:val="center"/>
          </w:tcPr>
          <w:p>
            <w:pPr>
              <w:spacing w:after="20"/>
            </w:pPr>
            <w:r/>
            <w:r>
              <w:rPr>
                <w:b w:val="0"/>
                <w:sz w:val="15"/>
              </w:rPr>
              <w:t>Retained as catalogue candidates; mappings and eligibility must be verified against current official rules.</w:t>
            </w:r>
          </w:p>
        </w:tc>
      </w:tr>
      <w:tr>
        <w:tc>
          <w:tcPr>
            <w:tcW w:type="dxa" w:w="4997"/>
            <w:vAlign w:val="center"/>
            <w:shd w:fill="F2F6F8"/>
          </w:tcPr>
          <w:p>
            <w:pPr>
              <w:spacing w:after="20"/>
            </w:pPr>
            <w:r/>
            <w:r>
              <w:rPr>
                <w:b w:val="0"/>
                <w:sz w:val="15"/>
              </w:rPr>
              <w:t>Hindi WhatsApp/SMS</w:t>
            </w:r>
          </w:p>
        </w:tc>
        <w:tc>
          <w:tcPr>
            <w:tcW w:type="dxa" w:w="4997"/>
            <w:vAlign w:val="center"/>
            <w:shd w:fill="F2F6F8"/>
          </w:tcPr>
          <w:p>
            <w:pPr>
              <w:spacing w:after="20"/>
            </w:pPr>
            <w:r/>
            <w:r>
              <w:rPr>
                <w:b w:val="0"/>
                <w:sz w:val="15"/>
              </w:rPr>
              <w:t>Retained subject to provider, consent/notice, operational policy and cost checks.</w:t>
            </w:r>
          </w:p>
        </w:tc>
      </w:tr>
      <w:tr>
        <w:tc>
          <w:tcPr>
            <w:tcW w:type="dxa" w:w="4997"/>
            <w:vAlign w:val="center"/>
          </w:tcPr>
          <w:p>
            <w:pPr>
              <w:spacing w:after="20"/>
            </w:pPr>
            <w:r/>
            <w:r>
              <w:rPr>
                <w:b w:val="0"/>
                <w:sz w:val="15"/>
              </w:rPr>
              <w:t>Python/GEE/PostGIS/PyTorch/Streamlit/Celery/Redis/Twilio</w:t>
            </w:r>
          </w:p>
        </w:tc>
        <w:tc>
          <w:tcPr>
            <w:tcW w:type="dxa" w:w="4997"/>
            <w:vAlign w:val="center"/>
          </w:tcPr>
          <w:p>
            <w:pPr>
              <w:spacing w:after="20"/>
            </w:pPr>
            <w:r/>
            <w:r>
              <w:rPr>
                <w:b w:val="0"/>
                <w:sz w:val="15"/>
              </w:rPr>
              <w:t>Recorded as proposed stack; technical design and access constraints require validation.</w:t>
            </w:r>
          </w:p>
        </w:tc>
      </w:tr>
    </w:tbl>
    <w:p/>
    <w:p>
      <w:pPr>
        <w:pStyle w:val="Heading1"/>
        <w:keepNext/>
      </w:pPr>
      <w:r>
        <w:t>Appendix B — Glossary</w:t>
      </w:r>
    </w:p>
    <w:tbl>
      <w:tblPr>
        <w:tblStyle w:val="TableGrid"/>
        <w:tblW w:type="auto" w:w="0"/>
        <w:tblLayout w:type="autofit"/>
        <w:tblLook w:firstColumn="1" w:firstRow="1" w:lastColumn="0" w:lastRow="0" w:noHBand="0" w:noVBand="1" w:val="04A0"/>
      </w:tblPr>
      <w:tblGrid>
        <w:gridCol w:w="4997"/>
        <w:gridCol w:w="4997"/>
      </w:tblGrid>
      <w:tr>
        <w:tc>
          <w:tcPr>
            <w:tcW w:type="dxa" w:w="4997"/>
            <w:vAlign w:val="center"/>
            <w:shd w:fill="123B5D"/>
          </w:tcPr>
          <w:p>
            <w:pPr>
              <w:spacing w:after="20"/>
            </w:pPr>
            <w:r/>
            <w:r>
              <w:rPr>
                <w:b/>
                <w:color w:val="FFFFFF"/>
                <w:sz w:val="16"/>
              </w:rPr>
              <w:t>Term</w:t>
            </w:r>
          </w:p>
        </w:tc>
        <w:tc>
          <w:tcPr>
            <w:tcW w:type="dxa" w:w="4997"/>
            <w:vAlign w:val="center"/>
            <w:shd w:fill="123B5D"/>
          </w:tcPr>
          <w:p>
            <w:pPr>
              <w:spacing w:after="20"/>
            </w:pPr>
            <w:r/>
            <w:r>
              <w:rPr>
                <w:b/>
                <w:color w:val="FFFFFF"/>
                <w:sz w:val="16"/>
              </w:rPr>
              <w:t>Meaning in this PRD</w:t>
            </w:r>
          </w:p>
        </w:tc>
      </w:tr>
      <w:tr>
        <w:tc>
          <w:tcPr>
            <w:tcW w:type="dxa" w:w="4997"/>
            <w:vAlign w:val="center"/>
          </w:tcPr>
          <w:p>
            <w:pPr>
              <w:spacing w:after="20"/>
            </w:pPr>
            <w:r/>
            <w:r>
              <w:rPr>
                <w:b w:val="0"/>
                <w:sz w:val="15"/>
              </w:rPr>
              <w:t>Groundwater level</w:t>
            </w:r>
          </w:p>
        </w:tc>
        <w:tc>
          <w:tcPr>
            <w:tcW w:type="dxa" w:w="4997"/>
            <w:vAlign w:val="center"/>
          </w:tcPr>
          <w:p>
            <w:pPr>
              <w:spacing w:after="20"/>
            </w:pPr>
            <w:r/>
            <w:r>
              <w:rPr>
                <w:b w:val="0"/>
                <w:sz w:val="15"/>
              </w:rPr>
              <w:t>Measured depth to water or hydraulic head at a specified observation location and time; not directly synonymous with satellite total-water-storage anomaly.</w:t>
            </w:r>
          </w:p>
        </w:tc>
      </w:tr>
      <w:tr>
        <w:tc>
          <w:tcPr>
            <w:tcW w:type="dxa" w:w="4997"/>
            <w:vAlign w:val="center"/>
            <w:shd w:fill="F2F6F8"/>
          </w:tcPr>
          <w:p>
            <w:pPr>
              <w:spacing w:after="20"/>
            </w:pPr>
            <w:r/>
            <w:r>
              <w:rPr>
                <w:b w:val="0"/>
                <w:sz w:val="15"/>
              </w:rPr>
              <w:t>TWS / TWSA</w:t>
            </w:r>
          </w:p>
        </w:tc>
        <w:tc>
          <w:tcPr>
            <w:tcW w:type="dxa" w:w="4997"/>
            <w:vAlign w:val="center"/>
            <w:shd w:fill="F2F6F8"/>
          </w:tcPr>
          <w:p>
            <w:pPr>
              <w:spacing w:after="20"/>
            </w:pPr>
            <w:r/>
            <w:r>
              <w:rPr>
                <w:b w:val="0"/>
                <w:sz w:val="15"/>
              </w:rPr>
              <w:t>Terrestrial water storage / anomaly, representing changes in total water stored across components, depending on product definition.</w:t>
            </w:r>
          </w:p>
        </w:tc>
      </w:tr>
      <w:tr>
        <w:tc>
          <w:tcPr>
            <w:tcW w:type="dxa" w:w="4997"/>
            <w:vAlign w:val="center"/>
          </w:tcPr>
          <w:p>
            <w:pPr>
              <w:spacing w:after="20"/>
            </w:pPr>
            <w:r/>
            <w:r>
              <w:rPr>
                <w:b w:val="0"/>
                <w:sz w:val="15"/>
              </w:rPr>
              <w:t>NDVI</w:t>
            </w:r>
          </w:p>
        </w:tc>
        <w:tc>
          <w:tcPr>
            <w:tcW w:type="dxa" w:w="4997"/>
            <w:vAlign w:val="center"/>
          </w:tcPr>
          <w:p>
            <w:pPr>
              <w:spacing w:after="20"/>
            </w:pPr>
            <w:r/>
            <w:r>
              <w:rPr>
                <w:b w:val="0"/>
                <w:sz w:val="15"/>
              </w:rPr>
              <w:t>Normalized Difference Vegetation Index; vegetation-condition proxy affected by season, land cover, cloud and management.</w:t>
            </w:r>
          </w:p>
        </w:tc>
      </w:tr>
      <w:tr>
        <w:tc>
          <w:tcPr>
            <w:tcW w:type="dxa" w:w="4997"/>
            <w:vAlign w:val="center"/>
            <w:shd w:fill="F2F6F8"/>
          </w:tcPr>
          <w:p>
            <w:pPr>
              <w:spacing w:after="20"/>
            </w:pPr>
            <w:r/>
            <w:r>
              <w:rPr>
                <w:b w:val="0"/>
                <w:sz w:val="15"/>
              </w:rPr>
              <w:t>ET</w:t>
            </w:r>
          </w:p>
        </w:tc>
        <w:tc>
          <w:tcPr>
            <w:tcW w:type="dxa" w:w="4997"/>
            <w:vAlign w:val="center"/>
            <w:shd w:fill="F2F6F8"/>
          </w:tcPr>
          <w:p>
            <w:pPr>
              <w:spacing w:after="20"/>
            </w:pPr>
            <w:r/>
            <w:r>
              <w:rPr>
                <w:b w:val="0"/>
                <w:sz w:val="15"/>
              </w:rPr>
              <w:t>Evapotranspiration; water flux estimate whose product scale, QA and units must be respected.</w:t>
            </w:r>
          </w:p>
        </w:tc>
      </w:tr>
      <w:tr>
        <w:tc>
          <w:tcPr>
            <w:tcW w:type="dxa" w:w="4997"/>
            <w:vAlign w:val="center"/>
          </w:tcPr>
          <w:p>
            <w:pPr>
              <w:spacing w:after="20"/>
            </w:pPr>
            <w:r/>
            <w:r>
              <w:rPr>
                <w:b w:val="0"/>
                <w:sz w:val="15"/>
              </w:rPr>
              <w:t>Soil moisture</w:t>
            </w:r>
          </w:p>
        </w:tc>
        <w:tc>
          <w:tcPr>
            <w:tcW w:type="dxa" w:w="4997"/>
            <w:vAlign w:val="center"/>
          </w:tcPr>
          <w:p>
            <w:pPr>
              <w:spacing w:after="20"/>
            </w:pPr>
            <w:r/>
            <w:r>
              <w:rPr>
                <w:b w:val="0"/>
                <w:sz w:val="15"/>
              </w:rPr>
              <w:t>Water content in soil layers represented by a particular product; not a direct aquifer measurement.</w:t>
            </w:r>
          </w:p>
        </w:tc>
      </w:tr>
      <w:tr>
        <w:tc>
          <w:tcPr>
            <w:tcW w:type="dxa" w:w="4997"/>
            <w:vAlign w:val="center"/>
            <w:shd w:fill="F2F6F8"/>
          </w:tcPr>
          <w:p>
            <w:pPr>
              <w:spacing w:after="20"/>
            </w:pPr>
            <w:r/>
            <w:r>
              <w:rPr>
                <w:b w:val="0"/>
                <w:sz w:val="15"/>
              </w:rPr>
              <w:t>Calibration</w:t>
            </w:r>
          </w:p>
        </w:tc>
        <w:tc>
          <w:tcPr>
            <w:tcW w:type="dxa" w:w="4997"/>
            <w:vAlign w:val="center"/>
            <w:shd w:fill="F2F6F8"/>
          </w:tcPr>
          <w:p>
            <w:pPr>
              <w:spacing w:after="20"/>
            </w:pPr>
            <w:r/>
            <w:r>
              <w:rPr>
                <w:b w:val="0"/>
                <w:sz w:val="15"/>
              </w:rPr>
              <w:t>Assessment/adjustment of predictions or probabilities against observed outcomes.</w:t>
            </w:r>
          </w:p>
        </w:tc>
      </w:tr>
      <w:tr>
        <w:tc>
          <w:tcPr>
            <w:tcW w:type="dxa" w:w="4997"/>
            <w:vAlign w:val="center"/>
          </w:tcPr>
          <w:p>
            <w:pPr>
              <w:spacing w:after="20"/>
            </w:pPr>
            <w:r/>
            <w:r>
              <w:rPr>
                <w:b w:val="0"/>
                <w:sz w:val="15"/>
              </w:rPr>
              <w:t>Data lineage</w:t>
            </w:r>
          </w:p>
        </w:tc>
        <w:tc>
          <w:tcPr>
            <w:tcW w:type="dxa" w:w="4997"/>
            <w:vAlign w:val="center"/>
          </w:tcPr>
          <w:p>
            <w:pPr>
              <w:spacing w:after="20"/>
            </w:pPr>
            <w:r/>
            <w:r>
              <w:rPr>
                <w:b w:val="0"/>
                <w:sz w:val="15"/>
              </w:rPr>
              <w:t>Traceable record of where data came from and how it was transformed.</w:t>
            </w:r>
          </w:p>
        </w:tc>
      </w:tr>
      <w:tr>
        <w:tc>
          <w:tcPr>
            <w:tcW w:type="dxa" w:w="4997"/>
            <w:vAlign w:val="center"/>
            <w:shd w:fill="F2F6F8"/>
          </w:tcPr>
          <w:p>
            <w:pPr>
              <w:spacing w:after="20"/>
            </w:pPr>
            <w:r/>
            <w:r>
              <w:rPr>
                <w:b w:val="0"/>
                <w:sz w:val="15"/>
              </w:rPr>
              <w:t>Shadow mode</w:t>
            </w:r>
          </w:p>
        </w:tc>
        <w:tc>
          <w:tcPr>
            <w:tcW w:type="dxa" w:w="4997"/>
            <w:vAlign w:val="center"/>
            <w:shd w:fill="F2F6F8"/>
          </w:tcPr>
          <w:p>
            <w:pPr>
              <w:spacing w:after="20"/>
            </w:pPr>
            <w:r/>
            <w:r>
              <w:rPr>
                <w:b w:val="0"/>
                <w:sz w:val="15"/>
              </w:rPr>
              <w:t>Generate and review candidate signals without sending operational alerts.</w:t>
            </w:r>
          </w:p>
        </w:tc>
      </w:tr>
      <w:tr>
        <w:tc>
          <w:tcPr>
            <w:tcW w:type="dxa" w:w="4997"/>
            <w:vAlign w:val="center"/>
          </w:tcPr>
          <w:p>
            <w:pPr>
              <w:spacing w:after="20"/>
            </w:pPr>
            <w:r/>
            <w:r>
              <w:rPr>
                <w:b w:val="0"/>
                <w:sz w:val="15"/>
              </w:rPr>
              <w:t>Insufficient evidence</w:t>
            </w:r>
          </w:p>
        </w:tc>
        <w:tc>
          <w:tcPr>
            <w:tcW w:type="dxa" w:w="4997"/>
            <w:vAlign w:val="center"/>
          </w:tcPr>
          <w:p>
            <w:pPr>
              <w:spacing w:after="20"/>
            </w:pPr>
            <w:r/>
            <w:r>
              <w:rPr>
                <w:b w:val="0"/>
                <w:sz w:val="15"/>
              </w:rPr>
              <w:t>A valid product state when required data, quality or validation conditions are not met.</w:t>
            </w:r>
          </w:p>
        </w:tc>
      </w:tr>
    </w:tbl>
    <w:p/>
    <w:p>
      <w:pPr>
        <w:pStyle w:val="Heading1"/>
        <w:keepNext/>
      </w:pPr>
      <w:r>
        <w:t>Appendix C — Suggested Artifacts Before Production</w:t>
      </w:r>
    </w:p>
    <w:p>
      <w:pPr>
        <w:pStyle w:val="ListBullet"/>
        <w:spacing w:after="40"/>
      </w:pPr>
      <w:r>
        <w:t>Pilot charter and stakeholder RACI.</w:t>
      </w:r>
    </w:p>
    <w:p>
      <w:pPr>
        <w:pStyle w:val="ListBullet"/>
        <w:spacing w:after="40"/>
      </w:pPr>
      <w:r>
        <w:t>Data inventory, source access evidence and data-use/terms review.</w:t>
      </w:r>
    </w:p>
    <w:p>
      <w:pPr>
        <w:pStyle w:val="ListBullet"/>
        <w:spacing w:after="40"/>
      </w:pPr>
      <w:r>
        <w:t>Scientific methods note and model card for each approved indicator/model.</w:t>
      </w:r>
    </w:p>
    <w:p>
      <w:pPr>
        <w:pStyle w:val="ListBullet"/>
        <w:spacing w:after="40"/>
      </w:pPr>
      <w:r>
        <w:t>Retrospective validation report with baseline comparison and limitations.</w:t>
      </w:r>
    </w:p>
    <w:p>
      <w:pPr>
        <w:pStyle w:val="ListBullet"/>
        <w:spacing w:after="40"/>
      </w:pPr>
      <w:r>
        <w:t>Scheme catalogue with official sources and verification dates.</w:t>
      </w:r>
    </w:p>
    <w:p>
      <w:pPr>
        <w:pStyle w:val="ListBullet"/>
        <w:spacing w:after="40"/>
      </w:pPr>
      <w:r>
        <w:t>Hindi message style guide and user comprehension test results.</w:t>
      </w:r>
    </w:p>
    <w:p>
      <w:pPr>
        <w:pStyle w:val="ListBullet"/>
        <w:spacing w:after="40"/>
      </w:pPr>
      <w:r>
        <w:t>Threat model, privacy/data inventory, retention schedule and incident response plan.</w:t>
      </w:r>
    </w:p>
    <w:p>
      <w:pPr>
        <w:pStyle w:val="ListBullet"/>
        <w:spacing w:after="40"/>
      </w:pPr>
      <w:r>
        <w:t>Operational runbooks for ingestion failure, stale data, model rollback, message-provider outage and erroneous alert.</w:t>
      </w:r>
    </w:p>
    <w:p>
      <w:pPr>
        <w:pStyle w:val="ListBullet"/>
        <w:spacing w:after="40"/>
      </w:pPr>
      <w:r>
        <w:t>Monitoring dashboard, cost model and scale-up decision template.</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Confidential working draft • Version 1.0 • 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JALDRISHTI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JalDrishti — Exhaustive Product Requirements Document</dc:title>
  <dc:subject>Groundwater early warning and governance support platform</dc:subject>
  <dc:creator>OpenAI</dc:creator>
  <cp:keywords>JalDrishti, PRD, groundwater, geospatial, remote sensing, Madhya Pradesh</cp:keywords>
  <dc:description>generated by python-docx</dc:description>
  <cp:lastModifiedBy/>
  <cp:revision>1</cp:revision>
  <dcterms:created xsi:type="dcterms:W3CDTF">2013-12-23T23:15:00Z</dcterms:created>
  <dcterms:modified xsi:type="dcterms:W3CDTF">2013-12-23T23:15:00Z</dcterms:modified>
  <cp:category/>
</cp:coreProperties>
</file>