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Nirmala UI" w:hAnsi="Nirmala UI"/>
          <w:b/>
          <w:color w:val="176B87"/>
          <w:sz w:val="54"/>
        </w:rPr>
        <w:t>जलदृष्टि</w:t>
      </w:r>
    </w:p>
    <w:p>
      <w:pPr>
        <w:pStyle w:val="Title"/>
        <w:jc w:val="center"/>
      </w:pPr>
      <w:r>
        <w:t>JalDrishti</w:t>
      </w:r>
    </w:p>
    <w:p>
      <w:pPr>
        <w:jc w:val="center"/>
      </w:pPr>
      <w:r>
        <w:rPr>
          <w:b/>
          <w:color w:val="123B5D"/>
          <w:sz w:val="36"/>
        </w:rPr>
        <w:t>Technical Requirements Document (TRD)</w:t>
      </w:r>
    </w:p>
    <w:p>
      <w:pPr>
        <w:jc w:val="center"/>
      </w:pPr>
      <w:r>
        <w:rPr>
          <w:i/>
        </w:rPr>
        <w:t>System architecture, data engineering, geospatial processing, model governance, APIs and operations</w:t>
      </w:r>
    </w:p>
    <w:p/>
    <w:tbl>
      <w:tblPr>
        <w:tblStyle w:val="TableGrid"/>
        <w:tblW w:type="auto" w:w="0"/>
        <w:tblLook w:firstColumn="1" w:firstRow="1" w:lastColumn="0" w:lastRow="0" w:noHBand="0" w:noVBand="1" w:val="04A0"/>
      </w:tblPr>
      <w:tblGrid>
        <w:gridCol w:w="5040"/>
        <w:gridCol w:w="5040"/>
      </w:tblGrid>
      <w:tr>
        <w:tc>
          <w:tcPr>
            <w:tcW w:type="dxa" w:w="5040"/>
            <w:vAlign w:val="center"/>
            <w:shd w:fill="123B5D"/>
          </w:tcPr>
          <w:p>
            <w:pPr>
              <w:spacing w:after="0"/>
            </w:pPr>
            <w:r/>
            <w:r>
              <w:rPr>
                <w:b/>
                <w:color w:val="FFFFFF"/>
                <w:sz w:val="16"/>
              </w:rPr>
              <w:t>Document field</w:t>
            </w:r>
          </w:p>
        </w:tc>
        <w:tc>
          <w:tcPr>
            <w:tcW w:type="dxa" w:w="5040"/>
            <w:vAlign w:val="center"/>
            <w:shd w:fill="123B5D"/>
          </w:tcPr>
          <w:p>
            <w:pPr>
              <w:spacing w:after="0"/>
            </w:pPr>
            <w:r/>
            <w:r>
              <w:rPr>
                <w:b/>
                <w:color w:val="FFFFFF"/>
                <w:sz w:val="16"/>
              </w:rPr>
              <w:t>Value</w:t>
            </w:r>
          </w:p>
        </w:tc>
      </w:tr>
      <w:tr>
        <w:tc>
          <w:tcPr>
            <w:tcW w:type="dxa" w:w="5040"/>
            <w:vAlign w:val="center"/>
          </w:tcPr>
          <w:p>
            <w:pPr>
              <w:spacing w:after="0"/>
            </w:pPr>
            <w:r/>
            <w:r>
              <w:rPr>
                <w:b w:val="0"/>
                <w:sz w:val="15"/>
              </w:rPr>
              <w:t>Version</w:t>
            </w:r>
          </w:p>
        </w:tc>
        <w:tc>
          <w:tcPr>
            <w:tcW w:type="dxa" w:w="5040"/>
            <w:vAlign w:val="center"/>
          </w:tcPr>
          <w:p>
            <w:pPr>
              <w:spacing w:after="0"/>
            </w:pPr>
            <w:r/>
            <w:r>
              <w:rPr>
                <w:b w:val="0"/>
                <w:sz w:val="15"/>
              </w:rPr>
              <w:t>1.0 — exhaustive technical working draft</w:t>
            </w:r>
          </w:p>
        </w:tc>
      </w:tr>
      <w:tr>
        <w:tc>
          <w:tcPr>
            <w:tcW w:type="dxa" w:w="5040"/>
            <w:vAlign w:val="center"/>
            <w:shd w:fill="F2F6F8"/>
          </w:tcPr>
          <w:p>
            <w:pPr>
              <w:spacing w:after="0"/>
            </w:pPr>
            <w:r/>
            <w:r>
              <w:rPr>
                <w:b w:val="0"/>
                <w:sz w:val="15"/>
              </w:rPr>
              <w:t>Date</w:t>
            </w:r>
          </w:p>
        </w:tc>
        <w:tc>
          <w:tcPr>
            <w:tcW w:type="dxa" w:w="5040"/>
            <w:vAlign w:val="center"/>
            <w:shd w:fill="F2F6F8"/>
          </w:tcPr>
          <w:p>
            <w:pPr>
              <w:spacing w:after="0"/>
            </w:pPr>
            <w:r/>
            <w:r>
              <w:rPr>
                <w:b w:val="0"/>
                <w:sz w:val="15"/>
              </w:rPr>
              <w:t>9 October 2026</w:t>
            </w:r>
          </w:p>
        </w:tc>
      </w:tr>
      <w:tr>
        <w:tc>
          <w:tcPr>
            <w:tcW w:type="dxa" w:w="5040"/>
            <w:vAlign w:val="center"/>
          </w:tcPr>
          <w:p>
            <w:pPr>
              <w:spacing w:after="0"/>
            </w:pPr>
            <w:r/>
            <w:r>
              <w:rPr>
                <w:b w:val="0"/>
                <w:sz w:val="15"/>
              </w:rPr>
              <w:t>Product</w:t>
            </w:r>
          </w:p>
        </w:tc>
        <w:tc>
          <w:tcPr>
            <w:tcW w:type="dxa" w:w="5040"/>
            <w:vAlign w:val="center"/>
          </w:tcPr>
          <w:p>
            <w:pPr>
              <w:spacing w:after="0"/>
            </w:pPr>
            <w:r/>
            <w:r>
              <w:rPr>
                <w:b w:val="0"/>
                <w:sz w:val="15"/>
              </w:rPr>
              <w:t>JalDrishti (जलदृष्टि)</w:t>
            </w:r>
          </w:p>
        </w:tc>
      </w:tr>
      <w:tr>
        <w:tc>
          <w:tcPr>
            <w:tcW w:type="dxa" w:w="5040"/>
            <w:vAlign w:val="center"/>
            <w:shd w:fill="F2F6F8"/>
          </w:tcPr>
          <w:p>
            <w:pPr>
              <w:spacing w:after="0"/>
            </w:pPr>
            <w:r/>
            <w:r>
              <w:rPr>
                <w:b w:val="0"/>
                <w:sz w:val="15"/>
              </w:rPr>
              <w:t>Baseline</w:t>
            </w:r>
          </w:p>
        </w:tc>
        <w:tc>
          <w:tcPr>
            <w:tcW w:type="dxa" w:w="5040"/>
            <w:vAlign w:val="center"/>
            <w:shd w:fill="F2F6F8"/>
          </w:tcPr>
          <w:p>
            <w:pPr>
              <w:spacing w:after="0"/>
            </w:pPr>
            <w:r/>
            <w:r>
              <w:rPr>
                <w:b w:val="0"/>
                <w:sz w:val="15"/>
              </w:rPr>
              <w:t>User-provided JalDrishti PRD/TRD and product requirements</w:t>
            </w:r>
          </w:p>
        </w:tc>
      </w:tr>
      <w:tr>
        <w:tc>
          <w:tcPr>
            <w:tcW w:type="dxa" w:w="5040"/>
            <w:vAlign w:val="center"/>
          </w:tcPr>
          <w:p>
            <w:pPr>
              <w:spacing w:after="0"/>
            </w:pPr>
            <w:r/>
            <w:r>
              <w:rPr>
                <w:b w:val="0"/>
                <w:sz w:val="15"/>
              </w:rPr>
              <w:t>Pilot</w:t>
            </w:r>
          </w:p>
        </w:tc>
        <w:tc>
          <w:tcPr>
            <w:tcW w:type="dxa" w:w="5040"/>
            <w:vAlign w:val="center"/>
          </w:tcPr>
          <w:p>
            <w:pPr>
              <w:spacing w:after="0"/>
            </w:pPr>
            <w:r/>
            <w:r>
              <w:rPr>
                <w:b w:val="0"/>
                <w:sz w:val="15"/>
              </w:rPr>
              <w:t>Bundelkhand region, Madhya Pradesh; exact districts/blocks pending approval</w:t>
            </w:r>
          </w:p>
        </w:tc>
      </w:tr>
      <w:tr>
        <w:tc>
          <w:tcPr>
            <w:tcW w:type="dxa" w:w="5040"/>
            <w:vAlign w:val="center"/>
            <w:shd w:fill="F2F6F8"/>
          </w:tcPr>
          <w:p>
            <w:pPr>
              <w:spacing w:after="0"/>
            </w:pPr>
            <w:r/>
            <w:r>
              <w:rPr>
                <w:b w:val="0"/>
                <w:sz w:val="15"/>
              </w:rPr>
              <w:t>Proposed stack</w:t>
            </w:r>
          </w:p>
        </w:tc>
        <w:tc>
          <w:tcPr>
            <w:tcW w:type="dxa" w:w="5040"/>
            <w:vAlign w:val="center"/>
            <w:shd w:fill="F2F6F8"/>
          </w:tcPr>
          <w:p>
            <w:pPr>
              <w:spacing w:after="0"/>
            </w:pPr>
            <w:r/>
            <w:r>
              <w:rPr>
                <w:b w:val="0"/>
                <w:sz w:val="15"/>
              </w:rPr>
              <w:t>Python, Google Earth Engine, PostgreSQL/PostGIS, PyTorch, Streamlit, Celery, Redis, messaging provider; choices remain subject to validation</w:t>
            </w:r>
          </w:p>
        </w:tc>
      </w:tr>
      <w:tr>
        <w:tc>
          <w:tcPr>
            <w:tcW w:type="dxa" w:w="5040"/>
            <w:vAlign w:val="center"/>
          </w:tcPr>
          <w:p>
            <w:pPr>
              <w:spacing w:after="0"/>
            </w:pPr>
            <w:r/>
            <w:r>
              <w:rPr>
                <w:b w:val="0"/>
                <w:sz w:val="15"/>
              </w:rPr>
              <w:t>Status</w:t>
            </w:r>
          </w:p>
        </w:tc>
        <w:tc>
          <w:tcPr>
            <w:tcW w:type="dxa" w:w="5040"/>
            <w:vAlign w:val="center"/>
          </w:tcPr>
          <w:p>
            <w:pPr>
              <w:spacing w:after="0"/>
            </w:pPr>
            <w:r/>
            <w:r>
              <w:rPr>
                <w:b w:val="0"/>
                <w:sz w:val="15"/>
              </w:rPr>
              <w:t>Proposed technical requirements; not evidence of deployed software or confirmed data access</w:t>
            </w:r>
          </w:p>
        </w:tc>
      </w:tr>
    </w:tbl>
    <w:p/>
    <w:p>
      <w:pPr>
        <w:spacing w:before="560"/>
        <w:jc w:val="center"/>
      </w:pPr>
      <w:r>
        <w:rPr>
          <w:b/>
          <w:color w:val="B45309"/>
          <w:sz w:val="24"/>
        </w:rPr>
        <w:t>SCIENTIFIC AND OPERATIONAL SAFETY GATE</w:t>
      </w:r>
    </w:p>
    <w:p>
      <w:pPr>
        <w:jc w:val="center"/>
      </w:pPr>
      <w:r>
        <w:t>Do not deploy the source GSS or days-to-crisis equations as authoritative production logic without an approved target definition, independent ground-truth validation, uncertainty analysis and human-governance approval.</w:t>
      </w:r>
    </w:p>
    <w:p>
      <w:r>
        <w:br w:type="page"/>
      </w:r>
    </w:p>
    <w:p>
      <w:pPr>
        <w:pStyle w:val="Heading1"/>
        <w:keepNext/>
      </w:pPr>
      <w:r>
        <w:t>Document Control &amp; Interpretation</w:t>
      </w:r>
    </w:p>
    <w:tbl>
      <w:tblPr>
        <w:tblStyle w:val="TableGrid"/>
        <w:tblW w:type="auto" w:w="0"/>
        <w:tblLook w:firstColumn="1" w:firstRow="1" w:lastColumn="0" w:lastRow="0" w:noHBand="0" w:noVBand="1" w:val="04A0"/>
      </w:tblPr>
      <w:tblGrid>
        <w:gridCol w:w="5040"/>
        <w:gridCol w:w="5040"/>
      </w:tblGrid>
      <w:tr>
        <w:tc>
          <w:tcPr>
            <w:tcW w:type="dxa" w:w="5040"/>
            <w:vAlign w:val="center"/>
            <w:shd w:fill="123B5D"/>
          </w:tcPr>
          <w:p>
            <w:pPr>
              <w:spacing w:after="0"/>
            </w:pPr>
            <w:r/>
            <w:r>
              <w:rPr>
                <w:b/>
                <w:color w:val="FFFFFF"/>
                <w:sz w:val="16"/>
              </w:rPr>
              <w:t>Item</w:t>
            </w:r>
          </w:p>
        </w:tc>
        <w:tc>
          <w:tcPr>
            <w:tcW w:type="dxa" w:w="5040"/>
            <w:vAlign w:val="center"/>
            <w:shd w:fill="123B5D"/>
          </w:tcPr>
          <w:p>
            <w:pPr>
              <w:spacing w:after="0"/>
            </w:pPr>
            <w:r/>
            <w:r>
              <w:rPr>
                <w:b/>
                <w:color w:val="FFFFFF"/>
                <w:sz w:val="16"/>
              </w:rPr>
              <w:t>Requirement / definition</w:t>
            </w:r>
          </w:p>
        </w:tc>
      </w:tr>
      <w:tr>
        <w:tc>
          <w:tcPr>
            <w:tcW w:type="dxa" w:w="5040"/>
            <w:vAlign w:val="center"/>
          </w:tcPr>
          <w:p>
            <w:pPr>
              <w:spacing w:after="0"/>
            </w:pPr>
            <w:r/>
            <w:r>
              <w:rPr>
                <w:b w:val="0"/>
                <w:sz w:val="15"/>
              </w:rPr>
              <w:t>Purpose</w:t>
            </w:r>
          </w:p>
        </w:tc>
        <w:tc>
          <w:tcPr>
            <w:tcW w:type="dxa" w:w="5040"/>
            <w:vAlign w:val="center"/>
          </w:tcPr>
          <w:p>
            <w:pPr>
              <w:spacing w:after="0"/>
            </w:pPr>
            <w:r/>
            <w:r>
              <w:rPr>
                <w:b w:val="0"/>
                <w:sz w:val="15"/>
              </w:rPr>
              <w:t>Define implementable technical architecture, interfaces, data contracts, quality controls, deployment, testing and operational acceptance for JalDrishti.</w:t>
            </w:r>
          </w:p>
        </w:tc>
      </w:tr>
      <w:tr>
        <w:tc>
          <w:tcPr>
            <w:tcW w:type="dxa" w:w="5040"/>
            <w:vAlign w:val="center"/>
            <w:shd w:fill="F2F6F8"/>
          </w:tcPr>
          <w:p>
            <w:pPr>
              <w:spacing w:after="0"/>
            </w:pPr>
            <w:r/>
            <w:r>
              <w:rPr>
                <w:b w:val="0"/>
                <w:sz w:val="15"/>
              </w:rPr>
              <w:t>Audience</w:t>
            </w:r>
          </w:p>
        </w:tc>
        <w:tc>
          <w:tcPr>
            <w:tcW w:type="dxa" w:w="5040"/>
            <w:vAlign w:val="center"/>
            <w:shd w:fill="F2F6F8"/>
          </w:tcPr>
          <w:p>
            <w:pPr>
              <w:spacing w:after="0"/>
            </w:pPr>
            <w:r/>
            <w:r>
              <w:rPr>
                <w:b w:val="0"/>
                <w:sz w:val="15"/>
              </w:rPr>
              <w:t>Engineering, data engineering, GIS/remote sensing, ML/science, security, operations, government data owners and pilot administrators.</w:t>
            </w:r>
          </w:p>
        </w:tc>
      </w:tr>
      <w:tr>
        <w:tc>
          <w:tcPr>
            <w:tcW w:type="dxa" w:w="5040"/>
            <w:vAlign w:val="center"/>
          </w:tcPr>
          <w:p>
            <w:pPr>
              <w:spacing w:after="0"/>
            </w:pPr>
            <w:r/>
            <w:r>
              <w:rPr>
                <w:b w:val="0"/>
                <w:sz w:val="15"/>
              </w:rPr>
              <w:t>Traceability</w:t>
            </w:r>
          </w:p>
        </w:tc>
        <w:tc>
          <w:tcPr>
            <w:tcW w:type="dxa" w:w="5040"/>
            <w:vAlign w:val="center"/>
          </w:tcPr>
          <w:p>
            <w:pPr>
              <w:spacing w:after="0"/>
            </w:pPr>
            <w:r/>
            <w:r>
              <w:rPr>
                <w:b w:val="0"/>
                <w:sz w:val="15"/>
              </w:rPr>
              <w:t>Technical requirements use IDs (TR-xxx / NFR-xxx / SEC-xxx / OPS-xxx) and should map to PRD requirements.</w:t>
            </w:r>
          </w:p>
        </w:tc>
      </w:tr>
      <w:tr>
        <w:tc>
          <w:tcPr>
            <w:tcW w:type="dxa" w:w="5040"/>
            <w:vAlign w:val="center"/>
            <w:shd w:fill="F2F6F8"/>
          </w:tcPr>
          <w:p>
            <w:pPr>
              <w:spacing w:after="0"/>
            </w:pPr>
            <w:r/>
            <w:r>
              <w:rPr>
                <w:b w:val="0"/>
                <w:sz w:val="15"/>
              </w:rPr>
              <w:t>Source-derived elements</w:t>
            </w:r>
          </w:p>
        </w:tc>
        <w:tc>
          <w:tcPr>
            <w:tcW w:type="dxa" w:w="5040"/>
            <w:vAlign w:val="center"/>
            <w:shd w:fill="F2F6F8"/>
          </w:tcPr>
          <w:p>
            <w:pPr>
              <w:spacing w:after="0"/>
            </w:pPr>
            <w:r/>
            <w:r>
              <w:rPr>
                <w:b w:val="0"/>
                <w:sz w:val="15"/>
              </w:rPr>
              <w:t>The source proposes GRACE-FO, IMD precipitation, GEE datasets, CGWB well observations, spatial processing, LSTM, PostGIS, dashboard and Hindi alerts.</w:t>
            </w:r>
          </w:p>
        </w:tc>
      </w:tr>
      <w:tr>
        <w:tc>
          <w:tcPr>
            <w:tcW w:type="dxa" w:w="5040"/>
            <w:vAlign w:val="center"/>
          </w:tcPr>
          <w:p>
            <w:pPr>
              <w:spacing w:after="0"/>
            </w:pPr>
            <w:r/>
            <w:r>
              <w:rPr>
                <w:b w:val="0"/>
                <w:sz w:val="15"/>
              </w:rPr>
              <w:t>Engineering recommendations</w:t>
            </w:r>
          </w:p>
        </w:tc>
        <w:tc>
          <w:tcPr>
            <w:tcW w:type="dxa" w:w="5040"/>
            <w:vAlign w:val="center"/>
          </w:tcPr>
          <w:p>
            <w:pPr>
              <w:spacing w:after="0"/>
            </w:pPr>
            <w:r/>
            <w:r>
              <w:rPr>
                <w:b w:val="0"/>
                <w:sz w:val="15"/>
              </w:rPr>
              <w:t>Added safeguards and implementation choices are recommendations; validate with pilot owners before locking.</w:t>
            </w:r>
          </w:p>
        </w:tc>
      </w:tr>
      <w:tr>
        <w:tc>
          <w:tcPr>
            <w:tcW w:type="dxa" w:w="5040"/>
            <w:vAlign w:val="center"/>
            <w:shd w:fill="F2F6F8"/>
          </w:tcPr>
          <w:p>
            <w:pPr>
              <w:spacing w:after="0"/>
            </w:pPr>
            <w:r/>
            <w:r>
              <w:rPr>
                <w:b w:val="0"/>
                <w:sz w:val="15"/>
              </w:rPr>
              <w:t>Open dependencies</w:t>
            </w:r>
          </w:p>
        </w:tc>
        <w:tc>
          <w:tcPr>
            <w:tcW w:type="dxa" w:w="5040"/>
            <w:vAlign w:val="center"/>
            <w:shd w:fill="F2F6F8"/>
          </w:tcPr>
          <w:p>
            <w:pPr>
              <w:spacing w:after="0"/>
            </w:pPr>
            <w:r/>
            <w:r>
              <w:rPr>
                <w:b w:val="0"/>
                <w:sz w:val="15"/>
              </w:rPr>
              <w:t>Provider access, API/product availability, quotas, terms/licensing, latency, official boundary data, ground observations, hosting policy and messaging approvals are not confirmed.</w:t>
            </w:r>
          </w:p>
        </w:tc>
      </w:tr>
    </w:tbl>
    <w:p/>
    <w:p>
      <w:pPr>
        <w:pStyle w:val="Heading1"/>
        <w:keepNext/>
      </w:pPr>
      <w:r>
        <w:t>1. Technical Objectives &amp; Constraints</w:t>
      </w:r>
    </w:p>
    <w:p>
      <w:pPr>
        <w:pStyle w:val="ListBullet"/>
        <w:spacing w:after="40"/>
      </w:pPr>
      <w:r>
        <w:t>Build a reproducible pipeline that separates raw source data, quality-controlled observations, derived indicators, experimental predictions and approved operational alerts.</w:t>
      </w:r>
    </w:p>
    <w:p>
      <w:pPr>
        <w:pStyle w:val="ListBullet"/>
        <w:spacing w:after="40"/>
      </w:pPr>
      <w:r>
        <w:t>Expose data freshness, spatial/temporal support, missingness, quality flags and lineage at every layer.</w:t>
      </w:r>
    </w:p>
    <w:p>
      <w:pPr>
        <w:pStyle w:val="ListBullet"/>
        <w:spacing w:after="40"/>
      </w:pPr>
      <w:r>
        <w:t>Use a human-reviewed decision-support workflow; model outputs must not autonomously trigger public crisis declarations or sanction public works.</w:t>
      </w:r>
    </w:p>
    <w:p>
      <w:pPr>
        <w:pStyle w:val="ListBullet"/>
        <w:spacing w:after="40"/>
      </w:pPr>
      <w:r>
        <w:t>Support an initial limited pilot, then scale only after measured performance, scientific validation, cost and operations reviews.</w:t>
      </w:r>
    </w:p>
    <w:p>
      <w:pPr>
        <w:pStyle w:val="ListBullet"/>
        <w:spacing w:after="40"/>
      </w:pPr>
      <w:r>
        <w:t>Use the proposed Python/GEE/PostGIS/PyTorch/Streamlit/Celery/Redis stack as a candidate baseline—not a mandate where a simpler, safer alternative is justified.</w:t>
      </w:r>
    </w:p>
    <w:p>
      <w:pPr>
        <w:pStyle w:val="ListBullet"/>
        <w:spacing w:after="40"/>
      </w:pPr>
      <w:r>
        <w:t>Never describe satellite-only block estimates as measured groundwater depth or guaranteed remaining groundwater reserve.</w:t>
      </w:r>
    </w:p>
    <w:p>
      <w:pPr>
        <w:pStyle w:val="Heading1"/>
        <w:keepNext/>
      </w:pPr>
      <w:r>
        <w:t>2. Architecture Overview</w:t>
      </w:r>
    </w:p>
    <w:p>
      <w:r>
        <w:t>Recommended logical architecture:</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123B5D"/>
          </w:tcPr>
          <w:p>
            <w:pPr>
              <w:spacing w:after="0"/>
            </w:pPr>
            <w:r/>
            <w:r>
              <w:rPr>
                <w:b/>
                <w:color w:val="FFFFFF"/>
                <w:sz w:val="16"/>
              </w:rPr>
              <w:t>Layer</w:t>
            </w:r>
          </w:p>
        </w:tc>
        <w:tc>
          <w:tcPr>
            <w:tcW w:type="dxa" w:w="2520"/>
            <w:vAlign w:val="center"/>
            <w:shd w:fill="123B5D"/>
          </w:tcPr>
          <w:p>
            <w:pPr>
              <w:spacing w:after="0"/>
            </w:pPr>
            <w:r/>
            <w:r>
              <w:rPr>
                <w:b/>
                <w:color w:val="FFFFFF"/>
                <w:sz w:val="16"/>
              </w:rPr>
              <w:t>Components</w:t>
            </w:r>
          </w:p>
        </w:tc>
        <w:tc>
          <w:tcPr>
            <w:tcW w:type="dxa" w:w="2520"/>
            <w:vAlign w:val="center"/>
            <w:shd w:fill="123B5D"/>
          </w:tcPr>
          <w:p>
            <w:pPr>
              <w:spacing w:after="0"/>
            </w:pPr>
            <w:r/>
            <w:r>
              <w:rPr>
                <w:b/>
                <w:color w:val="FFFFFF"/>
                <w:sz w:val="16"/>
              </w:rPr>
              <w:t>Responsibilities</w:t>
            </w:r>
          </w:p>
        </w:tc>
        <w:tc>
          <w:tcPr>
            <w:tcW w:type="dxa" w:w="2520"/>
            <w:vAlign w:val="center"/>
            <w:shd w:fill="123B5D"/>
          </w:tcPr>
          <w:p>
            <w:pPr>
              <w:spacing w:after="0"/>
            </w:pPr>
            <w:r/>
            <w:r>
              <w:rPr>
                <w:b/>
                <w:color w:val="FFFFFF"/>
                <w:sz w:val="16"/>
              </w:rPr>
              <w:t>Key controls</w:t>
            </w:r>
          </w:p>
        </w:tc>
      </w:tr>
      <w:tr>
        <w:tc>
          <w:tcPr>
            <w:tcW w:type="dxa" w:w="2520"/>
            <w:vAlign w:val="center"/>
          </w:tcPr>
          <w:p>
            <w:pPr>
              <w:spacing w:after="0"/>
            </w:pPr>
            <w:r/>
            <w:r>
              <w:rPr>
                <w:b w:val="0"/>
                <w:sz w:val="15"/>
              </w:rPr>
              <w:t>Source systems</w:t>
            </w:r>
          </w:p>
        </w:tc>
        <w:tc>
          <w:tcPr>
            <w:tcW w:type="dxa" w:w="2520"/>
            <w:vAlign w:val="center"/>
          </w:tcPr>
          <w:p>
            <w:pPr>
              <w:spacing w:after="0"/>
            </w:pPr>
            <w:r/>
            <w:r>
              <w:rPr>
                <w:b w:val="0"/>
                <w:sz w:val="15"/>
              </w:rPr>
              <w:t>GRACE/GRACE-FO products; approved IMD precipitation; GEE-hosted imagery/derived products; CGWB/state well observations; approved boundaries</w:t>
            </w:r>
          </w:p>
        </w:tc>
        <w:tc>
          <w:tcPr>
            <w:tcW w:type="dxa" w:w="2520"/>
            <w:vAlign w:val="center"/>
          </w:tcPr>
          <w:p>
            <w:pPr>
              <w:spacing w:after="0"/>
            </w:pPr>
            <w:r/>
            <w:r>
              <w:rPr>
                <w:b w:val="0"/>
                <w:sz w:val="15"/>
              </w:rPr>
              <w:t>External observations and contextual datasets</w:t>
            </w:r>
          </w:p>
        </w:tc>
        <w:tc>
          <w:tcPr>
            <w:tcW w:type="dxa" w:w="2520"/>
            <w:vAlign w:val="center"/>
          </w:tcPr>
          <w:p>
            <w:pPr>
              <w:spacing w:after="0"/>
            </w:pPr>
            <w:r/>
            <w:r>
              <w:rPr>
                <w:b w:val="0"/>
                <w:sz w:val="15"/>
              </w:rPr>
              <w:t>Source registry, terms review, version and latency tracking</w:t>
            </w:r>
          </w:p>
        </w:tc>
      </w:tr>
      <w:tr>
        <w:tc>
          <w:tcPr>
            <w:tcW w:type="dxa" w:w="2520"/>
            <w:vAlign w:val="center"/>
            <w:shd w:fill="F2F6F8"/>
          </w:tcPr>
          <w:p>
            <w:pPr>
              <w:spacing w:after="0"/>
            </w:pPr>
            <w:r/>
            <w:r>
              <w:rPr>
                <w:b w:val="0"/>
                <w:sz w:val="15"/>
              </w:rPr>
              <w:t>Ingestion adapters</w:t>
            </w:r>
          </w:p>
        </w:tc>
        <w:tc>
          <w:tcPr>
            <w:tcW w:type="dxa" w:w="2520"/>
            <w:vAlign w:val="center"/>
            <w:shd w:fill="F2F6F8"/>
          </w:tcPr>
          <w:p>
            <w:pPr>
              <w:spacing w:after="0"/>
            </w:pPr>
            <w:r/>
            <w:r>
              <w:rPr>
                <w:b w:val="0"/>
                <w:sz w:val="15"/>
              </w:rPr>
              <w:t>Python connectors, scheduled jobs, Earth Engine batch exports where permitted</w:t>
            </w:r>
          </w:p>
        </w:tc>
        <w:tc>
          <w:tcPr>
            <w:tcW w:type="dxa" w:w="2520"/>
            <w:vAlign w:val="center"/>
            <w:shd w:fill="F2F6F8"/>
          </w:tcPr>
          <w:p>
            <w:pPr>
              <w:spacing w:after="0"/>
            </w:pPr>
            <w:r/>
            <w:r>
              <w:rPr>
                <w:b w:val="0"/>
                <w:sz w:val="15"/>
              </w:rPr>
              <w:t>Retrieve source data and normalize metadata</w:t>
            </w:r>
          </w:p>
        </w:tc>
        <w:tc>
          <w:tcPr>
            <w:tcW w:type="dxa" w:w="2520"/>
            <w:vAlign w:val="center"/>
            <w:shd w:fill="F2F6F8"/>
          </w:tcPr>
          <w:p>
            <w:pPr>
              <w:spacing w:after="0"/>
            </w:pPr>
            <w:r/>
            <w:r>
              <w:rPr>
                <w:b w:val="0"/>
                <w:sz w:val="15"/>
              </w:rPr>
              <w:t>Retries, quotas, idempotency, schema contracts, secret management</w:t>
            </w:r>
          </w:p>
        </w:tc>
      </w:tr>
      <w:tr>
        <w:tc>
          <w:tcPr>
            <w:tcW w:type="dxa" w:w="2520"/>
            <w:vAlign w:val="center"/>
          </w:tcPr>
          <w:p>
            <w:pPr>
              <w:spacing w:after="0"/>
            </w:pPr>
            <w:r/>
            <w:r>
              <w:rPr>
                <w:b w:val="0"/>
                <w:sz w:val="15"/>
              </w:rPr>
              <w:t>Raw/landing zone</w:t>
            </w:r>
          </w:p>
        </w:tc>
        <w:tc>
          <w:tcPr>
            <w:tcW w:type="dxa" w:w="2520"/>
            <w:vAlign w:val="center"/>
          </w:tcPr>
          <w:p>
            <w:pPr>
              <w:spacing w:after="0"/>
            </w:pPr>
            <w:r/>
            <w:r>
              <w:rPr>
                <w:b w:val="0"/>
                <w:sz w:val="15"/>
              </w:rPr>
              <w:t>Object storage or controlled filesystem; metadata catalogue</w:t>
            </w:r>
          </w:p>
        </w:tc>
        <w:tc>
          <w:tcPr>
            <w:tcW w:type="dxa" w:w="2520"/>
            <w:vAlign w:val="center"/>
          </w:tcPr>
          <w:p>
            <w:pPr>
              <w:spacing w:after="0"/>
            </w:pPr>
            <w:r/>
            <w:r>
              <w:rPr>
                <w:b w:val="0"/>
                <w:sz w:val="15"/>
              </w:rPr>
              <w:t>Retain immutable snapshots or reproducible references where licensing permits</w:t>
            </w:r>
          </w:p>
        </w:tc>
        <w:tc>
          <w:tcPr>
            <w:tcW w:type="dxa" w:w="2520"/>
            <w:vAlign w:val="center"/>
          </w:tcPr>
          <w:p>
            <w:pPr>
              <w:spacing w:after="0"/>
            </w:pPr>
            <w:r/>
            <w:r>
              <w:rPr>
                <w:b w:val="0"/>
                <w:sz w:val="15"/>
              </w:rPr>
              <w:t>Checksums, retention, access control, provenance</w:t>
            </w:r>
          </w:p>
        </w:tc>
      </w:tr>
      <w:tr>
        <w:tc>
          <w:tcPr>
            <w:tcW w:type="dxa" w:w="2520"/>
            <w:vAlign w:val="center"/>
            <w:shd w:fill="F2F6F8"/>
          </w:tcPr>
          <w:p>
            <w:pPr>
              <w:spacing w:after="0"/>
            </w:pPr>
            <w:r/>
            <w:r>
              <w:rPr>
                <w:b w:val="0"/>
                <w:sz w:val="15"/>
              </w:rPr>
              <w:t>Processing/QA</w:t>
            </w:r>
          </w:p>
        </w:tc>
        <w:tc>
          <w:tcPr>
            <w:tcW w:type="dxa" w:w="2520"/>
            <w:vAlign w:val="center"/>
            <w:shd w:fill="F2F6F8"/>
          </w:tcPr>
          <w:p>
            <w:pPr>
              <w:spacing w:after="0"/>
            </w:pPr>
            <w:r/>
            <w:r>
              <w:rPr>
                <w:b w:val="0"/>
                <w:sz w:val="15"/>
              </w:rPr>
              <w:t>Python, Xarray, Rasterio, GeoPandas, Shapely; PostGIS</w:t>
            </w:r>
          </w:p>
        </w:tc>
        <w:tc>
          <w:tcPr>
            <w:tcW w:type="dxa" w:w="2520"/>
            <w:vAlign w:val="center"/>
            <w:shd w:fill="F2F6F8"/>
          </w:tcPr>
          <w:p>
            <w:pPr>
              <w:spacing w:after="0"/>
            </w:pPr>
            <w:r/>
            <w:r>
              <w:rPr>
                <w:b w:val="0"/>
                <w:sz w:val="15"/>
              </w:rPr>
              <w:t>QA, reprojection, temporal aggregation, spatial summaries</w:t>
            </w:r>
          </w:p>
        </w:tc>
        <w:tc>
          <w:tcPr>
            <w:tcW w:type="dxa" w:w="2520"/>
            <w:vAlign w:val="center"/>
            <w:shd w:fill="F2F6F8"/>
          </w:tcPr>
          <w:p>
            <w:pPr>
              <w:spacing w:after="0"/>
            </w:pPr>
            <w:r/>
            <w:r>
              <w:rPr>
                <w:b w:val="0"/>
                <w:sz w:val="15"/>
              </w:rPr>
              <w:t>CRS validation, QA flags, no silent defaults</w:t>
            </w:r>
          </w:p>
        </w:tc>
      </w:tr>
      <w:tr>
        <w:tc>
          <w:tcPr>
            <w:tcW w:type="dxa" w:w="2520"/>
            <w:vAlign w:val="center"/>
          </w:tcPr>
          <w:p>
            <w:pPr>
              <w:spacing w:after="0"/>
            </w:pPr>
            <w:r/>
            <w:r>
              <w:rPr>
                <w:b w:val="0"/>
                <w:sz w:val="15"/>
              </w:rPr>
              <w:t>Curated data store</w:t>
            </w:r>
          </w:p>
        </w:tc>
        <w:tc>
          <w:tcPr>
            <w:tcW w:type="dxa" w:w="2520"/>
            <w:vAlign w:val="center"/>
          </w:tcPr>
          <w:p>
            <w:pPr>
              <w:spacing w:after="0"/>
            </w:pPr>
            <w:r/>
            <w:r>
              <w:rPr>
                <w:b w:val="0"/>
                <w:sz w:val="15"/>
              </w:rPr>
              <w:t>PostgreSQL + PostGIS; optional time-series partitioning</w:t>
            </w:r>
          </w:p>
        </w:tc>
        <w:tc>
          <w:tcPr>
            <w:tcW w:type="dxa" w:w="2520"/>
            <w:vAlign w:val="center"/>
          </w:tcPr>
          <w:p>
            <w:pPr>
              <w:spacing w:after="0"/>
            </w:pPr>
            <w:r/>
            <w:r>
              <w:rPr>
                <w:b w:val="0"/>
                <w:sz w:val="15"/>
              </w:rPr>
              <w:t>Administrative units, observations, indicators, lineage, review state</w:t>
            </w:r>
          </w:p>
        </w:tc>
        <w:tc>
          <w:tcPr>
            <w:tcW w:type="dxa" w:w="2520"/>
            <w:vAlign w:val="center"/>
          </w:tcPr>
          <w:p>
            <w:pPr>
              <w:spacing w:after="0"/>
            </w:pPr>
            <w:r/>
            <w:r>
              <w:rPr>
                <w:b w:val="0"/>
                <w:sz w:val="15"/>
              </w:rPr>
              <w:t>Constraints, spatial/time indexes, migrations, backup</w:t>
            </w:r>
          </w:p>
        </w:tc>
      </w:tr>
      <w:tr>
        <w:tc>
          <w:tcPr>
            <w:tcW w:type="dxa" w:w="2520"/>
            <w:vAlign w:val="center"/>
            <w:shd w:fill="F2F6F8"/>
          </w:tcPr>
          <w:p>
            <w:pPr>
              <w:spacing w:after="0"/>
            </w:pPr>
            <w:r/>
            <w:r>
              <w:rPr>
                <w:b w:val="0"/>
                <w:sz w:val="15"/>
              </w:rPr>
              <w:t>Indicator/model layer</w:t>
            </w:r>
          </w:p>
        </w:tc>
        <w:tc>
          <w:tcPr>
            <w:tcW w:type="dxa" w:w="2520"/>
            <w:vAlign w:val="center"/>
            <w:shd w:fill="F2F6F8"/>
          </w:tcPr>
          <w:p>
            <w:pPr>
              <w:spacing w:after="0"/>
            </w:pPr>
            <w:r/>
            <w:r>
              <w:rPr>
                <w:b w:val="0"/>
                <w:sz w:val="15"/>
              </w:rPr>
              <w:t>Versioned Python packages; PyTorch only if justified</w:t>
            </w:r>
          </w:p>
        </w:tc>
        <w:tc>
          <w:tcPr>
            <w:tcW w:type="dxa" w:w="2520"/>
            <w:vAlign w:val="center"/>
            <w:shd w:fill="F2F6F8"/>
          </w:tcPr>
          <w:p>
            <w:pPr>
              <w:spacing w:after="0"/>
            </w:pPr>
            <w:r/>
            <w:r>
              <w:rPr>
                <w:b w:val="0"/>
                <w:sz w:val="15"/>
              </w:rPr>
              <w:t>Descriptive indicators, baselines, model training and batch inference</w:t>
            </w:r>
          </w:p>
        </w:tc>
        <w:tc>
          <w:tcPr>
            <w:tcW w:type="dxa" w:w="2520"/>
            <w:vAlign w:val="center"/>
            <w:shd w:fill="F2F6F8"/>
          </w:tcPr>
          <w:p>
            <w:pPr>
              <w:spacing w:after="0"/>
            </w:pPr>
            <w:r/>
            <w:r>
              <w:rPr>
                <w:b w:val="0"/>
                <w:sz w:val="15"/>
              </w:rPr>
              <w:t>Model registry, validation gates, uncertainty and rollback</w:t>
            </w:r>
          </w:p>
        </w:tc>
      </w:tr>
      <w:tr>
        <w:tc>
          <w:tcPr>
            <w:tcW w:type="dxa" w:w="2520"/>
            <w:vAlign w:val="center"/>
          </w:tcPr>
          <w:p>
            <w:pPr>
              <w:spacing w:after="0"/>
            </w:pPr>
            <w:r/>
            <w:r>
              <w:rPr>
                <w:b w:val="0"/>
                <w:sz w:val="15"/>
              </w:rPr>
              <w:t>Application/API</w:t>
            </w:r>
          </w:p>
        </w:tc>
        <w:tc>
          <w:tcPr>
            <w:tcW w:type="dxa" w:w="2520"/>
            <w:vAlign w:val="center"/>
          </w:tcPr>
          <w:p>
            <w:pPr>
              <w:spacing w:after="0"/>
            </w:pPr>
            <w:r/>
            <w:r>
              <w:rPr>
                <w:b w:val="0"/>
                <w:sz w:val="15"/>
              </w:rPr>
              <w:t>Streamlit prototype or web application/API chosen at design review</w:t>
            </w:r>
          </w:p>
        </w:tc>
        <w:tc>
          <w:tcPr>
            <w:tcW w:type="dxa" w:w="2520"/>
            <w:vAlign w:val="center"/>
          </w:tcPr>
          <w:p>
            <w:pPr>
              <w:spacing w:after="0"/>
            </w:pPr>
            <w:r/>
            <w:r>
              <w:rPr>
                <w:b w:val="0"/>
                <w:sz w:val="15"/>
              </w:rPr>
              <w:t>Dashboard, filters, charts, review queues, exports</w:t>
            </w:r>
          </w:p>
        </w:tc>
        <w:tc>
          <w:tcPr>
            <w:tcW w:type="dxa" w:w="2520"/>
            <w:vAlign w:val="center"/>
          </w:tcPr>
          <w:p>
            <w:pPr>
              <w:spacing w:after="0"/>
            </w:pPr>
            <w:r/>
            <w:r>
              <w:rPr>
                <w:b w:val="0"/>
                <w:sz w:val="15"/>
              </w:rPr>
              <w:t>RBAC, cache controls, pagination, API contracts</w:t>
            </w:r>
          </w:p>
        </w:tc>
      </w:tr>
      <w:tr>
        <w:tc>
          <w:tcPr>
            <w:tcW w:type="dxa" w:w="2520"/>
            <w:vAlign w:val="center"/>
            <w:shd w:fill="F2F6F8"/>
          </w:tcPr>
          <w:p>
            <w:pPr>
              <w:spacing w:after="0"/>
            </w:pPr>
            <w:r/>
            <w:r>
              <w:rPr>
                <w:b w:val="0"/>
                <w:sz w:val="15"/>
              </w:rPr>
              <w:t>Workflow/notifications</w:t>
            </w:r>
          </w:p>
        </w:tc>
        <w:tc>
          <w:tcPr>
            <w:tcW w:type="dxa" w:w="2520"/>
            <w:vAlign w:val="center"/>
            <w:shd w:fill="F2F6F8"/>
          </w:tcPr>
          <w:p>
            <w:pPr>
              <w:spacing w:after="0"/>
            </w:pPr>
            <w:r/>
            <w:r>
              <w:rPr>
                <w:b w:val="0"/>
                <w:sz w:val="15"/>
              </w:rPr>
              <w:t>Celery + Redis or managed queue; approved WhatsApp/SMS provider</w:t>
            </w:r>
          </w:p>
        </w:tc>
        <w:tc>
          <w:tcPr>
            <w:tcW w:type="dxa" w:w="2520"/>
            <w:vAlign w:val="center"/>
            <w:shd w:fill="F2F6F8"/>
          </w:tcPr>
          <w:p>
            <w:pPr>
              <w:spacing w:after="0"/>
            </w:pPr>
            <w:r/>
            <w:r>
              <w:rPr>
                <w:b w:val="0"/>
                <w:sz w:val="15"/>
              </w:rPr>
              <w:t>Asynchronous review workflow and dispatch</w:t>
            </w:r>
          </w:p>
        </w:tc>
        <w:tc>
          <w:tcPr>
            <w:tcW w:type="dxa" w:w="2520"/>
            <w:vAlign w:val="center"/>
            <w:shd w:fill="F2F6F8"/>
          </w:tcPr>
          <w:p>
            <w:pPr>
              <w:spacing w:after="0"/>
            </w:pPr>
            <w:r/>
            <w:r>
              <w:rPr>
                <w:b w:val="0"/>
                <w:sz w:val="15"/>
              </w:rPr>
              <w:t>Approval gate, deduplication, retries, rate limits, audit</w:t>
            </w:r>
          </w:p>
        </w:tc>
      </w:tr>
      <w:tr>
        <w:tc>
          <w:tcPr>
            <w:tcW w:type="dxa" w:w="2520"/>
            <w:vAlign w:val="center"/>
          </w:tcPr>
          <w:p>
            <w:pPr>
              <w:spacing w:after="0"/>
            </w:pPr>
            <w:r/>
            <w:r>
              <w:rPr>
                <w:b w:val="0"/>
                <w:sz w:val="15"/>
              </w:rPr>
              <w:t>Operations</w:t>
            </w:r>
          </w:p>
        </w:tc>
        <w:tc>
          <w:tcPr>
            <w:tcW w:type="dxa" w:w="2520"/>
            <w:vAlign w:val="center"/>
          </w:tcPr>
          <w:p>
            <w:pPr>
              <w:spacing w:after="0"/>
            </w:pPr>
            <w:r/>
            <w:r>
              <w:rPr>
                <w:b w:val="0"/>
                <w:sz w:val="15"/>
              </w:rPr>
              <w:t>Metrics, logs, traces, alerting, CI/CD, secrets, backup/restore</w:t>
            </w:r>
          </w:p>
        </w:tc>
        <w:tc>
          <w:tcPr>
            <w:tcW w:type="dxa" w:w="2520"/>
            <w:vAlign w:val="center"/>
          </w:tcPr>
          <w:p>
            <w:pPr>
              <w:spacing w:after="0"/>
            </w:pPr>
            <w:r/>
            <w:r>
              <w:rPr>
                <w:b w:val="0"/>
                <w:sz w:val="15"/>
              </w:rPr>
              <w:t>Run, monitor, recover and improve service</w:t>
            </w:r>
          </w:p>
        </w:tc>
        <w:tc>
          <w:tcPr>
            <w:tcW w:type="dxa" w:w="2520"/>
            <w:vAlign w:val="center"/>
          </w:tcPr>
          <w:p>
            <w:pPr>
              <w:spacing w:after="0"/>
            </w:pPr>
            <w:r/>
            <w:r>
              <w:rPr>
                <w:b w:val="0"/>
                <w:sz w:val="15"/>
              </w:rPr>
              <w:t>Runbooks, incident response, cost monitoring</w:t>
            </w:r>
          </w:p>
        </w:tc>
      </w:tr>
    </w:tbl>
    <w:p/>
    <w:p>
      <w:pPr>
        <w:pStyle w:val="Heading2"/>
        <w:keepNext/>
      </w:pPr>
      <w:r>
        <w:t>2.1 Trust boundaries</w:t>
      </w:r>
    </w:p>
    <w:p>
      <w:pPr>
        <w:pStyle w:val="ListBullet"/>
        <w:spacing w:after="40"/>
      </w:pPr>
      <w:r>
        <w:t>External data providers are untrusted inputs: validate content and metadata before processing.</w:t>
      </w:r>
    </w:p>
    <w:p>
      <w:pPr>
        <w:pStyle w:val="ListBullet"/>
        <w:spacing w:after="40"/>
      </w:pPr>
      <w:r>
        <w:t>Raw and curated data are separate; downstream jobs cannot overwrite immutable source snapshots.</w:t>
      </w:r>
    </w:p>
    <w:p>
      <w:pPr>
        <w:pStyle w:val="ListBullet"/>
        <w:spacing w:after="40"/>
      </w:pPr>
      <w:r>
        <w:t>Model output is not an approved alert. The review workflow is a separate authorization boundary.</w:t>
      </w:r>
    </w:p>
    <w:p>
      <w:pPr>
        <w:pStyle w:val="ListBullet"/>
        <w:spacing w:after="40"/>
      </w:pPr>
      <w:r>
        <w:t>Recipient contact data is restricted and separated from public geospatial layers.</w:t>
      </w:r>
    </w:p>
    <w:p>
      <w:pPr>
        <w:pStyle w:val="ListBullet"/>
        <w:spacing w:after="40"/>
      </w:pPr>
      <w:r>
        <w:t>Provider message acceptance is not the same as delivery, acknowledgement or completed action.</w:t>
      </w:r>
    </w:p>
    <w:p>
      <w:pPr>
        <w:pStyle w:val="Heading1"/>
        <w:keepNext/>
      </w:pPr>
      <w:r>
        <w:t>3. Technology Decisions &amp; Alternatives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23B5D"/>
          </w:tcPr>
          <w:p>
            <w:pPr>
              <w:spacing w:after="0"/>
            </w:pPr>
            <w:r/>
            <w:r>
              <w:rPr>
                <w:b/>
                <w:color w:val="FFFFFF"/>
                <w:sz w:val="16"/>
              </w:rPr>
              <w:t>Capability</w:t>
            </w:r>
          </w:p>
        </w:tc>
        <w:tc>
          <w:tcPr>
            <w:tcW w:type="dxa" w:w="3360"/>
            <w:vAlign w:val="center"/>
            <w:shd w:fill="123B5D"/>
          </w:tcPr>
          <w:p>
            <w:pPr>
              <w:spacing w:after="0"/>
            </w:pPr>
            <w:r/>
            <w:r>
              <w:rPr>
                <w:b/>
                <w:color w:val="FFFFFF"/>
                <w:sz w:val="16"/>
              </w:rPr>
              <w:t>Candidate</w:t>
            </w:r>
          </w:p>
        </w:tc>
        <w:tc>
          <w:tcPr>
            <w:tcW w:type="dxa" w:w="3360"/>
            <w:vAlign w:val="center"/>
            <w:shd w:fill="123B5D"/>
          </w:tcPr>
          <w:p>
            <w:pPr>
              <w:spacing w:after="0"/>
            </w:pPr>
            <w:r/>
            <w:r>
              <w:rPr>
                <w:b/>
                <w:color w:val="FFFFFF"/>
                <w:sz w:val="16"/>
              </w:rPr>
              <w:t>Decision criteria / caveats</w:t>
            </w:r>
          </w:p>
        </w:tc>
      </w:tr>
      <w:tr>
        <w:tc>
          <w:tcPr>
            <w:tcW w:type="dxa" w:w="3360"/>
            <w:vAlign w:val="center"/>
          </w:tcPr>
          <w:p>
            <w:pPr>
              <w:spacing w:after="0"/>
            </w:pPr>
            <w:r/>
            <w:r>
              <w:rPr>
                <w:b w:val="0"/>
                <w:sz w:val="15"/>
              </w:rPr>
              <w:t>Language and processing</w:t>
            </w:r>
          </w:p>
        </w:tc>
        <w:tc>
          <w:tcPr>
            <w:tcW w:type="dxa" w:w="3360"/>
            <w:vAlign w:val="center"/>
          </w:tcPr>
          <w:p>
            <w:pPr>
              <w:spacing w:after="0"/>
            </w:pPr>
            <w:r/>
            <w:r>
              <w:rPr>
                <w:b w:val="0"/>
                <w:sz w:val="15"/>
              </w:rPr>
              <w:t>Python</w:t>
            </w:r>
          </w:p>
        </w:tc>
        <w:tc>
          <w:tcPr>
            <w:tcW w:type="dxa" w:w="3360"/>
            <w:vAlign w:val="center"/>
          </w:tcPr>
          <w:p>
            <w:pPr>
              <w:spacing w:after="0"/>
            </w:pPr>
            <w:r/>
            <w:r>
              <w:rPr>
                <w:b w:val="0"/>
                <w:sz w:val="15"/>
              </w:rPr>
              <w:t>Strong geospatial/ML ecosystem; pin dependencies and monitor binary compatibility.</w:t>
            </w:r>
          </w:p>
        </w:tc>
      </w:tr>
      <w:tr>
        <w:tc>
          <w:tcPr>
            <w:tcW w:type="dxa" w:w="3360"/>
            <w:vAlign w:val="center"/>
            <w:shd w:fill="F2F6F8"/>
          </w:tcPr>
          <w:p>
            <w:pPr>
              <w:spacing w:after="0"/>
            </w:pPr>
            <w:r/>
            <w:r>
              <w:rPr>
                <w:b w:val="0"/>
                <w:sz w:val="15"/>
              </w:rPr>
              <w:t>Satellite processing</w:t>
            </w:r>
          </w:p>
        </w:tc>
        <w:tc>
          <w:tcPr>
            <w:tcW w:type="dxa" w:w="3360"/>
            <w:vAlign w:val="center"/>
            <w:shd w:fill="F2F6F8"/>
          </w:tcPr>
          <w:p>
            <w:pPr>
              <w:spacing w:after="0"/>
            </w:pPr>
            <w:r/>
            <w:r>
              <w:rPr>
                <w:b w:val="0"/>
                <w:sz w:val="15"/>
              </w:rPr>
              <w:t>Google Earth Engine</w:t>
            </w:r>
          </w:p>
        </w:tc>
        <w:tc>
          <w:tcPr>
            <w:tcW w:type="dxa" w:w="3360"/>
            <w:vAlign w:val="center"/>
            <w:shd w:fill="F2F6F8"/>
          </w:tcPr>
          <w:p>
            <w:pPr>
              <w:spacing w:after="0"/>
            </w:pPr>
            <w:r/>
            <w:r>
              <w:rPr>
                <w:b w:val="0"/>
                <w:sz w:val="15"/>
              </w:rPr>
              <w:t>Confirm account eligibility, product availability, quotas, export limits and applicable usage terms; batch work rather than per-polygon synchronous calls.</w:t>
            </w:r>
          </w:p>
        </w:tc>
      </w:tr>
      <w:tr>
        <w:tc>
          <w:tcPr>
            <w:tcW w:type="dxa" w:w="3360"/>
            <w:vAlign w:val="center"/>
          </w:tcPr>
          <w:p>
            <w:pPr>
              <w:spacing w:after="0"/>
            </w:pPr>
            <w:r/>
            <w:r>
              <w:rPr>
                <w:b w:val="0"/>
                <w:sz w:val="15"/>
              </w:rPr>
              <w:t>Geospatial DB</w:t>
            </w:r>
          </w:p>
        </w:tc>
        <w:tc>
          <w:tcPr>
            <w:tcW w:type="dxa" w:w="3360"/>
            <w:vAlign w:val="center"/>
          </w:tcPr>
          <w:p>
            <w:pPr>
              <w:spacing w:after="0"/>
            </w:pPr>
            <w:r/>
            <w:r>
              <w:rPr>
                <w:b w:val="0"/>
                <w:sz w:val="15"/>
              </w:rPr>
              <w:t>PostgreSQL + PostGIS</w:t>
            </w:r>
          </w:p>
        </w:tc>
        <w:tc>
          <w:tcPr>
            <w:tcW w:type="dxa" w:w="3360"/>
            <w:vAlign w:val="center"/>
          </w:tcPr>
          <w:p>
            <w:pPr>
              <w:spacing w:after="0"/>
            </w:pPr>
            <w:r/>
            <w:r>
              <w:rPr>
                <w:b w:val="0"/>
                <w:sz w:val="15"/>
              </w:rPr>
              <w:t>Suitable for vector geometry, spatial joins and administrative metadata; define partitioning only if measured need warrants it.</w:t>
            </w:r>
          </w:p>
        </w:tc>
      </w:tr>
      <w:tr>
        <w:tc>
          <w:tcPr>
            <w:tcW w:type="dxa" w:w="3360"/>
            <w:vAlign w:val="center"/>
            <w:shd w:fill="F2F6F8"/>
          </w:tcPr>
          <w:p>
            <w:pPr>
              <w:spacing w:after="0"/>
            </w:pPr>
            <w:r/>
            <w:r>
              <w:rPr>
                <w:b w:val="0"/>
                <w:sz w:val="15"/>
              </w:rPr>
              <w:t>Raster/time-series processing</w:t>
            </w:r>
          </w:p>
        </w:tc>
        <w:tc>
          <w:tcPr>
            <w:tcW w:type="dxa" w:w="3360"/>
            <w:vAlign w:val="center"/>
            <w:shd w:fill="F2F6F8"/>
          </w:tcPr>
          <w:p>
            <w:pPr>
              <w:spacing w:after="0"/>
            </w:pPr>
            <w:r/>
            <w:r>
              <w:rPr>
                <w:b w:val="0"/>
                <w:sz w:val="15"/>
              </w:rPr>
              <w:t>Xarray, Rasterio, GeoPandas, Shapely</w:t>
            </w:r>
          </w:p>
        </w:tc>
        <w:tc>
          <w:tcPr>
            <w:tcW w:type="dxa" w:w="3360"/>
            <w:vAlign w:val="center"/>
            <w:shd w:fill="F2F6F8"/>
          </w:tcPr>
          <w:p>
            <w:pPr>
              <w:spacing w:after="0"/>
            </w:pPr>
            <w:r/>
            <w:r>
              <w:rPr>
                <w:b w:val="0"/>
                <w:sz w:val="15"/>
              </w:rPr>
              <w:t>Use appropriate CRS, masks, QA flags, chunking and area-weighted aggregation.</w:t>
            </w:r>
          </w:p>
        </w:tc>
      </w:tr>
      <w:tr>
        <w:tc>
          <w:tcPr>
            <w:tcW w:type="dxa" w:w="3360"/>
            <w:vAlign w:val="center"/>
          </w:tcPr>
          <w:p>
            <w:pPr>
              <w:spacing w:after="0"/>
            </w:pPr>
            <w:r/>
            <w:r>
              <w:rPr>
                <w:b w:val="0"/>
                <w:sz w:val="15"/>
              </w:rPr>
              <w:t>Modeling</w:t>
            </w:r>
          </w:p>
        </w:tc>
        <w:tc>
          <w:tcPr>
            <w:tcW w:type="dxa" w:w="3360"/>
            <w:vAlign w:val="center"/>
          </w:tcPr>
          <w:p>
            <w:pPr>
              <w:spacing w:after="0"/>
            </w:pPr>
            <w:r/>
            <w:r>
              <w:rPr>
                <w:b w:val="0"/>
                <w:sz w:val="15"/>
              </w:rPr>
              <w:t>Scikit-learn baselines first; PyTorch only if justified</w:t>
            </w:r>
          </w:p>
        </w:tc>
        <w:tc>
          <w:tcPr>
            <w:tcW w:type="dxa" w:w="3360"/>
            <w:vAlign w:val="center"/>
          </w:tcPr>
          <w:p>
            <w:pPr>
              <w:spacing w:after="0"/>
            </w:pPr>
            <w:r/>
            <w:r>
              <w:rPr>
                <w:b w:val="0"/>
                <w:sz w:val="15"/>
              </w:rPr>
              <w:t>A complex LSTM is not the default; model must beat baselines on held-out data and be operationally supportable.</w:t>
            </w:r>
          </w:p>
        </w:tc>
      </w:tr>
      <w:tr>
        <w:tc>
          <w:tcPr>
            <w:tcW w:type="dxa" w:w="3360"/>
            <w:vAlign w:val="center"/>
            <w:shd w:fill="F2F6F8"/>
          </w:tcPr>
          <w:p>
            <w:pPr>
              <w:spacing w:after="0"/>
            </w:pPr>
            <w:r/>
            <w:r>
              <w:rPr>
                <w:b w:val="0"/>
                <w:sz w:val="15"/>
              </w:rPr>
              <w:t>Dashboard</w:t>
            </w:r>
          </w:p>
        </w:tc>
        <w:tc>
          <w:tcPr>
            <w:tcW w:type="dxa" w:w="3360"/>
            <w:vAlign w:val="center"/>
            <w:shd w:fill="F2F6F8"/>
          </w:tcPr>
          <w:p>
            <w:pPr>
              <w:spacing w:after="0"/>
            </w:pPr>
            <w:r/>
            <w:r>
              <w:rPr>
                <w:b w:val="0"/>
                <w:sz w:val="15"/>
              </w:rPr>
              <w:t>Streamlit for prototype; evaluate production needs</w:t>
            </w:r>
          </w:p>
        </w:tc>
        <w:tc>
          <w:tcPr>
            <w:tcW w:type="dxa" w:w="3360"/>
            <w:vAlign w:val="center"/>
            <w:shd w:fill="F2F6F8"/>
          </w:tcPr>
          <w:p>
            <w:pPr>
              <w:spacing w:after="0"/>
            </w:pPr>
            <w:r/>
            <w:r>
              <w:rPr>
                <w:b w:val="0"/>
                <w:sz w:val="15"/>
              </w:rPr>
              <w:t>Assess authentication/RBAC, accessibility, map performance, API separation and deployment constraints before final choice.</w:t>
            </w:r>
          </w:p>
        </w:tc>
      </w:tr>
      <w:tr>
        <w:tc>
          <w:tcPr>
            <w:tcW w:type="dxa" w:w="3360"/>
            <w:vAlign w:val="center"/>
          </w:tcPr>
          <w:p>
            <w:pPr>
              <w:spacing w:after="0"/>
            </w:pPr>
            <w:r/>
            <w:r>
              <w:rPr>
                <w:b w:val="0"/>
                <w:sz w:val="15"/>
              </w:rPr>
              <w:t>Job orchestration</w:t>
            </w:r>
          </w:p>
        </w:tc>
        <w:tc>
          <w:tcPr>
            <w:tcW w:type="dxa" w:w="3360"/>
            <w:vAlign w:val="center"/>
          </w:tcPr>
          <w:p>
            <w:pPr>
              <w:spacing w:after="0"/>
            </w:pPr>
            <w:r/>
            <w:r>
              <w:rPr>
                <w:b w:val="0"/>
                <w:sz w:val="15"/>
              </w:rPr>
              <w:t>Celery + Redis or managed queue/scheduler</w:t>
            </w:r>
          </w:p>
        </w:tc>
        <w:tc>
          <w:tcPr>
            <w:tcW w:type="dxa" w:w="3360"/>
            <w:vAlign w:val="center"/>
          </w:tcPr>
          <w:p>
            <w:pPr>
              <w:spacing w:after="0"/>
            </w:pPr>
            <w:r/>
            <w:r>
              <w:rPr>
                <w:b w:val="0"/>
                <w:sz w:val="15"/>
              </w:rPr>
              <w:t>Ensure idempotency, retries, dead-letter handling, visibility and operational ownership.</w:t>
            </w:r>
          </w:p>
        </w:tc>
      </w:tr>
      <w:tr>
        <w:tc>
          <w:tcPr>
            <w:tcW w:type="dxa" w:w="3360"/>
            <w:vAlign w:val="center"/>
            <w:shd w:fill="F2F6F8"/>
          </w:tcPr>
          <w:p>
            <w:pPr>
              <w:spacing w:after="0"/>
            </w:pPr>
            <w:r/>
            <w:r>
              <w:rPr>
                <w:b w:val="0"/>
                <w:sz w:val="15"/>
              </w:rPr>
              <w:t>Notifications</w:t>
            </w:r>
          </w:p>
        </w:tc>
        <w:tc>
          <w:tcPr>
            <w:tcW w:type="dxa" w:w="3360"/>
            <w:vAlign w:val="center"/>
            <w:shd w:fill="F2F6F8"/>
          </w:tcPr>
          <w:p>
            <w:pPr>
              <w:spacing w:after="0"/>
            </w:pPr>
            <w:r/>
            <w:r>
              <w:rPr>
                <w:b w:val="0"/>
                <w:sz w:val="15"/>
              </w:rPr>
              <w:t>Approved WhatsApp Business/SMS provider</w:t>
            </w:r>
          </w:p>
        </w:tc>
        <w:tc>
          <w:tcPr>
            <w:tcW w:type="dxa" w:w="3360"/>
            <w:vAlign w:val="center"/>
            <w:shd w:fill="F2F6F8"/>
          </w:tcPr>
          <w:p>
            <w:pPr>
              <w:spacing w:after="0"/>
            </w:pPr>
            <w:r/>
            <w:r>
              <w:rPr>
                <w:b w:val="0"/>
                <w:sz w:val="15"/>
              </w:rPr>
              <w:t>Confirm government communications policy, templates, opt-in/notice, sender, country-specific restrictions, delivery statuses and cost.</w:t>
            </w:r>
          </w:p>
        </w:tc>
      </w:tr>
      <w:tr>
        <w:tc>
          <w:tcPr>
            <w:tcW w:type="dxa" w:w="3360"/>
            <w:vAlign w:val="center"/>
          </w:tcPr>
          <w:p>
            <w:pPr>
              <w:spacing w:after="0"/>
            </w:pPr>
            <w:r/>
            <w:r>
              <w:rPr>
                <w:b w:val="0"/>
                <w:sz w:val="15"/>
              </w:rPr>
              <w:t>Deployment</w:t>
            </w:r>
          </w:p>
        </w:tc>
        <w:tc>
          <w:tcPr>
            <w:tcW w:type="dxa" w:w="3360"/>
            <w:vAlign w:val="center"/>
          </w:tcPr>
          <w:p>
            <w:pPr>
              <w:spacing w:after="0"/>
            </w:pPr>
            <w:r/>
            <w:r>
              <w:rPr>
                <w:b w:val="0"/>
                <w:sz w:val="15"/>
              </w:rPr>
              <w:t>Containers; cloud or approved government/self-hosted environment</w:t>
            </w:r>
          </w:p>
        </w:tc>
        <w:tc>
          <w:tcPr>
            <w:tcW w:type="dxa" w:w="3360"/>
            <w:vAlign w:val="center"/>
          </w:tcPr>
          <w:p>
            <w:pPr>
              <w:spacing w:after="0"/>
            </w:pPr>
            <w:r/>
            <w:r>
              <w:rPr>
                <w:b w:val="0"/>
                <w:sz w:val="15"/>
              </w:rPr>
              <w:t>Hosting region, network policy, data classification, backup, cost and procurement approval determine final target.</w:t>
            </w:r>
          </w:p>
        </w:tc>
      </w:tr>
    </w:tbl>
    <w:p/>
    <w:p>
      <w:pPr>
        <w:pStyle w:val="Heading1"/>
        <w:keepNext/>
      </w:pPr>
      <w:r>
        <w:t>4. Data Source Integration Requirements</w:t>
      </w:r>
    </w:p>
    <w:p>
      <w:r>
        <w:t>Every source connector must be implemented only after access and terms are verified. Names below originate in the supplied technical proposal; exact products, APIs and service-level behavior remain open.</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123B5D"/>
          </w:tcPr>
          <w:p>
            <w:pPr>
              <w:spacing w:after="0"/>
            </w:pPr>
            <w:r/>
            <w:r>
              <w:rPr>
                <w:b/>
                <w:color w:val="FFFFFF"/>
                <w:sz w:val="16"/>
              </w:rPr>
              <w:t>Source family</w:t>
            </w:r>
          </w:p>
        </w:tc>
        <w:tc>
          <w:tcPr>
            <w:tcW w:type="dxa" w:w="2520"/>
            <w:vAlign w:val="center"/>
            <w:shd w:fill="123B5D"/>
          </w:tcPr>
          <w:p>
            <w:pPr>
              <w:spacing w:after="0"/>
            </w:pPr>
            <w:r/>
            <w:r>
              <w:rPr>
                <w:b/>
                <w:color w:val="FFFFFF"/>
                <w:sz w:val="16"/>
              </w:rPr>
              <w:t>Expected variables/use</w:t>
            </w:r>
          </w:p>
        </w:tc>
        <w:tc>
          <w:tcPr>
            <w:tcW w:type="dxa" w:w="2520"/>
            <w:vAlign w:val="center"/>
            <w:shd w:fill="123B5D"/>
          </w:tcPr>
          <w:p>
            <w:pPr>
              <w:spacing w:after="0"/>
            </w:pPr>
            <w:r/>
            <w:r>
              <w:rPr>
                <w:b/>
                <w:color w:val="FFFFFF"/>
                <w:sz w:val="16"/>
              </w:rPr>
              <w:t>Technical contract requirements</w:t>
            </w:r>
          </w:p>
        </w:tc>
        <w:tc>
          <w:tcPr>
            <w:tcW w:type="dxa" w:w="2520"/>
            <w:vAlign w:val="center"/>
            <w:shd w:fill="123B5D"/>
          </w:tcPr>
          <w:p>
            <w:pPr>
              <w:spacing w:after="0"/>
            </w:pPr>
            <w:r/>
            <w:r>
              <w:rPr>
                <w:b/>
                <w:color w:val="FFFFFF"/>
                <w:sz w:val="16"/>
              </w:rPr>
              <w:t>Known caveat</w:t>
            </w:r>
          </w:p>
        </w:tc>
      </w:tr>
      <w:tr>
        <w:tc>
          <w:tcPr>
            <w:tcW w:type="dxa" w:w="2520"/>
            <w:vAlign w:val="center"/>
          </w:tcPr>
          <w:p>
            <w:pPr>
              <w:spacing w:after="0"/>
            </w:pPr>
            <w:r/>
            <w:r>
              <w:rPr>
                <w:b w:val="0"/>
                <w:sz w:val="15"/>
              </w:rPr>
              <w:t>GRACE/GRACE-FO</w:t>
            </w:r>
          </w:p>
        </w:tc>
        <w:tc>
          <w:tcPr>
            <w:tcW w:type="dxa" w:w="2520"/>
            <w:vAlign w:val="center"/>
          </w:tcPr>
          <w:p>
            <w:pPr>
              <w:spacing w:after="0"/>
            </w:pPr>
            <w:r/>
            <w:r>
              <w:rPr>
                <w:b w:val="0"/>
                <w:sz w:val="15"/>
              </w:rPr>
              <w:t>Terrestrial water-storage anomaly context</w:t>
            </w:r>
          </w:p>
        </w:tc>
        <w:tc>
          <w:tcPr>
            <w:tcW w:type="dxa" w:w="2520"/>
            <w:vAlign w:val="center"/>
          </w:tcPr>
          <w:p>
            <w:pPr>
              <w:spacing w:after="0"/>
            </w:pPr>
            <w:r/>
            <w:r>
              <w:rPr>
                <w:b w:val="0"/>
                <w:sz w:val="15"/>
              </w:rPr>
              <w:t>Product ID, units, time stamps, native grid/footprint, uncertainty/QA, version, retrieval metadata</w:t>
            </w:r>
          </w:p>
        </w:tc>
        <w:tc>
          <w:tcPr>
            <w:tcW w:type="dxa" w:w="2520"/>
            <w:vAlign w:val="center"/>
          </w:tcPr>
          <w:p>
            <w:pPr>
              <w:spacing w:after="0"/>
            </w:pPr>
            <w:r/>
            <w:r>
              <w:rPr>
                <w:b w:val="0"/>
                <w:sz w:val="15"/>
              </w:rPr>
              <w:t>Coarse spatial support; not direct block-level groundwater depth or reserves</w:t>
            </w:r>
          </w:p>
        </w:tc>
      </w:tr>
      <w:tr>
        <w:tc>
          <w:tcPr>
            <w:tcW w:type="dxa" w:w="2520"/>
            <w:vAlign w:val="center"/>
            <w:shd w:fill="F2F6F8"/>
          </w:tcPr>
          <w:p>
            <w:pPr>
              <w:spacing w:after="0"/>
            </w:pPr>
            <w:r/>
            <w:r>
              <w:rPr>
                <w:b w:val="0"/>
                <w:sz w:val="15"/>
              </w:rPr>
              <w:t>IMD precipitation</w:t>
            </w:r>
          </w:p>
        </w:tc>
        <w:tc>
          <w:tcPr>
            <w:tcW w:type="dxa" w:w="2520"/>
            <w:vAlign w:val="center"/>
            <w:shd w:fill="F2F6F8"/>
          </w:tcPr>
          <w:p>
            <w:pPr>
              <w:spacing w:after="0"/>
            </w:pPr>
            <w:r/>
            <w:r>
              <w:rPr>
                <w:b w:val="0"/>
                <w:sz w:val="15"/>
              </w:rPr>
              <w:t>Daily/monthly precipitation and anomalies</w:t>
            </w:r>
          </w:p>
        </w:tc>
        <w:tc>
          <w:tcPr>
            <w:tcW w:type="dxa" w:w="2520"/>
            <w:vAlign w:val="center"/>
            <w:shd w:fill="F2F6F8"/>
          </w:tcPr>
          <w:p>
            <w:pPr>
              <w:spacing w:after="0"/>
            </w:pPr>
            <w:r/>
            <w:r>
              <w:rPr>
                <w:b w:val="0"/>
                <w:sz w:val="15"/>
              </w:rPr>
              <w:t>Approved product, units, time zone/date convention, spatial grid, missing-value codes, update lag</w:t>
            </w:r>
          </w:p>
        </w:tc>
        <w:tc>
          <w:tcPr>
            <w:tcW w:type="dxa" w:w="2520"/>
            <w:vAlign w:val="center"/>
            <w:shd w:fill="F2F6F8"/>
          </w:tcPr>
          <w:p>
            <w:pPr>
              <w:spacing w:after="0"/>
            </w:pPr>
            <w:r/>
            <w:r>
              <w:rPr>
                <w:b w:val="0"/>
                <w:sz w:val="15"/>
              </w:rPr>
              <w:t>Exact endpoint/product and access terms unconfirmed</w:t>
            </w:r>
          </w:p>
        </w:tc>
      </w:tr>
      <w:tr>
        <w:tc>
          <w:tcPr>
            <w:tcW w:type="dxa" w:w="2520"/>
            <w:vAlign w:val="center"/>
          </w:tcPr>
          <w:p>
            <w:pPr>
              <w:spacing w:after="0"/>
            </w:pPr>
            <w:r/>
            <w:r>
              <w:rPr>
                <w:b w:val="0"/>
                <w:sz w:val="15"/>
              </w:rPr>
              <w:t>Sentinel-2 surface reflectance</w:t>
            </w:r>
          </w:p>
        </w:tc>
        <w:tc>
          <w:tcPr>
            <w:tcW w:type="dxa" w:w="2520"/>
            <w:vAlign w:val="center"/>
          </w:tcPr>
          <w:p>
            <w:pPr>
              <w:spacing w:after="0"/>
            </w:pPr>
            <w:r/>
            <w:r>
              <w:rPr>
                <w:b w:val="0"/>
                <w:sz w:val="15"/>
              </w:rPr>
              <w:t>NDVI/vegetation context</w:t>
            </w:r>
          </w:p>
        </w:tc>
        <w:tc>
          <w:tcPr>
            <w:tcW w:type="dxa" w:w="2520"/>
            <w:vAlign w:val="center"/>
          </w:tcPr>
          <w:p>
            <w:pPr>
              <w:spacing w:after="0"/>
            </w:pPr>
            <w:r/>
            <w:r>
              <w:rPr>
                <w:b w:val="0"/>
                <w:sz w:val="15"/>
              </w:rPr>
              <w:t>Collection/version, bands, scale factor, cloud/shadow mask, valid-pixel ratio, compositing window</w:t>
            </w:r>
          </w:p>
        </w:tc>
        <w:tc>
          <w:tcPr>
            <w:tcW w:type="dxa" w:w="2520"/>
            <w:vAlign w:val="center"/>
          </w:tcPr>
          <w:p>
            <w:pPr>
              <w:spacing w:after="0"/>
            </w:pPr>
            <w:r/>
            <w:r>
              <w:rPr>
                <w:b w:val="0"/>
                <w:sz w:val="15"/>
              </w:rPr>
              <w:t>Cloud and seasonality bias; NDVI is not groundwater</w:t>
            </w:r>
          </w:p>
        </w:tc>
      </w:tr>
      <w:tr>
        <w:tc>
          <w:tcPr>
            <w:tcW w:type="dxa" w:w="2520"/>
            <w:vAlign w:val="center"/>
            <w:shd w:fill="F2F6F8"/>
          </w:tcPr>
          <w:p>
            <w:pPr>
              <w:spacing w:after="0"/>
            </w:pPr>
            <w:r/>
            <w:r>
              <w:rPr>
                <w:b w:val="0"/>
                <w:sz w:val="15"/>
              </w:rPr>
              <w:t>MODIS ET</w:t>
            </w:r>
          </w:p>
        </w:tc>
        <w:tc>
          <w:tcPr>
            <w:tcW w:type="dxa" w:w="2520"/>
            <w:vAlign w:val="center"/>
            <w:shd w:fill="F2F6F8"/>
          </w:tcPr>
          <w:p>
            <w:pPr>
              <w:spacing w:after="0"/>
            </w:pPr>
            <w:r/>
            <w:r>
              <w:rPr>
                <w:b w:val="0"/>
                <w:sz w:val="15"/>
              </w:rPr>
              <w:t>Evapotranspiration context</w:t>
            </w:r>
          </w:p>
        </w:tc>
        <w:tc>
          <w:tcPr>
            <w:tcW w:type="dxa" w:w="2520"/>
            <w:vAlign w:val="center"/>
            <w:shd w:fill="F2F6F8"/>
          </w:tcPr>
          <w:p>
            <w:pPr>
              <w:spacing w:after="0"/>
            </w:pPr>
            <w:r/>
            <w:r>
              <w:rPr>
                <w:b w:val="0"/>
                <w:sz w:val="15"/>
              </w:rPr>
              <w:t>Product version, scale factor, units, temporal composite, QA bits, missing values</w:t>
            </w:r>
          </w:p>
        </w:tc>
        <w:tc>
          <w:tcPr>
            <w:tcW w:type="dxa" w:w="2520"/>
            <w:vAlign w:val="center"/>
            <w:shd w:fill="F2F6F8"/>
          </w:tcPr>
          <w:p>
            <w:pPr>
              <w:spacing w:after="0"/>
            </w:pPr>
            <w:r/>
            <w:r>
              <w:rPr>
                <w:b w:val="0"/>
                <w:sz w:val="15"/>
              </w:rPr>
              <w:t>Product-specific temporal cadence and QA must be respected</w:t>
            </w:r>
          </w:p>
        </w:tc>
      </w:tr>
      <w:tr>
        <w:tc>
          <w:tcPr>
            <w:tcW w:type="dxa" w:w="2520"/>
            <w:vAlign w:val="center"/>
          </w:tcPr>
          <w:p>
            <w:pPr>
              <w:spacing w:after="0"/>
            </w:pPr>
            <w:r/>
            <w:r>
              <w:rPr>
                <w:b w:val="0"/>
                <w:sz w:val="15"/>
              </w:rPr>
              <w:t>SMAP soil moisture</w:t>
            </w:r>
          </w:p>
        </w:tc>
        <w:tc>
          <w:tcPr>
            <w:tcW w:type="dxa" w:w="2520"/>
            <w:vAlign w:val="center"/>
          </w:tcPr>
          <w:p>
            <w:pPr>
              <w:spacing w:after="0"/>
            </w:pPr>
            <w:r/>
            <w:r>
              <w:rPr>
                <w:b w:val="0"/>
                <w:sz w:val="15"/>
              </w:rPr>
              <w:t>Near-surface soil-moisture context</w:t>
            </w:r>
          </w:p>
        </w:tc>
        <w:tc>
          <w:tcPr>
            <w:tcW w:type="dxa" w:w="2520"/>
            <w:vAlign w:val="center"/>
          </w:tcPr>
          <w:p>
            <w:pPr>
              <w:spacing w:after="0"/>
            </w:pPr>
            <w:r/>
            <w:r>
              <w:rPr>
                <w:b w:val="0"/>
                <w:sz w:val="15"/>
              </w:rPr>
              <w:t>Product version, layer, units, quality flags, native footprint, temporal composite</w:t>
            </w:r>
          </w:p>
        </w:tc>
        <w:tc>
          <w:tcPr>
            <w:tcW w:type="dxa" w:w="2520"/>
            <w:vAlign w:val="center"/>
          </w:tcPr>
          <w:p>
            <w:pPr>
              <w:spacing w:after="0"/>
            </w:pPr>
            <w:r/>
            <w:r>
              <w:rPr>
                <w:b w:val="0"/>
                <w:sz w:val="15"/>
              </w:rPr>
              <w:t>Not equivalent to aquifer storage or groundwater level</w:t>
            </w:r>
          </w:p>
        </w:tc>
      </w:tr>
      <w:tr>
        <w:tc>
          <w:tcPr>
            <w:tcW w:type="dxa" w:w="2520"/>
            <w:vAlign w:val="center"/>
            <w:shd w:fill="F2F6F8"/>
          </w:tcPr>
          <w:p>
            <w:pPr>
              <w:spacing w:after="0"/>
            </w:pPr>
            <w:r/>
            <w:r>
              <w:rPr>
                <w:b w:val="0"/>
                <w:sz w:val="15"/>
              </w:rPr>
              <w:t>CGWB/state wells</w:t>
            </w:r>
          </w:p>
        </w:tc>
        <w:tc>
          <w:tcPr>
            <w:tcW w:type="dxa" w:w="2520"/>
            <w:vAlign w:val="center"/>
            <w:shd w:fill="F2F6F8"/>
          </w:tcPr>
          <w:p>
            <w:pPr>
              <w:spacing w:after="0"/>
            </w:pPr>
            <w:r/>
            <w:r>
              <w:rPr>
                <w:b w:val="0"/>
                <w:sz w:val="15"/>
              </w:rPr>
              <w:t>Groundwater level observations for validation/monitoring</w:t>
            </w:r>
          </w:p>
        </w:tc>
        <w:tc>
          <w:tcPr>
            <w:tcW w:type="dxa" w:w="2520"/>
            <w:vAlign w:val="center"/>
            <w:shd w:fill="F2F6F8"/>
          </w:tcPr>
          <w:p>
            <w:pPr>
              <w:spacing w:after="0"/>
            </w:pPr>
            <w:r/>
            <w:r>
              <w:rPr>
                <w:b w:val="0"/>
                <w:sz w:val="15"/>
              </w:rPr>
              <w:t>Station ID, coordinates, datum/depth convention, measurement date, units, method, quality flag, permissions</w:t>
            </w:r>
          </w:p>
        </w:tc>
        <w:tc>
          <w:tcPr>
            <w:tcW w:type="dxa" w:w="2520"/>
            <w:vAlign w:val="center"/>
            <w:shd w:fill="F2F6F8"/>
          </w:tcPr>
          <w:p>
            <w:pPr>
              <w:spacing w:after="0"/>
            </w:pPr>
            <w:r/>
            <w:r>
              <w:rPr>
                <w:b w:val="0"/>
                <w:sz w:val="15"/>
              </w:rPr>
              <w:t>Coverage, frequency, station history and sharing rights need audit</w:t>
            </w:r>
          </w:p>
        </w:tc>
      </w:tr>
      <w:tr>
        <w:tc>
          <w:tcPr>
            <w:tcW w:type="dxa" w:w="2520"/>
            <w:vAlign w:val="center"/>
          </w:tcPr>
          <w:p>
            <w:pPr>
              <w:spacing w:after="0"/>
            </w:pPr>
            <w:r/>
            <w:r>
              <w:rPr>
                <w:b w:val="0"/>
                <w:sz w:val="15"/>
              </w:rPr>
              <w:t>Administrative boundaries</w:t>
            </w:r>
          </w:p>
        </w:tc>
        <w:tc>
          <w:tcPr>
            <w:tcW w:type="dxa" w:w="2520"/>
            <w:vAlign w:val="center"/>
          </w:tcPr>
          <w:p>
            <w:pPr>
              <w:spacing w:after="0"/>
            </w:pPr>
            <w:r/>
            <w:r>
              <w:rPr>
                <w:b w:val="0"/>
                <w:sz w:val="15"/>
              </w:rPr>
              <w:t>District/block polygons</w:t>
            </w:r>
          </w:p>
        </w:tc>
        <w:tc>
          <w:tcPr>
            <w:tcW w:type="dxa" w:w="2520"/>
            <w:vAlign w:val="center"/>
          </w:tcPr>
          <w:p>
            <w:pPr>
              <w:spacing w:after="0"/>
            </w:pPr>
            <w:r/>
            <w:r>
              <w:rPr>
                <w:b w:val="0"/>
                <w:sz w:val="15"/>
              </w:rPr>
              <w:t>Authoritative source, stable IDs, CRS, validity dates, geometry version</w:t>
            </w:r>
          </w:p>
        </w:tc>
        <w:tc>
          <w:tcPr>
            <w:tcW w:type="dxa" w:w="2520"/>
            <w:vAlign w:val="center"/>
          </w:tcPr>
          <w:p>
            <w:pPr>
              <w:spacing w:after="0"/>
            </w:pPr>
            <w:r/>
            <w:r>
              <w:rPr>
                <w:b w:val="0"/>
                <w:sz w:val="15"/>
              </w:rPr>
              <w:t>Boundary changes affect aggregation and historical comparability</w:t>
            </w:r>
          </w:p>
        </w:tc>
      </w:tr>
      <w:tr>
        <w:tc>
          <w:tcPr>
            <w:tcW w:type="dxa" w:w="2520"/>
            <w:vAlign w:val="center"/>
            <w:shd w:fill="F2F6F8"/>
          </w:tcPr>
          <w:p>
            <w:pPr>
              <w:spacing w:after="0"/>
            </w:pPr>
            <w:r/>
            <w:r>
              <w:rPr>
                <w:b w:val="0"/>
                <w:sz w:val="15"/>
              </w:rPr>
              <w:t>Official scheme guidelines</w:t>
            </w:r>
          </w:p>
        </w:tc>
        <w:tc>
          <w:tcPr>
            <w:tcW w:type="dxa" w:w="2520"/>
            <w:vAlign w:val="center"/>
            <w:shd w:fill="F2F6F8"/>
          </w:tcPr>
          <w:p>
            <w:pPr>
              <w:spacing w:after="0"/>
            </w:pPr>
            <w:r/>
            <w:r>
              <w:rPr>
                <w:b w:val="0"/>
                <w:sz w:val="15"/>
              </w:rPr>
              <w:t>Action catalogue and eligibility review</w:t>
            </w:r>
          </w:p>
        </w:tc>
        <w:tc>
          <w:tcPr>
            <w:tcW w:type="dxa" w:w="2520"/>
            <w:vAlign w:val="center"/>
            <w:shd w:fill="F2F6F8"/>
          </w:tcPr>
          <w:p>
            <w:pPr>
              <w:spacing w:after="0"/>
            </w:pPr>
            <w:r/>
            <w:r>
              <w:rPr>
                <w:b w:val="0"/>
                <w:sz w:val="15"/>
              </w:rPr>
              <w:t>Official URL/document, effective dates, responsible authority, revision date, verified activities</w:t>
            </w:r>
          </w:p>
        </w:tc>
        <w:tc>
          <w:tcPr>
            <w:tcW w:type="dxa" w:w="2520"/>
            <w:vAlign w:val="center"/>
            <w:shd w:fill="F2F6F8"/>
          </w:tcPr>
          <w:p>
            <w:pPr>
              <w:spacing w:after="0"/>
            </w:pPr>
            <w:r/>
            <w:r>
              <w:rPr>
                <w:b w:val="0"/>
                <w:sz w:val="15"/>
              </w:rPr>
              <w:t>Do not hard-code assumed scheme/action mappings</w:t>
            </w:r>
          </w:p>
        </w:tc>
      </w:tr>
    </w:tbl>
    <w:p/>
    <w:p>
      <w:pPr>
        <w:pStyle w:val="Heading2"/>
        <w:keepNext/>
      </w:pPr>
      <w:r>
        <w:t>4.1 Connector contract</w:t>
      </w:r>
    </w:p>
    <w:p>
      <w:pPr>
        <w:pStyle w:val="ListBullet"/>
        <w:spacing w:after="40"/>
      </w:pPr>
      <w:r>
        <w:t>Each adapter returns data plus a metadata envelope: source_id, product_id/version, retrieval_timestamp, observation_start/end, units, CRS/native spatial support, QA summary, license/terms reference and connector version.</w:t>
      </w:r>
    </w:p>
    <w:p>
      <w:pPr>
        <w:pStyle w:val="ListBullet"/>
        <w:spacing w:after="40"/>
      </w:pPr>
      <w:r>
        <w:t>Each connector exposes structured status: success, partial, stale, unavailable, schema_changed, quota_limited or unauthorized.</w:t>
      </w:r>
    </w:p>
    <w:p>
      <w:pPr>
        <w:pStyle w:val="ListBullet"/>
        <w:spacing w:after="40"/>
      </w:pPr>
      <w:r>
        <w:t>Retries use bounded exponential backoff with jitter; authentication and permission errors are not retried indefinitely.</w:t>
      </w:r>
    </w:p>
    <w:p>
      <w:pPr>
        <w:pStyle w:val="ListBullet"/>
        <w:spacing w:after="40"/>
      </w:pPr>
      <w:r>
        <w:t>Jobs are idempotent on source/product/time/version keys; duplicate ingestion must be safe.</w:t>
      </w:r>
    </w:p>
    <w:p>
      <w:pPr>
        <w:pStyle w:val="ListBullet"/>
        <w:spacing w:after="40"/>
      </w:pPr>
      <w:r>
        <w:t>Raw payloads are stored only where permitted. If redistribution/storage is restricted, store permissible metadata, source references and checksums.</w:t>
      </w:r>
    </w:p>
    <w:p>
      <w:pPr>
        <w:pStyle w:val="ListBullet"/>
        <w:spacing w:after="40"/>
      </w:pPr>
      <w:r>
        <w:t>Never replace missing source values with constants merely to make a model input tensor complete.</w:t>
      </w:r>
    </w:p>
    <w:p>
      <w:pPr>
        <w:pStyle w:val="ListBullet"/>
        <w:spacing w:after="40"/>
      </w:pPr>
      <w:r>
        <w:t>Source freshness thresholds are configured per product based on actual cadence and observed latency, not a single global assumption.</w:t>
      </w:r>
    </w:p>
    <w:p>
      <w:pPr>
        <w:pStyle w:val="Heading1"/>
        <w:keepNext/>
      </w:pPr>
      <w:r>
        <w:t>5. Geospatial Processing &amp; Aggregation</w:t>
      </w:r>
    </w:p>
    <w:p>
      <w:pPr>
        <w:pStyle w:val="Heading2"/>
        <w:keepNext/>
      </w:pPr>
      <w:r>
        <w:t>5.1 Spatial reference and geometry rules</w:t>
      </w:r>
    </w:p>
    <w:p>
      <w:pPr>
        <w:pStyle w:val="ListBullet"/>
        <w:spacing w:after="40"/>
      </w:pPr>
      <w:r>
        <w:t>Store canonical administrative geometries in a documented CRS (commonly EPSG:4326 for interchange), but perform area/distance calculations in a suitable projected CRS.</w:t>
      </w:r>
    </w:p>
    <w:p>
      <w:pPr>
        <w:pStyle w:val="ListBullet"/>
        <w:spacing w:after="40"/>
      </w:pPr>
      <w:r>
        <w:t>Validate polygon/multipolygon geometry, ring validity, holes, antimeridian issues where relevant, duplicate IDs and overlaps/gaps against approved boundary expectations.</w:t>
      </w:r>
    </w:p>
    <w:p>
      <w:pPr>
        <w:pStyle w:val="ListBullet"/>
        <w:spacing w:after="40"/>
      </w:pPr>
      <w:r>
        <w:t>Use stable administrative IDs rather than names as join keys; names are not guaranteed unique or immutable.</w:t>
      </w:r>
    </w:p>
    <w:p>
      <w:pPr>
        <w:pStyle w:val="ListBullet"/>
        <w:spacing w:after="40"/>
      </w:pPr>
      <w:r>
        <w:t>Preserve boundary version/effective date and record which version was used for each aggregation.</w:t>
      </w:r>
    </w:p>
    <w:p>
      <w:pPr>
        <w:pStyle w:val="ListBullet"/>
        <w:spacing w:after="40"/>
      </w:pPr>
      <w:r>
        <w:t>Do not construct a polygon from only an exterior ring if holes or multipart geometries can occur.</w:t>
      </w:r>
    </w:p>
    <w:p>
      <w:pPr>
        <w:pStyle w:val="ListBullet"/>
        <w:spacing w:after="40"/>
      </w:pPr>
      <w:r>
        <w:t>Do not use raw latitude/longitude Euclidean distance as a general geospatial distance metric.</w:t>
      </w:r>
    </w:p>
    <w:p>
      <w:pPr>
        <w:pStyle w:val="Heading2"/>
        <w:keepNext/>
      </w:pPr>
      <w:r>
        <w:t>5.2 Native-resolution-first policy</w:t>
      </w:r>
    </w:p>
    <w:p>
      <w:r>
        <w:t>GRACE-FO values should be represented at their actual spatial support or as explicitly described regional context. Assigning the nearest coarse grid cell to each block centroid does not create validated block-scale information. A finer proxy layer does not, by itself, identify groundwater storage at block scale.</w:t>
      </w:r>
    </w:p>
    <w:p>
      <w:pPr>
        <w:pStyle w:val="ListBullet"/>
        <w:spacing w:after="40"/>
      </w:pPr>
      <w:r>
        <w:t>Prefer area-weighted overlap or a scientifically justified aggregation method when summarizing native grids over a region; preserve native grid identifiers and spatial footprint metadata.</w:t>
      </w:r>
    </w:p>
    <w:p>
      <w:pPr>
        <w:pStyle w:val="ListBullet"/>
        <w:spacing w:after="40"/>
      </w:pPr>
      <w:r>
        <w:t>Where block summaries are shown, label them as regional-context aggregates or modelled estimates as appropriate and display uncertainty/data support.</w:t>
      </w:r>
    </w:p>
    <w:p>
      <w:pPr>
        <w:pStyle w:val="ListBullet"/>
        <w:spacing w:after="40"/>
      </w:pPr>
      <w:r>
        <w:t>Any downscaling method requires a defined target, independent ground truth, training/validation design, spatial cross-validation and comparison with non-downscaled baselines.</w:t>
      </w:r>
    </w:p>
    <w:p>
      <w:pPr>
        <w:pStyle w:val="ListBullet"/>
        <w:spacing w:after="40"/>
      </w:pPr>
      <w:r>
        <w:t>If the data cannot support reliable local estimates, show regional context and an 'insufficient local evidence' state rather than interpolated precision.</w:t>
      </w:r>
    </w:p>
    <w:p>
      <w:pPr>
        <w:pStyle w:val="ListBullet"/>
        <w:spacing w:after="40"/>
      </w:pPr>
      <w:r>
        <w:t>Record valid-pixel coverage and QA masking for optical/ET/soil-moisture layers; do not average invalid or masked pixels.</w:t>
      </w:r>
    </w:p>
    <w:p>
      <w:pPr>
        <w:pStyle w:val="ListBullet"/>
        <w:spacing w:after="40"/>
      </w:pPr>
      <w:r>
        <w:t>Keep units and temporal aggregation explicit; do not combine monthly, 8-day and daily values without a documented transformation.</w:t>
      </w:r>
    </w:p>
    <w:p>
      <w:pPr>
        <w:pStyle w:val="Heading2"/>
        <w:keepNext/>
      </w:pPr>
      <w:r>
        <w:t>5.3 Proposed processing stages</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123B5D"/>
          </w:tcPr>
          <w:p>
            <w:pPr>
              <w:spacing w:after="0"/>
            </w:pPr>
            <w:r/>
            <w:r>
              <w:rPr>
                <w:b/>
                <w:color w:val="FFFFFF"/>
                <w:sz w:val="16"/>
              </w:rPr>
              <w:t>Stage</w:t>
            </w:r>
          </w:p>
        </w:tc>
        <w:tc>
          <w:tcPr>
            <w:tcW w:type="dxa" w:w="2520"/>
            <w:vAlign w:val="center"/>
            <w:shd w:fill="123B5D"/>
          </w:tcPr>
          <w:p>
            <w:pPr>
              <w:spacing w:after="0"/>
            </w:pPr>
            <w:r/>
            <w:r>
              <w:rPr>
                <w:b/>
                <w:color w:val="FFFFFF"/>
                <w:sz w:val="16"/>
              </w:rPr>
              <w:t>Input</w:t>
            </w:r>
          </w:p>
        </w:tc>
        <w:tc>
          <w:tcPr>
            <w:tcW w:type="dxa" w:w="2520"/>
            <w:vAlign w:val="center"/>
            <w:shd w:fill="123B5D"/>
          </w:tcPr>
          <w:p>
            <w:pPr>
              <w:spacing w:after="0"/>
            </w:pPr>
            <w:r/>
            <w:r>
              <w:rPr>
                <w:b/>
                <w:color w:val="FFFFFF"/>
                <w:sz w:val="16"/>
              </w:rPr>
              <w:t>Output</w:t>
            </w:r>
          </w:p>
        </w:tc>
        <w:tc>
          <w:tcPr>
            <w:tcW w:type="dxa" w:w="2520"/>
            <w:vAlign w:val="center"/>
            <w:shd w:fill="123B5D"/>
          </w:tcPr>
          <w:p>
            <w:pPr>
              <w:spacing w:after="0"/>
            </w:pPr>
            <w:r/>
            <w:r>
              <w:rPr>
                <w:b/>
                <w:color w:val="FFFFFF"/>
                <w:sz w:val="16"/>
              </w:rPr>
              <w:t>Quality gates</w:t>
            </w:r>
          </w:p>
        </w:tc>
      </w:tr>
      <w:tr>
        <w:tc>
          <w:tcPr>
            <w:tcW w:type="dxa" w:w="2520"/>
            <w:vAlign w:val="center"/>
          </w:tcPr>
          <w:p>
            <w:pPr>
              <w:spacing w:after="0"/>
            </w:pPr>
            <w:r/>
            <w:r>
              <w:rPr>
                <w:b w:val="0"/>
                <w:sz w:val="15"/>
              </w:rPr>
              <w:t>P1: Retrieve</w:t>
            </w:r>
          </w:p>
        </w:tc>
        <w:tc>
          <w:tcPr>
            <w:tcW w:type="dxa" w:w="2520"/>
            <w:vAlign w:val="center"/>
          </w:tcPr>
          <w:p>
            <w:pPr>
              <w:spacing w:after="0"/>
            </w:pPr>
            <w:r/>
            <w:r>
              <w:rPr>
                <w:b w:val="0"/>
                <w:sz w:val="15"/>
              </w:rPr>
              <w:t>Source product/API</w:t>
            </w:r>
          </w:p>
        </w:tc>
        <w:tc>
          <w:tcPr>
            <w:tcW w:type="dxa" w:w="2520"/>
            <w:vAlign w:val="center"/>
          </w:tcPr>
          <w:p>
            <w:pPr>
              <w:spacing w:after="0"/>
            </w:pPr>
            <w:r/>
            <w:r>
              <w:rPr>
                <w:b w:val="0"/>
                <w:sz w:val="15"/>
              </w:rPr>
              <w:t>Raw snapshot/reference + metadata</w:t>
            </w:r>
          </w:p>
        </w:tc>
        <w:tc>
          <w:tcPr>
            <w:tcW w:type="dxa" w:w="2520"/>
            <w:vAlign w:val="center"/>
          </w:tcPr>
          <w:p>
            <w:pPr>
              <w:spacing w:after="0"/>
            </w:pPr>
            <w:r/>
            <w:r>
              <w:rPr>
                <w:b w:val="0"/>
                <w:sz w:val="15"/>
              </w:rPr>
              <w:t>Access, schema, version, retrieval status</w:t>
            </w:r>
          </w:p>
        </w:tc>
      </w:tr>
      <w:tr>
        <w:tc>
          <w:tcPr>
            <w:tcW w:type="dxa" w:w="2520"/>
            <w:vAlign w:val="center"/>
            <w:shd w:fill="F2F6F8"/>
          </w:tcPr>
          <w:p>
            <w:pPr>
              <w:spacing w:after="0"/>
            </w:pPr>
            <w:r/>
            <w:r>
              <w:rPr>
                <w:b w:val="0"/>
                <w:sz w:val="15"/>
              </w:rPr>
              <w:t>P2: Normalize</w:t>
            </w:r>
          </w:p>
        </w:tc>
        <w:tc>
          <w:tcPr>
            <w:tcW w:type="dxa" w:w="2520"/>
            <w:vAlign w:val="center"/>
            <w:shd w:fill="F2F6F8"/>
          </w:tcPr>
          <w:p>
            <w:pPr>
              <w:spacing w:after="0"/>
            </w:pPr>
            <w:r/>
            <w:r>
              <w:rPr>
                <w:b w:val="0"/>
                <w:sz w:val="15"/>
              </w:rPr>
              <w:t>Raw data</w:t>
            </w:r>
          </w:p>
        </w:tc>
        <w:tc>
          <w:tcPr>
            <w:tcW w:type="dxa" w:w="2520"/>
            <w:vAlign w:val="center"/>
            <w:shd w:fill="F2F6F8"/>
          </w:tcPr>
          <w:p>
            <w:pPr>
              <w:spacing w:after="0"/>
            </w:pPr>
            <w:r/>
            <w:r>
              <w:rPr>
                <w:b w:val="0"/>
                <w:sz w:val="15"/>
              </w:rPr>
              <w:t>Canonical units/time/CRS metadata</w:t>
            </w:r>
          </w:p>
        </w:tc>
        <w:tc>
          <w:tcPr>
            <w:tcW w:type="dxa" w:w="2520"/>
            <w:vAlign w:val="center"/>
            <w:shd w:fill="F2F6F8"/>
          </w:tcPr>
          <w:p>
            <w:pPr>
              <w:spacing w:after="0"/>
            </w:pPr>
            <w:r/>
            <w:r>
              <w:rPr>
                <w:b w:val="0"/>
                <w:sz w:val="15"/>
              </w:rPr>
              <w:t>Unit tests, time validity, CRS, missing codes</w:t>
            </w:r>
          </w:p>
        </w:tc>
      </w:tr>
      <w:tr>
        <w:tc>
          <w:tcPr>
            <w:tcW w:type="dxa" w:w="2520"/>
            <w:vAlign w:val="center"/>
          </w:tcPr>
          <w:p>
            <w:pPr>
              <w:spacing w:after="0"/>
            </w:pPr>
            <w:r/>
            <w:r>
              <w:rPr>
                <w:b w:val="0"/>
                <w:sz w:val="15"/>
              </w:rPr>
              <w:t>P3: QA</w:t>
            </w:r>
          </w:p>
        </w:tc>
        <w:tc>
          <w:tcPr>
            <w:tcW w:type="dxa" w:w="2520"/>
            <w:vAlign w:val="center"/>
          </w:tcPr>
          <w:p>
            <w:pPr>
              <w:spacing w:after="0"/>
            </w:pPr>
            <w:r/>
            <w:r>
              <w:rPr>
                <w:b w:val="0"/>
                <w:sz w:val="15"/>
              </w:rPr>
              <w:t>Normalized data</w:t>
            </w:r>
          </w:p>
        </w:tc>
        <w:tc>
          <w:tcPr>
            <w:tcW w:type="dxa" w:w="2520"/>
            <w:vAlign w:val="center"/>
          </w:tcPr>
          <w:p>
            <w:pPr>
              <w:spacing w:after="0"/>
            </w:pPr>
            <w:r/>
            <w:r>
              <w:rPr>
                <w:b w:val="0"/>
                <w:sz w:val="15"/>
              </w:rPr>
              <w:t>Quality-coded observations</w:t>
            </w:r>
          </w:p>
        </w:tc>
        <w:tc>
          <w:tcPr>
            <w:tcW w:type="dxa" w:w="2520"/>
            <w:vAlign w:val="center"/>
          </w:tcPr>
          <w:p>
            <w:pPr>
              <w:spacing w:after="0"/>
            </w:pPr>
            <w:r/>
            <w:r>
              <w:rPr>
                <w:b w:val="0"/>
                <w:sz w:val="15"/>
              </w:rPr>
              <w:t>Plausible ranges, QA flags, coverage, duplicates</w:t>
            </w:r>
          </w:p>
        </w:tc>
      </w:tr>
      <w:tr>
        <w:tc>
          <w:tcPr>
            <w:tcW w:type="dxa" w:w="2520"/>
            <w:vAlign w:val="center"/>
            <w:shd w:fill="F2F6F8"/>
          </w:tcPr>
          <w:p>
            <w:pPr>
              <w:spacing w:after="0"/>
            </w:pPr>
            <w:r/>
            <w:r>
              <w:rPr>
                <w:b w:val="0"/>
                <w:sz w:val="15"/>
              </w:rPr>
              <w:t>P4: Aggregate</w:t>
            </w:r>
          </w:p>
        </w:tc>
        <w:tc>
          <w:tcPr>
            <w:tcW w:type="dxa" w:w="2520"/>
            <w:vAlign w:val="center"/>
            <w:shd w:fill="F2F6F8"/>
          </w:tcPr>
          <w:p>
            <w:pPr>
              <w:spacing w:after="0"/>
            </w:pPr>
            <w:r/>
            <w:r>
              <w:rPr>
                <w:b w:val="0"/>
                <w:sz w:val="15"/>
              </w:rPr>
              <w:t>QA-approved raster/vector observations + boundaries</w:t>
            </w:r>
          </w:p>
        </w:tc>
        <w:tc>
          <w:tcPr>
            <w:tcW w:type="dxa" w:w="2520"/>
            <w:vAlign w:val="center"/>
            <w:shd w:fill="F2F6F8"/>
          </w:tcPr>
          <w:p>
            <w:pPr>
              <w:spacing w:after="0"/>
            </w:pPr>
            <w:r/>
            <w:r>
              <w:rPr>
                <w:b w:val="0"/>
                <w:sz w:val="15"/>
              </w:rPr>
              <w:t>Spatial/temporal summaries</w:t>
            </w:r>
          </w:p>
        </w:tc>
        <w:tc>
          <w:tcPr>
            <w:tcW w:type="dxa" w:w="2520"/>
            <w:vAlign w:val="center"/>
            <w:shd w:fill="F2F6F8"/>
          </w:tcPr>
          <w:p>
            <w:pPr>
              <w:spacing w:after="0"/>
            </w:pPr>
            <w:r/>
            <w:r>
              <w:rPr>
                <w:b w:val="0"/>
                <w:sz w:val="15"/>
              </w:rPr>
              <w:t>Resolution support, valid area, boundary version</w:t>
            </w:r>
          </w:p>
        </w:tc>
      </w:tr>
      <w:tr>
        <w:tc>
          <w:tcPr>
            <w:tcW w:type="dxa" w:w="2520"/>
            <w:vAlign w:val="center"/>
          </w:tcPr>
          <w:p>
            <w:pPr>
              <w:spacing w:after="0"/>
            </w:pPr>
            <w:r/>
            <w:r>
              <w:rPr>
                <w:b w:val="0"/>
                <w:sz w:val="15"/>
              </w:rPr>
              <w:t>P5: Derive</w:t>
            </w:r>
          </w:p>
        </w:tc>
        <w:tc>
          <w:tcPr>
            <w:tcW w:type="dxa" w:w="2520"/>
            <w:vAlign w:val="center"/>
          </w:tcPr>
          <w:p>
            <w:pPr>
              <w:spacing w:after="0"/>
            </w:pPr>
            <w:r/>
            <w:r>
              <w:rPr>
                <w:b w:val="0"/>
                <w:sz w:val="15"/>
              </w:rPr>
              <w:t>Curated observations</w:t>
            </w:r>
          </w:p>
        </w:tc>
        <w:tc>
          <w:tcPr>
            <w:tcW w:type="dxa" w:w="2520"/>
            <w:vAlign w:val="center"/>
          </w:tcPr>
          <w:p>
            <w:pPr>
              <w:spacing w:after="0"/>
            </w:pPr>
            <w:r/>
            <w:r>
              <w:rPr>
                <w:b w:val="0"/>
                <w:sz w:val="15"/>
              </w:rPr>
              <w:t>Indicators and baselines</w:t>
            </w:r>
          </w:p>
        </w:tc>
        <w:tc>
          <w:tcPr>
            <w:tcW w:type="dxa" w:w="2520"/>
            <w:vAlign w:val="center"/>
          </w:tcPr>
          <w:p>
            <w:pPr>
              <w:spacing w:after="0"/>
            </w:pPr>
            <w:r/>
            <w:r>
              <w:rPr>
                <w:b w:val="0"/>
                <w:sz w:val="15"/>
              </w:rPr>
              <w:t>Formula version, units, source lineage</w:t>
            </w:r>
          </w:p>
        </w:tc>
      </w:tr>
      <w:tr>
        <w:tc>
          <w:tcPr>
            <w:tcW w:type="dxa" w:w="2520"/>
            <w:vAlign w:val="center"/>
            <w:shd w:fill="F2F6F8"/>
          </w:tcPr>
          <w:p>
            <w:pPr>
              <w:spacing w:after="0"/>
            </w:pPr>
            <w:r/>
            <w:r>
              <w:rPr>
                <w:b w:val="0"/>
                <w:sz w:val="15"/>
              </w:rPr>
              <w:t>P6: Validate</w:t>
            </w:r>
          </w:p>
        </w:tc>
        <w:tc>
          <w:tcPr>
            <w:tcW w:type="dxa" w:w="2520"/>
            <w:vAlign w:val="center"/>
            <w:shd w:fill="F2F6F8"/>
          </w:tcPr>
          <w:p>
            <w:pPr>
              <w:spacing w:after="0"/>
            </w:pPr>
            <w:r/>
            <w:r>
              <w:rPr>
                <w:b w:val="0"/>
                <w:sz w:val="15"/>
              </w:rPr>
              <w:t>Indicators/model candidates + reference observations</w:t>
            </w:r>
          </w:p>
        </w:tc>
        <w:tc>
          <w:tcPr>
            <w:tcW w:type="dxa" w:w="2520"/>
            <w:vAlign w:val="center"/>
            <w:shd w:fill="F2F6F8"/>
          </w:tcPr>
          <w:p>
            <w:pPr>
              <w:spacing w:after="0"/>
            </w:pPr>
            <w:r/>
            <w:r>
              <w:rPr>
                <w:b w:val="0"/>
                <w:sz w:val="15"/>
              </w:rPr>
              <w:t>Validation metrics and report</w:t>
            </w:r>
          </w:p>
        </w:tc>
        <w:tc>
          <w:tcPr>
            <w:tcW w:type="dxa" w:w="2520"/>
            <w:vAlign w:val="center"/>
            <w:shd w:fill="F2F6F8"/>
          </w:tcPr>
          <w:p>
            <w:pPr>
              <w:spacing w:after="0"/>
            </w:pPr>
            <w:r/>
            <w:r>
              <w:rPr>
                <w:b w:val="0"/>
                <w:sz w:val="15"/>
              </w:rPr>
              <w:t>Independent holdout and baseline comparison</w:t>
            </w:r>
          </w:p>
        </w:tc>
      </w:tr>
      <w:tr>
        <w:tc>
          <w:tcPr>
            <w:tcW w:type="dxa" w:w="2520"/>
            <w:vAlign w:val="center"/>
          </w:tcPr>
          <w:p>
            <w:pPr>
              <w:spacing w:after="0"/>
            </w:pPr>
            <w:r/>
            <w:r>
              <w:rPr>
                <w:b w:val="0"/>
                <w:sz w:val="15"/>
              </w:rPr>
              <w:t>P7: Publish</w:t>
            </w:r>
          </w:p>
        </w:tc>
        <w:tc>
          <w:tcPr>
            <w:tcW w:type="dxa" w:w="2520"/>
            <w:vAlign w:val="center"/>
          </w:tcPr>
          <w:p>
            <w:pPr>
              <w:spacing w:after="0"/>
            </w:pPr>
            <w:r/>
            <w:r>
              <w:rPr>
                <w:b w:val="0"/>
                <w:sz w:val="15"/>
              </w:rPr>
              <w:t>Approved outputs</w:t>
            </w:r>
          </w:p>
        </w:tc>
        <w:tc>
          <w:tcPr>
            <w:tcW w:type="dxa" w:w="2520"/>
            <w:vAlign w:val="center"/>
          </w:tcPr>
          <w:p>
            <w:pPr>
              <w:spacing w:after="0"/>
            </w:pPr>
            <w:r/>
            <w:r>
              <w:rPr>
                <w:b w:val="0"/>
                <w:sz w:val="15"/>
              </w:rPr>
              <w:t>Dashboard/API datasets</w:t>
            </w:r>
          </w:p>
        </w:tc>
        <w:tc>
          <w:tcPr>
            <w:tcW w:type="dxa" w:w="2520"/>
            <w:vAlign w:val="center"/>
          </w:tcPr>
          <w:p>
            <w:pPr>
              <w:spacing w:after="0"/>
            </w:pPr>
            <w:r/>
            <w:r>
              <w:rPr>
                <w:b w:val="0"/>
                <w:sz w:val="15"/>
              </w:rPr>
              <w:t>Freshness, approval state, privacy, release version</w:t>
            </w:r>
          </w:p>
        </w:tc>
      </w:tr>
    </w:tbl>
    <w:p/>
    <w:p>
      <w:pPr>
        <w:pStyle w:val="Heading1"/>
        <w:keepNext/>
      </w:pPr>
      <w:r>
        <w:t>6. Data Platform &amp; Schema Requirements</w:t>
      </w:r>
    </w:p>
    <w:p>
      <w:r>
        <w:t>The source schema is a starting point. The production model must distinguish measured groundwater observations from satellite indicators, derived proxies and predictions. Avoid naming a proxy field as if it were a direct groundwater measurement.</w:t>
      </w:r>
    </w:p>
    <w:p>
      <w:pPr>
        <w:pStyle w:val="Heading2"/>
        <w:keepNext/>
      </w:pPr>
      <w:r>
        <w:t>6.1 Core entities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23B5D"/>
          </w:tcPr>
          <w:p>
            <w:pPr>
              <w:spacing w:after="0"/>
            </w:pPr>
            <w:r/>
            <w:r>
              <w:rPr>
                <w:b/>
                <w:color w:val="FFFFFF"/>
                <w:sz w:val="16"/>
              </w:rPr>
              <w:t>Table/entity</w:t>
            </w:r>
          </w:p>
        </w:tc>
        <w:tc>
          <w:tcPr>
            <w:tcW w:type="dxa" w:w="3360"/>
            <w:vAlign w:val="center"/>
            <w:shd w:fill="123B5D"/>
          </w:tcPr>
          <w:p>
            <w:pPr>
              <w:spacing w:after="0"/>
            </w:pPr>
            <w:r/>
            <w:r>
              <w:rPr>
                <w:b/>
                <w:color w:val="FFFFFF"/>
                <w:sz w:val="16"/>
              </w:rPr>
              <w:t>Core fields</w:t>
            </w:r>
          </w:p>
        </w:tc>
        <w:tc>
          <w:tcPr>
            <w:tcW w:type="dxa" w:w="3360"/>
            <w:vAlign w:val="center"/>
            <w:shd w:fill="123B5D"/>
          </w:tcPr>
          <w:p>
            <w:pPr>
              <w:spacing w:after="0"/>
            </w:pPr>
            <w:r/>
            <w:r>
              <w:rPr>
                <w:b/>
                <w:color w:val="FFFFFF"/>
                <w:sz w:val="16"/>
              </w:rPr>
              <w:t>Constraints/indexes</w:t>
            </w:r>
          </w:p>
        </w:tc>
      </w:tr>
      <w:tr>
        <w:tc>
          <w:tcPr>
            <w:tcW w:type="dxa" w:w="3360"/>
            <w:vAlign w:val="center"/>
          </w:tcPr>
          <w:p>
            <w:pPr>
              <w:spacing w:after="0"/>
            </w:pPr>
            <w:r/>
            <w:r>
              <w:rPr>
                <w:b w:val="0"/>
                <w:sz w:val="15"/>
              </w:rPr>
              <w:t>administrative_units</w:t>
            </w:r>
          </w:p>
        </w:tc>
        <w:tc>
          <w:tcPr>
            <w:tcW w:type="dxa" w:w="3360"/>
            <w:vAlign w:val="center"/>
          </w:tcPr>
          <w:p>
            <w:pPr>
              <w:spacing w:after="0"/>
            </w:pPr>
            <w:r/>
            <w:r>
              <w:rPr>
                <w:b w:val="0"/>
                <w:sz w:val="15"/>
              </w:rPr>
              <w:t>unit_id, unit_type, name, parent_unit_id, geom, boundary_version, effective dates, source_id</w:t>
            </w:r>
          </w:p>
        </w:tc>
        <w:tc>
          <w:tcPr>
            <w:tcW w:type="dxa" w:w="3360"/>
            <w:vAlign w:val="center"/>
          </w:tcPr>
          <w:p>
            <w:pPr>
              <w:spacing w:after="0"/>
            </w:pPr>
            <w:r/>
            <w:r>
              <w:rPr>
                <w:b w:val="0"/>
                <w:sz w:val="15"/>
              </w:rPr>
              <w:t>PK unit_id; GiST geometry index; valid geometry; parent FK</w:t>
            </w:r>
          </w:p>
        </w:tc>
      </w:tr>
      <w:tr>
        <w:tc>
          <w:tcPr>
            <w:tcW w:type="dxa" w:w="3360"/>
            <w:vAlign w:val="center"/>
            <w:shd w:fill="F2F6F8"/>
          </w:tcPr>
          <w:p>
            <w:pPr>
              <w:spacing w:after="0"/>
            </w:pPr>
            <w:r/>
            <w:r>
              <w:rPr>
                <w:b w:val="0"/>
                <w:sz w:val="15"/>
              </w:rPr>
              <w:t>data_sources</w:t>
            </w:r>
          </w:p>
        </w:tc>
        <w:tc>
          <w:tcPr>
            <w:tcW w:type="dxa" w:w="3360"/>
            <w:vAlign w:val="center"/>
            <w:shd w:fill="F2F6F8"/>
          </w:tcPr>
          <w:p>
            <w:pPr>
              <w:spacing w:after="0"/>
            </w:pPr>
            <w:r/>
            <w:r>
              <w:rPr>
                <w:b w:val="0"/>
                <w:sz w:val="15"/>
              </w:rPr>
              <w:t>source_id, provider, product_id/version, terms_ref, cadence, spatial_support, temporal_support, owner, active</w:t>
            </w:r>
          </w:p>
        </w:tc>
        <w:tc>
          <w:tcPr>
            <w:tcW w:type="dxa" w:w="3360"/>
            <w:vAlign w:val="center"/>
            <w:shd w:fill="F2F6F8"/>
          </w:tcPr>
          <w:p>
            <w:pPr>
              <w:spacing w:after="0"/>
            </w:pPr>
            <w:r/>
            <w:r>
              <w:rPr>
                <w:b w:val="0"/>
                <w:sz w:val="15"/>
              </w:rPr>
              <w:t>Unique provider/product/version; owner required</w:t>
            </w:r>
          </w:p>
        </w:tc>
      </w:tr>
      <w:tr>
        <w:tc>
          <w:tcPr>
            <w:tcW w:type="dxa" w:w="3360"/>
            <w:vAlign w:val="center"/>
          </w:tcPr>
          <w:p>
            <w:pPr>
              <w:spacing w:after="0"/>
            </w:pPr>
            <w:r/>
            <w:r>
              <w:rPr>
                <w:b w:val="0"/>
                <w:sz w:val="15"/>
              </w:rPr>
              <w:t>ingestion_runs</w:t>
            </w:r>
          </w:p>
        </w:tc>
        <w:tc>
          <w:tcPr>
            <w:tcW w:type="dxa" w:w="3360"/>
            <w:vAlign w:val="center"/>
          </w:tcPr>
          <w:p>
            <w:pPr>
              <w:spacing w:after="0"/>
            </w:pPr>
            <w:r/>
            <w:r>
              <w:rPr>
                <w:b w:val="0"/>
                <w:sz w:val="15"/>
              </w:rPr>
              <w:t>run_id, source_id, start/end, status, record_count, qa_summary, error_code, connector_version</w:t>
            </w:r>
          </w:p>
        </w:tc>
        <w:tc>
          <w:tcPr>
            <w:tcW w:type="dxa" w:w="3360"/>
            <w:vAlign w:val="center"/>
          </w:tcPr>
          <w:p>
            <w:pPr>
              <w:spacing w:after="0"/>
            </w:pPr>
            <w:r/>
            <w:r>
              <w:rPr>
                <w:b w:val="0"/>
                <w:sz w:val="15"/>
              </w:rPr>
              <w:t>FK source; indexes on status/start time</w:t>
            </w:r>
          </w:p>
        </w:tc>
      </w:tr>
      <w:tr>
        <w:tc>
          <w:tcPr>
            <w:tcW w:type="dxa" w:w="3360"/>
            <w:vAlign w:val="center"/>
            <w:shd w:fill="F2F6F8"/>
          </w:tcPr>
          <w:p>
            <w:pPr>
              <w:spacing w:after="0"/>
            </w:pPr>
            <w:r/>
            <w:r>
              <w:rPr>
                <w:b w:val="0"/>
                <w:sz w:val="15"/>
              </w:rPr>
              <w:t>raw_asset_refs</w:t>
            </w:r>
          </w:p>
        </w:tc>
        <w:tc>
          <w:tcPr>
            <w:tcW w:type="dxa" w:w="3360"/>
            <w:vAlign w:val="center"/>
            <w:shd w:fill="F2F6F8"/>
          </w:tcPr>
          <w:p>
            <w:pPr>
              <w:spacing w:after="0"/>
            </w:pPr>
            <w:r/>
            <w:r>
              <w:rPr>
                <w:b w:val="0"/>
                <w:sz w:val="15"/>
              </w:rPr>
              <w:t>asset_id, source_id, source_key, checksum, retrieval_time, observation window, storage/reference URI</w:t>
            </w:r>
          </w:p>
        </w:tc>
        <w:tc>
          <w:tcPr>
            <w:tcW w:type="dxa" w:w="3360"/>
            <w:vAlign w:val="center"/>
            <w:shd w:fill="F2F6F8"/>
          </w:tcPr>
          <w:p>
            <w:pPr>
              <w:spacing w:after="0"/>
            </w:pPr>
            <w:r/>
            <w:r>
              <w:rPr>
                <w:b w:val="0"/>
                <w:sz w:val="15"/>
              </w:rPr>
              <w:t>Unique source key/version/checksum as appropriate</w:t>
            </w:r>
          </w:p>
        </w:tc>
      </w:tr>
      <w:tr>
        <w:tc>
          <w:tcPr>
            <w:tcW w:type="dxa" w:w="3360"/>
            <w:vAlign w:val="center"/>
          </w:tcPr>
          <w:p>
            <w:pPr>
              <w:spacing w:after="0"/>
            </w:pPr>
            <w:r/>
            <w:r>
              <w:rPr>
                <w:b w:val="0"/>
                <w:sz w:val="15"/>
              </w:rPr>
              <w:t>observations</w:t>
            </w:r>
          </w:p>
        </w:tc>
        <w:tc>
          <w:tcPr>
            <w:tcW w:type="dxa" w:w="3360"/>
            <w:vAlign w:val="center"/>
          </w:tcPr>
          <w:p>
            <w:pPr>
              <w:spacing w:after="0"/>
            </w:pPr>
            <w:r/>
            <w:r>
              <w:rPr>
                <w:b w:val="0"/>
                <w:sz w:val="15"/>
              </w:rPr>
              <w:t>observation_id, unit/station/grid_id, variable_id, value, unit, period_start/end, source_id, QA, boundary_version</w:t>
            </w:r>
          </w:p>
        </w:tc>
        <w:tc>
          <w:tcPr>
            <w:tcW w:type="dxa" w:w="3360"/>
            <w:vAlign w:val="center"/>
          </w:tcPr>
          <w:p>
            <w:pPr>
              <w:spacing w:after="0"/>
            </w:pPr>
            <w:r/>
            <w:r>
              <w:rPr>
                <w:b w:val="0"/>
                <w:sz w:val="15"/>
              </w:rPr>
              <w:t>Indexes on entity+variable+period; unit and source FKs</w:t>
            </w:r>
          </w:p>
        </w:tc>
      </w:tr>
      <w:tr>
        <w:tc>
          <w:tcPr>
            <w:tcW w:type="dxa" w:w="3360"/>
            <w:vAlign w:val="center"/>
            <w:shd w:fill="F2F6F8"/>
          </w:tcPr>
          <w:p>
            <w:pPr>
              <w:spacing w:after="0"/>
            </w:pPr>
            <w:r/>
            <w:r>
              <w:rPr>
                <w:b w:val="0"/>
                <w:sz w:val="15"/>
              </w:rPr>
              <w:t>stations</w:t>
            </w:r>
          </w:p>
        </w:tc>
        <w:tc>
          <w:tcPr>
            <w:tcW w:type="dxa" w:w="3360"/>
            <w:vAlign w:val="center"/>
            <w:shd w:fill="F2F6F8"/>
          </w:tcPr>
          <w:p>
            <w:pPr>
              <w:spacing w:after="0"/>
            </w:pPr>
            <w:r/>
            <w:r>
              <w:rPr>
                <w:b w:val="0"/>
                <w:sz w:val="15"/>
              </w:rPr>
              <w:t>station_id, source, coordinates, datum, active dates, station metadata</w:t>
            </w:r>
          </w:p>
        </w:tc>
        <w:tc>
          <w:tcPr>
            <w:tcW w:type="dxa" w:w="3360"/>
            <w:vAlign w:val="center"/>
            <w:shd w:fill="F2F6F8"/>
          </w:tcPr>
          <w:p>
            <w:pPr>
              <w:spacing w:after="0"/>
            </w:pPr>
            <w:r/>
            <w:r>
              <w:rPr>
                <w:b w:val="0"/>
                <w:sz w:val="15"/>
              </w:rPr>
              <w:t>Unique source+station ID; GiST point index</w:t>
            </w:r>
          </w:p>
        </w:tc>
      </w:tr>
      <w:tr>
        <w:tc>
          <w:tcPr>
            <w:tcW w:type="dxa" w:w="3360"/>
            <w:vAlign w:val="center"/>
          </w:tcPr>
          <w:p>
            <w:pPr>
              <w:spacing w:after="0"/>
            </w:pPr>
            <w:r/>
            <w:r>
              <w:rPr>
                <w:b w:val="0"/>
                <w:sz w:val="15"/>
              </w:rPr>
              <w:t>derived_indicators</w:t>
            </w:r>
          </w:p>
        </w:tc>
        <w:tc>
          <w:tcPr>
            <w:tcW w:type="dxa" w:w="3360"/>
            <w:vAlign w:val="center"/>
          </w:tcPr>
          <w:p>
            <w:pPr>
              <w:spacing w:after="0"/>
            </w:pPr>
            <w:r/>
            <w:r>
              <w:rPr>
                <w:b w:val="0"/>
                <w:sz w:val="15"/>
              </w:rPr>
              <w:t>indicator_id, unit_id/grid_id, period, method_version, value, unit, quality, uncertainty, lineage_ref</w:t>
            </w:r>
          </w:p>
        </w:tc>
        <w:tc>
          <w:tcPr>
            <w:tcW w:type="dxa" w:w="3360"/>
            <w:vAlign w:val="center"/>
          </w:tcPr>
          <w:p>
            <w:pPr>
              <w:spacing w:after="0"/>
            </w:pPr>
            <w:r/>
            <w:r>
              <w:rPr>
                <w:b w:val="0"/>
                <w:sz w:val="15"/>
              </w:rPr>
              <w:t>Unique entity+indicator+period+method version</w:t>
            </w:r>
          </w:p>
        </w:tc>
      </w:tr>
      <w:tr>
        <w:tc>
          <w:tcPr>
            <w:tcW w:type="dxa" w:w="3360"/>
            <w:vAlign w:val="center"/>
            <w:shd w:fill="F2F6F8"/>
          </w:tcPr>
          <w:p>
            <w:pPr>
              <w:spacing w:after="0"/>
            </w:pPr>
            <w:r/>
            <w:r>
              <w:rPr>
                <w:b w:val="0"/>
                <w:sz w:val="15"/>
              </w:rPr>
              <w:t>model_registry</w:t>
            </w:r>
          </w:p>
        </w:tc>
        <w:tc>
          <w:tcPr>
            <w:tcW w:type="dxa" w:w="3360"/>
            <w:vAlign w:val="center"/>
            <w:shd w:fill="F2F6F8"/>
          </w:tcPr>
          <w:p>
            <w:pPr>
              <w:spacing w:after="0"/>
            </w:pPr>
            <w:r/>
            <w:r>
              <w:rPr>
                <w:b w:val="0"/>
                <w:sz w:val="15"/>
              </w:rPr>
              <w:t>model_id/version, target, training window, feature schema, artifact ref, validation report, approval state</w:t>
            </w:r>
          </w:p>
        </w:tc>
        <w:tc>
          <w:tcPr>
            <w:tcW w:type="dxa" w:w="3360"/>
            <w:vAlign w:val="center"/>
            <w:shd w:fill="F2F6F8"/>
          </w:tcPr>
          <w:p>
            <w:pPr>
              <w:spacing w:after="0"/>
            </w:pPr>
            <w:r/>
            <w:r>
              <w:rPr>
                <w:b w:val="0"/>
                <w:sz w:val="15"/>
              </w:rPr>
              <w:t>Immutable released versions; approval state enum</w:t>
            </w:r>
          </w:p>
        </w:tc>
      </w:tr>
      <w:tr>
        <w:tc>
          <w:tcPr>
            <w:tcW w:type="dxa" w:w="3360"/>
            <w:vAlign w:val="center"/>
          </w:tcPr>
          <w:p>
            <w:pPr>
              <w:spacing w:after="0"/>
            </w:pPr>
            <w:r/>
            <w:r>
              <w:rPr>
                <w:b w:val="0"/>
                <w:sz w:val="15"/>
              </w:rPr>
              <w:t>predictions</w:t>
            </w:r>
          </w:p>
        </w:tc>
        <w:tc>
          <w:tcPr>
            <w:tcW w:type="dxa" w:w="3360"/>
            <w:vAlign w:val="center"/>
          </w:tcPr>
          <w:p>
            <w:pPr>
              <w:spacing w:after="0"/>
            </w:pPr>
            <w:r/>
            <w:r>
              <w:rPr>
                <w:b w:val="0"/>
                <w:sz w:val="15"/>
              </w:rPr>
              <w:t>prediction_id, target, entity, reference time, horizon, output, interval/probability, model version, input snapshot, quality gate</w:t>
            </w:r>
          </w:p>
        </w:tc>
        <w:tc>
          <w:tcPr>
            <w:tcW w:type="dxa" w:w="3360"/>
            <w:vAlign w:val="center"/>
          </w:tcPr>
          <w:p>
            <w:pPr>
              <w:spacing w:after="0"/>
            </w:pPr>
            <w:r/>
            <w:r>
              <w:rPr>
                <w:b w:val="0"/>
                <w:sz w:val="15"/>
              </w:rPr>
              <w:t>Indexes on entity+reference time; enforce horizon/target semantics</w:t>
            </w:r>
          </w:p>
        </w:tc>
      </w:tr>
      <w:tr>
        <w:tc>
          <w:tcPr>
            <w:tcW w:type="dxa" w:w="3360"/>
            <w:vAlign w:val="center"/>
            <w:shd w:fill="F2F6F8"/>
          </w:tcPr>
          <w:p>
            <w:pPr>
              <w:spacing w:after="0"/>
            </w:pPr>
            <w:r/>
            <w:r>
              <w:rPr>
                <w:b w:val="0"/>
                <w:sz w:val="15"/>
              </w:rPr>
              <w:t>risk_reviews</w:t>
            </w:r>
          </w:p>
        </w:tc>
        <w:tc>
          <w:tcPr>
            <w:tcW w:type="dxa" w:w="3360"/>
            <w:vAlign w:val="center"/>
            <w:shd w:fill="F2F6F8"/>
          </w:tcPr>
          <w:p>
            <w:pPr>
              <w:spacing w:after="0"/>
            </w:pPr>
            <w:r/>
            <w:r>
              <w:rPr>
                <w:b w:val="0"/>
                <w:sz w:val="15"/>
              </w:rPr>
              <w:t>review_id, prediction/indicator ref, reviewer, decision, reason, timestamp, threshold version</w:t>
            </w:r>
          </w:p>
        </w:tc>
        <w:tc>
          <w:tcPr>
            <w:tcW w:type="dxa" w:w="3360"/>
            <w:vAlign w:val="center"/>
            <w:shd w:fill="F2F6F8"/>
          </w:tcPr>
          <w:p>
            <w:pPr>
              <w:spacing w:after="0"/>
            </w:pPr>
            <w:r/>
            <w:r>
              <w:rPr>
                <w:b w:val="0"/>
                <w:sz w:val="15"/>
              </w:rPr>
              <w:t>Append-only decision history</w:t>
            </w:r>
          </w:p>
        </w:tc>
      </w:tr>
      <w:tr>
        <w:tc>
          <w:tcPr>
            <w:tcW w:type="dxa" w:w="3360"/>
            <w:vAlign w:val="center"/>
          </w:tcPr>
          <w:p>
            <w:pPr>
              <w:spacing w:after="0"/>
            </w:pPr>
            <w:r/>
            <w:r>
              <w:rPr>
                <w:b w:val="0"/>
                <w:sz w:val="15"/>
              </w:rPr>
              <w:t>scheme_catalogue</w:t>
            </w:r>
          </w:p>
        </w:tc>
        <w:tc>
          <w:tcPr>
            <w:tcW w:type="dxa" w:w="3360"/>
            <w:vAlign w:val="center"/>
          </w:tcPr>
          <w:p>
            <w:pPr>
              <w:spacing w:after="0"/>
            </w:pPr>
            <w:r/>
            <w:r>
              <w:rPr>
                <w:b w:val="0"/>
                <w:sz w:val="15"/>
              </w:rPr>
              <w:t>scheme_id, activity, official source, effective dates, last verified, curator, status</w:t>
            </w:r>
          </w:p>
        </w:tc>
        <w:tc>
          <w:tcPr>
            <w:tcW w:type="dxa" w:w="3360"/>
            <w:vAlign w:val="center"/>
          </w:tcPr>
          <w:p>
            <w:pPr>
              <w:spacing w:after="0"/>
            </w:pPr>
            <w:r/>
            <w:r>
              <w:rPr>
                <w:b w:val="0"/>
                <w:sz w:val="15"/>
              </w:rPr>
              <w:t>Effective-date checks; source required</w:t>
            </w:r>
          </w:p>
        </w:tc>
      </w:tr>
      <w:tr>
        <w:tc>
          <w:tcPr>
            <w:tcW w:type="dxa" w:w="3360"/>
            <w:vAlign w:val="center"/>
            <w:shd w:fill="F2F6F8"/>
          </w:tcPr>
          <w:p>
            <w:pPr>
              <w:spacing w:after="0"/>
            </w:pPr>
            <w:r/>
            <w:r>
              <w:rPr>
                <w:b w:val="0"/>
                <w:sz w:val="15"/>
              </w:rPr>
              <w:t>recommendations</w:t>
            </w:r>
          </w:p>
        </w:tc>
        <w:tc>
          <w:tcPr>
            <w:tcW w:type="dxa" w:w="3360"/>
            <w:vAlign w:val="center"/>
            <w:shd w:fill="F2F6F8"/>
          </w:tcPr>
          <w:p>
            <w:pPr>
              <w:spacing w:after="0"/>
            </w:pPr>
            <w:r/>
            <w:r>
              <w:rPr>
                <w:b w:val="0"/>
                <w:sz w:val="15"/>
              </w:rPr>
              <w:t>recommendation_id, evidence refs, scheme_id, rationale, verification tasks, status, owner</w:t>
            </w:r>
          </w:p>
        </w:tc>
        <w:tc>
          <w:tcPr>
            <w:tcW w:type="dxa" w:w="3360"/>
            <w:vAlign w:val="center"/>
            <w:shd w:fill="F2F6F8"/>
          </w:tcPr>
          <w:p>
            <w:pPr>
              <w:spacing w:after="0"/>
            </w:pPr>
            <w:r/>
            <w:r>
              <w:rPr>
                <w:b w:val="0"/>
                <w:sz w:val="15"/>
              </w:rPr>
              <w:t>FK to evidence/catalogue; status audit</w:t>
            </w:r>
          </w:p>
        </w:tc>
      </w:tr>
      <w:tr>
        <w:tc>
          <w:tcPr>
            <w:tcW w:type="dxa" w:w="3360"/>
            <w:vAlign w:val="center"/>
          </w:tcPr>
          <w:p>
            <w:pPr>
              <w:spacing w:after="0"/>
            </w:pPr>
            <w:r/>
            <w:r>
              <w:rPr>
                <w:b w:val="0"/>
                <w:sz w:val="15"/>
              </w:rPr>
              <w:t>recipients</w:t>
            </w:r>
          </w:p>
        </w:tc>
        <w:tc>
          <w:tcPr>
            <w:tcW w:type="dxa" w:w="3360"/>
            <w:vAlign w:val="center"/>
          </w:tcPr>
          <w:p>
            <w:pPr>
              <w:spacing w:after="0"/>
            </w:pPr>
            <w:r/>
            <w:r>
              <w:rPr>
                <w:b w:val="0"/>
                <w:sz w:val="15"/>
              </w:rPr>
              <w:t>recipient_id, role, jurisdiction, contact, channel preference, authorization/notice status, verified_at, active</w:t>
            </w:r>
          </w:p>
        </w:tc>
        <w:tc>
          <w:tcPr>
            <w:tcW w:type="dxa" w:w="3360"/>
            <w:vAlign w:val="center"/>
          </w:tcPr>
          <w:p>
            <w:pPr>
              <w:spacing w:after="0"/>
            </w:pPr>
            <w:r/>
            <w:r>
              <w:rPr>
                <w:b w:val="0"/>
                <w:sz w:val="15"/>
              </w:rPr>
              <w:t>Restricted PII; normalized contact; indexes without public exposure</w:t>
            </w:r>
          </w:p>
        </w:tc>
      </w:tr>
      <w:tr>
        <w:tc>
          <w:tcPr>
            <w:tcW w:type="dxa" w:w="3360"/>
            <w:vAlign w:val="center"/>
            <w:shd w:fill="F2F6F8"/>
          </w:tcPr>
          <w:p>
            <w:pPr>
              <w:spacing w:after="0"/>
            </w:pPr>
            <w:r/>
            <w:r>
              <w:rPr>
                <w:b w:val="0"/>
                <w:sz w:val="15"/>
              </w:rPr>
              <w:t>alerts</w:t>
            </w:r>
          </w:p>
        </w:tc>
        <w:tc>
          <w:tcPr>
            <w:tcW w:type="dxa" w:w="3360"/>
            <w:vAlign w:val="center"/>
            <w:shd w:fill="F2F6F8"/>
          </w:tcPr>
          <w:p>
            <w:pPr>
              <w:spacing w:after="0"/>
            </w:pPr>
            <w:r/>
            <w:r>
              <w:rPr>
                <w:b w:val="0"/>
                <w:sz w:val="15"/>
              </w:rPr>
              <w:t>alert_id, review_id, template version, recipient, channel, provider ID/status, sent/updated times, dedupe key</w:t>
            </w:r>
          </w:p>
        </w:tc>
        <w:tc>
          <w:tcPr>
            <w:tcW w:type="dxa" w:w="3360"/>
            <w:vAlign w:val="center"/>
            <w:shd w:fill="F2F6F8"/>
          </w:tcPr>
          <w:p>
            <w:pPr>
              <w:spacing w:after="0"/>
            </w:pPr>
            <w:r/>
            <w:r>
              <w:rPr>
                <w:b w:val="0"/>
                <w:sz w:val="15"/>
              </w:rPr>
              <w:t>Unique idempotency key; status indexes</w:t>
            </w:r>
          </w:p>
        </w:tc>
      </w:tr>
      <w:tr>
        <w:tc>
          <w:tcPr>
            <w:tcW w:type="dxa" w:w="3360"/>
            <w:vAlign w:val="center"/>
          </w:tcPr>
          <w:p>
            <w:pPr>
              <w:spacing w:after="0"/>
            </w:pPr>
            <w:r/>
            <w:r>
              <w:rPr>
                <w:b w:val="0"/>
                <w:sz w:val="15"/>
              </w:rPr>
              <w:t>actions_feedback</w:t>
            </w:r>
          </w:p>
        </w:tc>
        <w:tc>
          <w:tcPr>
            <w:tcW w:type="dxa" w:w="3360"/>
            <w:vAlign w:val="center"/>
          </w:tcPr>
          <w:p>
            <w:pPr>
              <w:spacing w:after="0"/>
            </w:pPr>
            <w:r/>
            <w:r>
              <w:rPr>
                <w:b w:val="0"/>
                <w:sz w:val="15"/>
              </w:rPr>
              <w:t>feedback_id, alert/recommendation, response type, owner, status, timestamp, evidence ref</w:t>
            </w:r>
          </w:p>
        </w:tc>
        <w:tc>
          <w:tcPr>
            <w:tcW w:type="dxa" w:w="3360"/>
            <w:vAlign w:val="center"/>
          </w:tcPr>
          <w:p>
            <w:pPr>
              <w:spacing w:after="0"/>
            </w:pPr>
            <w:r/>
            <w:r>
              <w:rPr>
                <w:b w:val="0"/>
                <w:sz w:val="15"/>
              </w:rPr>
              <w:t>Minimize PII; status/time indexes</w:t>
            </w:r>
          </w:p>
        </w:tc>
      </w:tr>
      <w:tr>
        <w:tc>
          <w:tcPr>
            <w:tcW w:type="dxa" w:w="3360"/>
            <w:vAlign w:val="center"/>
            <w:shd w:fill="F2F6F8"/>
          </w:tcPr>
          <w:p>
            <w:pPr>
              <w:spacing w:after="0"/>
            </w:pPr>
            <w:r/>
            <w:r>
              <w:rPr>
                <w:b w:val="0"/>
                <w:sz w:val="15"/>
              </w:rPr>
              <w:t>audit_events</w:t>
            </w:r>
          </w:p>
        </w:tc>
        <w:tc>
          <w:tcPr>
            <w:tcW w:type="dxa" w:w="3360"/>
            <w:vAlign w:val="center"/>
            <w:shd w:fill="F2F6F8"/>
          </w:tcPr>
          <w:p>
            <w:pPr>
              <w:spacing w:after="0"/>
            </w:pPr>
            <w:r/>
            <w:r>
              <w:rPr>
                <w:b w:val="0"/>
                <w:sz w:val="15"/>
              </w:rPr>
              <w:t>event_id, actor, action, target, timestamp, result, metadata</w:t>
            </w:r>
          </w:p>
        </w:tc>
        <w:tc>
          <w:tcPr>
            <w:tcW w:type="dxa" w:w="3360"/>
            <w:vAlign w:val="center"/>
            <w:shd w:fill="F2F6F8"/>
          </w:tcPr>
          <w:p>
            <w:pPr>
              <w:spacing w:after="0"/>
            </w:pPr>
            <w:r/>
            <w:r>
              <w:rPr>
                <w:b w:val="0"/>
                <w:sz w:val="15"/>
              </w:rPr>
              <w:t>Append-only access control; retention policy</w:t>
            </w:r>
          </w:p>
        </w:tc>
      </w:tr>
    </w:tbl>
    <w:p/>
    <w:p>
      <w:pPr>
        <w:pStyle w:val="Heading2"/>
        <w:keepNext/>
      </w:pPr>
      <w:r>
        <w:t>6.2 Database requirements</w:t>
      </w:r>
    </w:p>
    <w:p>
      <w:pPr>
        <w:pStyle w:val="ListBullet"/>
        <w:spacing w:after="40"/>
      </w:pPr>
      <w:r>
        <w:t>Use migration files with versioning; never make untracked manual schema changes in production.</w:t>
      </w:r>
    </w:p>
    <w:p>
      <w:pPr>
        <w:pStyle w:val="ListBullet"/>
        <w:spacing w:after="40"/>
      </w:pPr>
      <w:r>
        <w:t>Enforce foreign keys, unique keys, checks and not-null constraints for critical metadata.</w:t>
      </w:r>
    </w:p>
    <w:p>
      <w:pPr>
        <w:pStyle w:val="ListBullet"/>
        <w:spacing w:after="40"/>
      </w:pPr>
      <w:r>
        <w:t>Use PostGIS GiST indexes for spatial queries and B-tree indexes for common entity/time filters.</w:t>
      </w:r>
    </w:p>
    <w:p>
      <w:pPr>
        <w:pStyle w:val="ListBullet"/>
        <w:spacing w:after="40"/>
      </w:pPr>
      <w:r>
        <w:t>Use partitioning only after measured row volume and query patterns justify it; document partition maintenance.</w:t>
      </w:r>
    </w:p>
    <w:p>
      <w:pPr>
        <w:pStyle w:val="ListBullet"/>
        <w:spacing w:after="40"/>
      </w:pPr>
      <w:r>
        <w:t>Store timestamps in a consistent UTC convention and preserve source-local date semantics where relevant.</w:t>
      </w:r>
    </w:p>
    <w:p>
      <w:pPr>
        <w:pStyle w:val="ListBullet"/>
        <w:spacing w:after="40"/>
      </w:pPr>
      <w:r>
        <w:t>Store numeric values with units and variable definitions; use explicit null/quality states instead of magic numbers.</w:t>
      </w:r>
    </w:p>
    <w:p>
      <w:pPr>
        <w:pStyle w:val="ListBullet"/>
        <w:spacing w:after="40"/>
      </w:pPr>
      <w:r>
        <w:t>Protect recipient/contact tables with separate roles and query paths from public map data.</w:t>
      </w:r>
    </w:p>
    <w:p>
      <w:pPr>
        <w:pStyle w:val="ListBullet"/>
        <w:spacing w:after="40"/>
      </w:pPr>
      <w:r>
        <w:t>Define retention, backup and deletion behavior for raw data, contact details, messages and audit events.</w:t>
      </w:r>
    </w:p>
    <w:p>
      <w:pPr>
        <w:pStyle w:val="ListBullet"/>
        <w:spacing w:after="40"/>
      </w:pPr>
      <w:r>
        <w:t>Do not update historical prediction rows in place when a model changes; create a new versioned result.</w:t>
      </w:r>
    </w:p>
    <w:p>
      <w:pPr>
        <w:pStyle w:val="Heading1"/>
        <w:keepNext/>
      </w:pPr>
      <w:r>
        <w:t>7. Indicator &amp; ML Engineering</w:t>
      </w:r>
    </w:p>
    <w:p>
      <w:pPr>
        <w:pStyle w:val="Heading2"/>
        <w:keepNext/>
      </w:pPr>
      <w:r>
        <w:t>7.1 Modeling policy</w:t>
      </w:r>
    </w:p>
    <w:p>
      <w:r>
        <w:t>The source suggests a two-layer PyTorch LSTM and provides example GSS and days-to-crisis formulas. The model architecture and formulas are experimental hypotheses, not production specifications. The default first step is a transparent set of descriptive indicators and simple baselines.</w:t>
      </w:r>
    </w:p>
    <w:p>
      <w:pPr>
        <w:pStyle w:val="ListBullet"/>
        <w:spacing w:after="40"/>
      </w:pPr>
      <w:r>
        <w:t>Define a measurable target variable and prediction horizon before feature engineering.</w:t>
      </w:r>
    </w:p>
    <w:p>
      <w:pPr>
        <w:pStyle w:val="ListBullet"/>
        <w:spacing w:after="40"/>
      </w:pPr>
      <w:r>
        <w:t>Use time-aware train/validation/test splits and geographic holdouts; prevent leakage from future observations, repeated station measurements and neighboring-unit correlation.</w:t>
      </w:r>
    </w:p>
    <w:p>
      <w:pPr>
        <w:pStyle w:val="ListBullet"/>
        <w:spacing w:after="40"/>
      </w:pPr>
      <w:r>
        <w:t>Benchmark against persistence, seasonal climatology and simple statistical models before considering deep learning.</w:t>
      </w:r>
    </w:p>
    <w:p>
      <w:pPr>
        <w:pStyle w:val="ListBullet"/>
        <w:spacing w:after="40"/>
      </w:pPr>
      <w:r>
        <w:t>Report performance by season, geography, data coverage, lead time and hydrogeological context.</w:t>
      </w:r>
    </w:p>
    <w:p>
      <w:pPr>
        <w:pStyle w:val="ListBullet"/>
        <w:spacing w:after="40"/>
      </w:pPr>
      <w:r>
        <w:t>Handle missingness explicitly; never treat missing values as genuine low/high readings.</w:t>
      </w:r>
    </w:p>
    <w:p>
      <w:pPr>
        <w:pStyle w:val="ListBullet"/>
        <w:spacing w:after="40"/>
      </w:pPr>
      <w:r>
        <w:t>Store preprocessing/scaler artifacts with the model and apply exactly the same transformation during inference.</w:t>
      </w:r>
    </w:p>
    <w:p>
      <w:pPr>
        <w:pStyle w:val="ListBullet"/>
        <w:spacing w:after="40"/>
      </w:pPr>
      <w:r>
        <w:t>Use reproducible seeds where possible, pinned dependencies and immutable training-data snapshots/references.</w:t>
      </w:r>
    </w:p>
    <w:p>
      <w:pPr>
        <w:pStyle w:val="ListBullet"/>
        <w:spacing w:after="40"/>
      </w:pPr>
      <w:r>
        <w:t>Record model card, feature schema, intended use, limitations, known failure modes, validation data period and approver.</w:t>
      </w:r>
    </w:p>
    <w:p>
      <w:pPr>
        <w:pStyle w:val="Heading2"/>
        <w:keepNext/>
      </w:pPr>
      <w:r>
        <w:t>7.2 GSS and countdown restrictions</w:t>
      </w:r>
    </w:p>
    <w:p>
      <w:r>
        <w:t>The supplied formulas — GSS = clamp((predicted TWSA + 100)/2, 0, 100) and days-to-crisis = clamp(GSS × 1.5 − drawdown_rate × 5, 5, 180) — lack validated target definitions, units, calibration and empirical performance. They must not be embedded as operational truth.</w:t>
      </w:r>
    </w:p>
    <w:p>
      <w:pPr>
        <w:pStyle w:val="ListBullet"/>
        <w:spacing w:after="40"/>
      </w:pPr>
      <w:r>
        <w:t>Implement experimental formulas behind a disabled feature flag only if needed for research comparisons.</w:t>
      </w:r>
    </w:p>
    <w:p>
      <w:pPr>
        <w:pStyle w:val="ListBullet"/>
        <w:spacing w:after="40"/>
      </w:pPr>
      <w:r>
        <w:t>Every experimental output must carry status='experimental', method version and a visible non-operational label.</w:t>
      </w:r>
    </w:p>
    <w:p>
      <w:pPr>
        <w:pStyle w:val="ListBullet"/>
        <w:spacing w:after="40"/>
      </w:pPr>
      <w:r>
        <w:t>Production risk classes require an approved definition, evidence-based thresholds, calibration and an independently reviewed validation report.</w:t>
      </w:r>
    </w:p>
    <w:p>
      <w:pPr>
        <w:pStyle w:val="ListBullet"/>
        <w:spacing w:after="40"/>
      </w:pPr>
      <w:r>
        <w:t>Days-to-crisis remains disabled unless a defensible threshold and prospective predictive utility are demonstrated.</w:t>
      </w:r>
    </w:p>
    <w:p>
      <w:pPr>
        <w:pStyle w:val="ListBullet"/>
        <w:spacing w:after="40"/>
      </w:pPr>
      <w:r>
        <w:t>Model inference must return a structured state such as valid, insufficient_data, stale_input, out_of_distribution, model_unapproved or inference_error.</w:t>
      </w:r>
    </w:p>
    <w:p>
      <w:pPr>
        <w:pStyle w:val="ListBullet"/>
        <w:spacing w:after="40"/>
      </w:pPr>
      <w:r>
        <w:t>Predictions must include target, reference date, horizon, model version, input coverage and uncertainty where justified.</w:t>
      </w:r>
    </w:p>
    <w:p>
      <w:pPr>
        <w:pStyle w:val="ListBullet"/>
        <w:spacing w:after="40"/>
      </w:pPr>
      <w:r>
        <w:t>Any change in features, preprocessing, model weights or thresholds creates a new version and requires re-evaluation.</w:t>
      </w:r>
    </w:p>
    <w:p>
      <w:pPr>
        <w:pStyle w:val="Heading2"/>
        <w:keepNext/>
      </w:pPr>
      <w:r>
        <w:t>7.3 Training and inference pipeline</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23B5D"/>
          </w:tcPr>
          <w:p>
            <w:pPr>
              <w:spacing w:after="0"/>
            </w:pPr>
            <w:r/>
            <w:r>
              <w:rPr>
                <w:b/>
                <w:color w:val="FFFFFF"/>
                <w:sz w:val="16"/>
              </w:rPr>
              <w:t>Step</w:t>
            </w:r>
          </w:p>
        </w:tc>
        <w:tc>
          <w:tcPr>
            <w:tcW w:type="dxa" w:w="3360"/>
            <w:vAlign w:val="center"/>
            <w:shd w:fill="123B5D"/>
          </w:tcPr>
          <w:p>
            <w:pPr>
              <w:spacing w:after="0"/>
            </w:pPr>
            <w:r/>
            <w:r>
              <w:rPr>
                <w:b/>
                <w:color w:val="FFFFFF"/>
                <w:sz w:val="16"/>
              </w:rPr>
              <w:t>Requirement</w:t>
            </w:r>
          </w:p>
        </w:tc>
        <w:tc>
          <w:tcPr>
            <w:tcW w:type="dxa" w:w="3360"/>
            <w:vAlign w:val="center"/>
            <w:shd w:fill="123B5D"/>
          </w:tcPr>
          <w:p>
            <w:pPr>
              <w:spacing w:after="0"/>
            </w:pPr>
            <w:r/>
            <w:r>
              <w:rPr>
                <w:b/>
                <w:color w:val="FFFFFF"/>
                <w:sz w:val="16"/>
              </w:rPr>
              <w:t>Artifact</w:t>
            </w:r>
          </w:p>
        </w:tc>
      </w:tr>
      <w:tr>
        <w:tc>
          <w:tcPr>
            <w:tcW w:type="dxa" w:w="3360"/>
            <w:vAlign w:val="center"/>
          </w:tcPr>
          <w:p>
            <w:pPr>
              <w:spacing w:after="0"/>
            </w:pPr>
            <w:r/>
            <w:r>
              <w:rPr>
                <w:b w:val="0"/>
                <w:sz w:val="15"/>
              </w:rPr>
              <w:t>Feature assembly</w:t>
            </w:r>
          </w:p>
        </w:tc>
        <w:tc>
          <w:tcPr>
            <w:tcW w:type="dxa" w:w="3360"/>
            <w:vAlign w:val="center"/>
          </w:tcPr>
          <w:p>
            <w:pPr>
              <w:spacing w:after="0"/>
            </w:pPr>
            <w:r/>
            <w:r>
              <w:rPr>
                <w:b w:val="0"/>
                <w:sz w:val="15"/>
              </w:rPr>
              <w:t>Build features from time-aligned, QA-approved records; enforce observation cutoff at forecast origin</w:t>
            </w:r>
          </w:p>
        </w:tc>
        <w:tc>
          <w:tcPr>
            <w:tcW w:type="dxa" w:w="3360"/>
            <w:vAlign w:val="center"/>
          </w:tcPr>
          <w:p>
            <w:pPr>
              <w:spacing w:after="0"/>
            </w:pPr>
            <w:r/>
            <w:r>
              <w:rPr>
                <w:b w:val="0"/>
                <w:sz w:val="15"/>
              </w:rPr>
              <w:t>Feature dataset manifest</w:t>
            </w:r>
          </w:p>
        </w:tc>
      </w:tr>
      <w:tr>
        <w:tc>
          <w:tcPr>
            <w:tcW w:type="dxa" w:w="3360"/>
            <w:vAlign w:val="center"/>
            <w:shd w:fill="F2F6F8"/>
          </w:tcPr>
          <w:p>
            <w:pPr>
              <w:spacing w:after="0"/>
            </w:pPr>
            <w:r/>
            <w:r>
              <w:rPr>
                <w:b w:val="0"/>
                <w:sz w:val="15"/>
              </w:rPr>
              <w:t>Split strategy</w:t>
            </w:r>
          </w:p>
        </w:tc>
        <w:tc>
          <w:tcPr>
            <w:tcW w:type="dxa" w:w="3360"/>
            <w:vAlign w:val="center"/>
            <w:shd w:fill="F2F6F8"/>
          </w:tcPr>
          <w:p>
            <w:pPr>
              <w:spacing w:after="0"/>
            </w:pPr>
            <w:r/>
            <w:r>
              <w:rPr>
                <w:b w:val="0"/>
                <w:sz w:val="15"/>
              </w:rPr>
              <w:t>Time-forward and geographic holdout; document excluded/missing periods</w:t>
            </w:r>
          </w:p>
        </w:tc>
        <w:tc>
          <w:tcPr>
            <w:tcW w:type="dxa" w:w="3360"/>
            <w:vAlign w:val="center"/>
            <w:shd w:fill="F2F6F8"/>
          </w:tcPr>
          <w:p>
            <w:pPr>
              <w:spacing w:after="0"/>
            </w:pPr>
            <w:r/>
            <w:r>
              <w:rPr>
                <w:b w:val="0"/>
                <w:sz w:val="15"/>
              </w:rPr>
              <w:t>Split manifest</w:t>
            </w:r>
          </w:p>
        </w:tc>
      </w:tr>
      <w:tr>
        <w:tc>
          <w:tcPr>
            <w:tcW w:type="dxa" w:w="3360"/>
            <w:vAlign w:val="center"/>
          </w:tcPr>
          <w:p>
            <w:pPr>
              <w:spacing w:after="0"/>
            </w:pPr>
            <w:r/>
            <w:r>
              <w:rPr>
                <w:b w:val="0"/>
                <w:sz w:val="15"/>
              </w:rPr>
              <w:t>Baseline models</w:t>
            </w:r>
          </w:p>
        </w:tc>
        <w:tc>
          <w:tcPr>
            <w:tcW w:type="dxa" w:w="3360"/>
            <w:vAlign w:val="center"/>
          </w:tcPr>
          <w:p>
            <w:pPr>
              <w:spacing w:after="0"/>
            </w:pPr>
            <w:r/>
            <w:r>
              <w:rPr>
                <w:b w:val="0"/>
                <w:sz w:val="15"/>
              </w:rPr>
              <w:t>Persistence/seasonal/statistical baseline</w:t>
            </w:r>
          </w:p>
        </w:tc>
        <w:tc>
          <w:tcPr>
            <w:tcW w:type="dxa" w:w="3360"/>
            <w:vAlign w:val="center"/>
          </w:tcPr>
          <w:p>
            <w:pPr>
              <w:spacing w:after="0"/>
            </w:pPr>
            <w:r/>
            <w:r>
              <w:rPr>
                <w:b w:val="0"/>
                <w:sz w:val="15"/>
              </w:rPr>
              <w:t>Baseline metrics</w:t>
            </w:r>
          </w:p>
        </w:tc>
      </w:tr>
      <w:tr>
        <w:tc>
          <w:tcPr>
            <w:tcW w:type="dxa" w:w="3360"/>
            <w:vAlign w:val="center"/>
            <w:shd w:fill="F2F6F8"/>
          </w:tcPr>
          <w:p>
            <w:pPr>
              <w:spacing w:after="0"/>
            </w:pPr>
            <w:r/>
            <w:r>
              <w:rPr>
                <w:b w:val="0"/>
                <w:sz w:val="15"/>
              </w:rPr>
              <w:t>Candidate training</w:t>
            </w:r>
          </w:p>
        </w:tc>
        <w:tc>
          <w:tcPr>
            <w:tcW w:type="dxa" w:w="3360"/>
            <w:vAlign w:val="center"/>
            <w:shd w:fill="F2F6F8"/>
          </w:tcPr>
          <w:p>
            <w:pPr>
              <w:spacing w:after="0"/>
            </w:pPr>
            <w:r/>
            <w:r>
              <w:rPr>
                <w:b w:val="0"/>
                <w:sz w:val="15"/>
              </w:rPr>
              <w:t>Train only after target/data sufficiency review</w:t>
            </w:r>
          </w:p>
        </w:tc>
        <w:tc>
          <w:tcPr>
            <w:tcW w:type="dxa" w:w="3360"/>
            <w:vAlign w:val="center"/>
            <w:shd w:fill="F2F6F8"/>
          </w:tcPr>
          <w:p>
            <w:pPr>
              <w:spacing w:after="0"/>
            </w:pPr>
            <w:r/>
            <w:r>
              <w:rPr>
                <w:b w:val="0"/>
                <w:sz w:val="15"/>
              </w:rPr>
              <w:t>Versioned artifact and training logs</w:t>
            </w:r>
          </w:p>
        </w:tc>
      </w:tr>
      <w:tr>
        <w:tc>
          <w:tcPr>
            <w:tcW w:type="dxa" w:w="3360"/>
            <w:vAlign w:val="center"/>
          </w:tcPr>
          <w:p>
            <w:pPr>
              <w:spacing w:after="0"/>
            </w:pPr>
            <w:r/>
            <w:r>
              <w:rPr>
                <w:b w:val="0"/>
                <w:sz w:val="15"/>
              </w:rPr>
              <w:t>Evaluation</w:t>
            </w:r>
          </w:p>
        </w:tc>
        <w:tc>
          <w:tcPr>
            <w:tcW w:type="dxa" w:w="3360"/>
            <w:vAlign w:val="center"/>
          </w:tcPr>
          <w:p>
            <w:pPr>
              <w:spacing w:after="0"/>
            </w:pPr>
            <w:r/>
            <w:r>
              <w:rPr>
                <w:b w:val="0"/>
                <w:sz w:val="15"/>
              </w:rPr>
              <w:t>Metrics, calibration, residual diagnostics, error slices and comparison to baselines</w:t>
            </w:r>
          </w:p>
        </w:tc>
        <w:tc>
          <w:tcPr>
            <w:tcW w:type="dxa" w:w="3360"/>
            <w:vAlign w:val="center"/>
          </w:tcPr>
          <w:p>
            <w:pPr>
              <w:spacing w:after="0"/>
            </w:pPr>
            <w:r/>
            <w:r>
              <w:rPr>
                <w:b w:val="0"/>
                <w:sz w:val="15"/>
              </w:rPr>
              <w:t>Evaluation report</w:t>
            </w:r>
          </w:p>
        </w:tc>
      </w:tr>
      <w:tr>
        <w:tc>
          <w:tcPr>
            <w:tcW w:type="dxa" w:w="3360"/>
            <w:vAlign w:val="center"/>
            <w:shd w:fill="F2F6F8"/>
          </w:tcPr>
          <w:p>
            <w:pPr>
              <w:spacing w:after="0"/>
            </w:pPr>
            <w:r/>
            <w:r>
              <w:rPr>
                <w:b w:val="0"/>
                <w:sz w:val="15"/>
              </w:rPr>
              <w:t>Scientific review</w:t>
            </w:r>
          </w:p>
        </w:tc>
        <w:tc>
          <w:tcPr>
            <w:tcW w:type="dxa" w:w="3360"/>
            <w:vAlign w:val="center"/>
            <w:shd w:fill="F2F6F8"/>
          </w:tcPr>
          <w:p>
            <w:pPr>
              <w:spacing w:after="0"/>
            </w:pPr>
            <w:r/>
            <w:r>
              <w:rPr>
                <w:b w:val="0"/>
                <w:sz w:val="15"/>
              </w:rPr>
              <w:t>Hydrogeology/domain expert review of meaning and failure modes</w:t>
            </w:r>
          </w:p>
        </w:tc>
        <w:tc>
          <w:tcPr>
            <w:tcW w:type="dxa" w:w="3360"/>
            <w:vAlign w:val="center"/>
            <w:shd w:fill="F2F6F8"/>
          </w:tcPr>
          <w:p>
            <w:pPr>
              <w:spacing w:after="0"/>
            </w:pPr>
            <w:r/>
            <w:r>
              <w:rPr>
                <w:b w:val="0"/>
                <w:sz w:val="15"/>
              </w:rPr>
              <w:t>Signed approval record</w:t>
            </w:r>
          </w:p>
        </w:tc>
      </w:tr>
      <w:tr>
        <w:tc>
          <w:tcPr>
            <w:tcW w:type="dxa" w:w="3360"/>
            <w:vAlign w:val="center"/>
          </w:tcPr>
          <w:p>
            <w:pPr>
              <w:spacing w:after="0"/>
            </w:pPr>
            <w:r/>
            <w:r>
              <w:rPr>
                <w:b w:val="0"/>
                <w:sz w:val="15"/>
              </w:rPr>
              <w:t>Registry</w:t>
            </w:r>
          </w:p>
        </w:tc>
        <w:tc>
          <w:tcPr>
            <w:tcW w:type="dxa" w:w="3360"/>
            <w:vAlign w:val="center"/>
          </w:tcPr>
          <w:p>
            <w:pPr>
              <w:spacing w:after="0"/>
            </w:pPr>
            <w:r/>
            <w:r>
              <w:rPr>
                <w:b w:val="0"/>
                <w:sz w:val="15"/>
              </w:rPr>
              <w:t>Store model, features, preprocessing, code commit, data period and validation report</w:t>
            </w:r>
          </w:p>
        </w:tc>
        <w:tc>
          <w:tcPr>
            <w:tcW w:type="dxa" w:w="3360"/>
            <w:vAlign w:val="center"/>
          </w:tcPr>
          <w:p>
            <w:pPr>
              <w:spacing w:after="0"/>
            </w:pPr>
            <w:r/>
            <w:r>
              <w:rPr>
                <w:b w:val="0"/>
                <w:sz w:val="15"/>
              </w:rPr>
              <w:t>Immutable model registry entry</w:t>
            </w:r>
          </w:p>
        </w:tc>
      </w:tr>
      <w:tr>
        <w:tc>
          <w:tcPr>
            <w:tcW w:type="dxa" w:w="3360"/>
            <w:vAlign w:val="center"/>
            <w:shd w:fill="F2F6F8"/>
          </w:tcPr>
          <w:p>
            <w:pPr>
              <w:spacing w:after="0"/>
            </w:pPr>
            <w:r/>
            <w:r>
              <w:rPr>
                <w:b w:val="0"/>
                <w:sz w:val="15"/>
              </w:rPr>
              <w:t>Batch inference</w:t>
            </w:r>
          </w:p>
        </w:tc>
        <w:tc>
          <w:tcPr>
            <w:tcW w:type="dxa" w:w="3360"/>
            <w:vAlign w:val="center"/>
            <w:shd w:fill="F2F6F8"/>
          </w:tcPr>
          <w:p>
            <w:pPr>
              <w:spacing w:after="0"/>
            </w:pPr>
            <w:r/>
            <w:r>
              <w:rPr>
                <w:b w:val="0"/>
                <w:sz w:val="15"/>
              </w:rPr>
              <w:t>Validate inputs and model approval; run only on supported units/horizons</w:t>
            </w:r>
          </w:p>
        </w:tc>
        <w:tc>
          <w:tcPr>
            <w:tcW w:type="dxa" w:w="3360"/>
            <w:vAlign w:val="center"/>
            <w:shd w:fill="F2F6F8"/>
          </w:tcPr>
          <w:p>
            <w:pPr>
              <w:spacing w:after="0"/>
            </w:pPr>
            <w:r/>
            <w:r>
              <w:rPr>
                <w:b w:val="0"/>
                <w:sz w:val="15"/>
              </w:rPr>
              <w:t>Prediction rows with lineage</w:t>
            </w:r>
          </w:p>
        </w:tc>
      </w:tr>
      <w:tr>
        <w:tc>
          <w:tcPr>
            <w:tcW w:type="dxa" w:w="3360"/>
            <w:vAlign w:val="center"/>
          </w:tcPr>
          <w:p>
            <w:pPr>
              <w:spacing w:after="0"/>
            </w:pPr>
            <w:r/>
            <w:r>
              <w:rPr>
                <w:b w:val="0"/>
                <w:sz w:val="15"/>
              </w:rPr>
              <w:t>Monitoring</w:t>
            </w:r>
          </w:p>
        </w:tc>
        <w:tc>
          <w:tcPr>
            <w:tcW w:type="dxa" w:w="3360"/>
            <w:vAlign w:val="center"/>
          </w:tcPr>
          <w:p>
            <w:pPr>
              <w:spacing w:after="0"/>
            </w:pPr>
            <w:r/>
            <w:r>
              <w:rPr>
                <w:b w:val="0"/>
                <w:sz w:val="15"/>
              </w:rPr>
              <w:t>Compare forecasts with arriving observations; detect drift and degraded skill</w:t>
            </w:r>
          </w:p>
        </w:tc>
        <w:tc>
          <w:tcPr>
            <w:tcW w:type="dxa" w:w="3360"/>
            <w:vAlign w:val="center"/>
          </w:tcPr>
          <w:p>
            <w:pPr>
              <w:spacing w:after="0"/>
            </w:pPr>
            <w:r/>
            <w:r>
              <w:rPr>
                <w:b w:val="0"/>
                <w:sz w:val="15"/>
              </w:rPr>
              <w:t>Model monitoring report</w:t>
            </w:r>
          </w:p>
        </w:tc>
      </w:tr>
      <w:tr>
        <w:tc>
          <w:tcPr>
            <w:tcW w:type="dxa" w:w="3360"/>
            <w:vAlign w:val="center"/>
            <w:shd w:fill="F2F6F8"/>
          </w:tcPr>
          <w:p>
            <w:pPr>
              <w:spacing w:after="0"/>
            </w:pPr>
            <w:r/>
            <w:r>
              <w:rPr>
                <w:b w:val="0"/>
                <w:sz w:val="15"/>
              </w:rPr>
              <w:t>Rollback</w:t>
            </w:r>
          </w:p>
        </w:tc>
        <w:tc>
          <w:tcPr>
            <w:tcW w:type="dxa" w:w="3360"/>
            <w:vAlign w:val="center"/>
            <w:shd w:fill="F2F6F8"/>
          </w:tcPr>
          <w:p>
            <w:pPr>
              <w:spacing w:after="0"/>
            </w:pPr>
            <w:r/>
            <w:r>
              <w:rPr>
                <w:b w:val="0"/>
                <w:sz w:val="15"/>
              </w:rPr>
              <w:t>Restore prior approved version or disable forecasts</w:t>
            </w:r>
          </w:p>
        </w:tc>
        <w:tc>
          <w:tcPr>
            <w:tcW w:type="dxa" w:w="3360"/>
            <w:vAlign w:val="center"/>
            <w:shd w:fill="F2F6F8"/>
          </w:tcPr>
          <w:p>
            <w:pPr>
              <w:spacing w:after="0"/>
            </w:pPr>
            <w:r/>
            <w:r>
              <w:rPr>
                <w:b w:val="0"/>
                <w:sz w:val="15"/>
              </w:rPr>
              <w:t>Tested rollback record</w:t>
            </w:r>
          </w:p>
        </w:tc>
      </w:tr>
    </w:tbl>
    <w:p/>
    <w:p>
      <w:pPr>
        <w:pStyle w:val="Heading1"/>
        <w:keepNext/>
      </w:pPr>
      <w:r>
        <w:t>8. API &amp; Service Contracts</w:t>
      </w:r>
    </w:p>
    <w:p>
      <w:r>
        <w:t>Exact framework and endpoint paths are implementation choices. The following logical interfaces are required even if the MVP initially uses internal function calls.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23B5D"/>
          </w:tcPr>
          <w:p>
            <w:pPr>
              <w:spacing w:after="0"/>
            </w:pPr>
            <w:r/>
            <w:r>
              <w:rPr>
                <w:b/>
                <w:color w:val="FFFFFF"/>
                <w:sz w:val="16"/>
              </w:rPr>
              <w:t>Logical endpoint/service</w:t>
            </w:r>
          </w:p>
        </w:tc>
        <w:tc>
          <w:tcPr>
            <w:tcW w:type="dxa" w:w="3360"/>
            <w:vAlign w:val="center"/>
            <w:shd w:fill="123B5D"/>
          </w:tcPr>
          <w:p>
            <w:pPr>
              <w:spacing w:after="0"/>
            </w:pPr>
            <w:r/>
            <w:r>
              <w:rPr>
                <w:b/>
                <w:color w:val="FFFFFF"/>
                <w:sz w:val="16"/>
              </w:rPr>
              <w:t>Request</w:t>
            </w:r>
          </w:p>
        </w:tc>
        <w:tc>
          <w:tcPr>
            <w:tcW w:type="dxa" w:w="3360"/>
            <w:vAlign w:val="center"/>
            <w:shd w:fill="123B5D"/>
          </w:tcPr>
          <w:p>
            <w:pPr>
              <w:spacing w:after="0"/>
            </w:pPr>
            <w:r/>
            <w:r>
              <w:rPr>
                <w:b/>
                <w:color w:val="FFFFFF"/>
                <w:sz w:val="16"/>
              </w:rPr>
              <w:t>Response / behavior</w:t>
            </w:r>
          </w:p>
        </w:tc>
      </w:tr>
      <w:tr>
        <w:tc>
          <w:tcPr>
            <w:tcW w:type="dxa" w:w="3360"/>
            <w:vAlign w:val="center"/>
          </w:tcPr>
          <w:p>
            <w:pPr>
              <w:spacing w:after="0"/>
            </w:pPr>
            <w:r/>
            <w:r>
              <w:rPr>
                <w:b w:val="0"/>
                <w:sz w:val="15"/>
              </w:rPr>
              <w:t>GET /api/v1/units</w:t>
            </w:r>
          </w:p>
        </w:tc>
        <w:tc>
          <w:tcPr>
            <w:tcW w:type="dxa" w:w="3360"/>
            <w:vAlign w:val="center"/>
          </w:tcPr>
          <w:p>
            <w:pPr>
              <w:spacing w:after="0"/>
            </w:pPr>
            <w:r/>
            <w:r>
              <w:rPr>
                <w:b w:val="0"/>
                <w:sz w:val="15"/>
              </w:rPr>
              <w:t>filters: parent_id, unit_type, status, bbox; pagination</w:t>
            </w:r>
          </w:p>
        </w:tc>
        <w:tc>
          <w:tcPr>
            <w:tcW w:type="dxa" w:w="3360"/>
            <w:vAlign w:val="center"/>
          </w:tcPr>
          <w:p>
            <w:pPr>
              <w:spacing w:after="0"/>
            </w:pPr>
            <w:r/>
            <w:r>
              <w:rPr>
                <w:b w:val="0"/>
                <w:sz w:val="15"/>
              </w:rPr>
              <w:t>Unit metadata and geometry reference; role-scoped</w:t>
            </w:r>
          </w:p>
        </w:tc>
      </w:tr>
      <w:tr>
        <w:tc>
          <w:tcPr>
            <w:tcW w:type="dxa" w:w="3360"/>
            <w:vAlign w:val="center"/>
            <w:shd w:fill="F2F6F8"/>
          </w:tcPr>
          <w:p>
            <w:pPr>
              <w:spacing w:after="0"/>
            </w:pPr>
            <w:r/>
            <w:r>
              <w:rPr>
                <w:b w:val="0"/>
                <w:sz w:val="15"/>
              </w:rPr>
              <w:t>GET /api/v1/units/{unit_id}/summary</w:t>
            </w:r>
          </w:p>
        </w:tc>
        <w:tc>
          <w:tcPr>
            <w:tcW w:type="dxa" w:w="3360"/>
            <w:vAlign w:val="center"/>
            <w:shd w:fill="F2F6F8"/>
          </w:tcPr>
          <w:p>
            <w:pPr>
              <w:spacing w:after="0"/>
            </w:pPr>
            <w:r/>
            <w:r>
              <w:rPr>
                <w:b w:val="0"/>
                <w:sz w:val="15"/>
              </w:rPr>
              <w:t>date window, indicator set</w:t>
            </w:r>
          </w:p>
        </w:tc>
        <w:tc>
          <w:tcPr>
            <w:tcW w:type="dxa" w:w="3360"/>
            <w:vAlign w:val="center"/>
            <w:shd w:fill="F2F6F8"/>
          </w:tcPr>
          <w:p>
            <w:pPr>
              <w:spacing w:after="0"/>
            </w:pPr>
            <w:r/>
            <w:r>
              <w:rPr>
                <w:b w:val="0"/>
                <w:sz w:val="15"/>
              </w:rPr>
              <w:t>Values, units, source period, freshness, QA, method version, uncertainty and evidence links</w:t>
            </w:r>
          </w:p>
        </w:tc>
      </w:tr>
      <w:tr>
        <w:tc>
          <w:tcPr>
            <w:tcW w:type="dxa" w:w="3360"/>
            <w:vAlign w:val="center"/>
          </w:tcPr>
          <w:p>
            <w:pPr>
              <w:spacing w:after="0"/>
            </w:pPr>
            <w:r/>
            <w:r>
              <w:rPr>
                <w:b w:val="0"/>
                <w:sz w:val="15"/>
              </w:rPr>
              <w:t>GET /api/v1/units/{unit_id}/series</w:t>
            </w:r>
          </w:p>
        </w:tc>
        <w:tc>
          <w:tcPr>
            <w:tcW w:type="dxa" w:w="3360"/>
            <w:vAlign w:val="center"/>
          </w:tcPr>
          <w:p>
            <w:pPr>
              <w:spacing w:after="0"/>
            </w:pPr>
            <w:r/>
            <w:r>
              <w:rPr>
                <w:b w:val="0"/>
                <w:sz w:val="15"/>
              </w:rPr>
              <w:t>variable, start/end, aggregation</w:t>
            </w:r>
          </w:p>
        </w:tc>
        <w:tc>
          <w:tcPr>
            <w:tcW w:type="dxa" w:w="3360"/>
            <w:vAlign w:val="center"/>
          </w:tcPr>
          <w:p>
            <w:pPr>
              <w:spacing w:after="0"/>
            </w:pPr>
            <w:r/>
            <w:r>
              <w:rPr>
                <w:b w:val="0"/>
                <w:sz w:val="15"/>
              </w:rPr>
              <w:t>Time series with gaps/QA flags and explicit units</w:t>
            </w:r>
          </w:p>
        </w:tc>
      </w:tr>
      <w:tr>
        <w:tc>
          <w:tcPr>
            <w:tcW w:type="dxa" w:w="3360"/>
            <w:vAlign w:val="center"/>
            <w:shd w:fill="F2F6F8"/>
          </w:tcPr>
          <w:p>
            <w:pPr>
              <w:spacing w:after="0"/>
            </w:pPr>
            <w:r/>
            <w:r>
              <w:rPr>
                <w:b w:val="0"/>
                <w:sz w:val="15"/>
              </w:rPr>
              <w:t>GET /api/v1/sources/status</w:t>
            </w:r>
          </w:p>
        </w:tc>
        <w:tc>
          <w:tcPr>
            <w:tcW w:type="dxa" w:w="3360"/>
            <w:vAlign w:val="center"/>
            <w:shd w:fill="F2F6F8"/>
          </w:tcPr>
          <w:p>
            <w:pPr>
              <w:spacing w:after="0"/>
            </w:pPr>
            <w:r/>
            <w:r>
              <w:rPr>
                <w:b w:val="0"/>
                <w:sz w:val="15"/>
              </w:rPr>
              <w:t>optional source IDs</w:t>
            </w:r>
          </w:p>
        </w:tc>
        <w:tc>
          <w:tcPr>
            <w:tcW w:type="dxa" w:w="3360"/>
            <w:vAlign w:val="center"/>
            <w:shd w:fill="F2F6F8"/>
          </w:tcPr>
          <w:p>
            <w:pPr>
              <w:spacing w:after="0"/>
            </w:pPr>
            <w:r/>
            <w:r>
              <w:rPr>
                <w:b w:val="0"/>
                <w:sz w:val="15"/>
              </w:rPr>
              <w:t>Last successful ingestion, observation window, expected cadence, status and error category</w:t>
            </w:r>
          </w:p>
        </w:tc>
      </w:tr>
      <w:tr>
        <w:tc>
          <w:tcPr>
            <w:tcW w:type="dxa" w:w="3360"/>
            <w:vAlign w:val="center"/>
          </w:tcPr>
          <w:p>
            <w:pPr>
              <w:spacing w:after="0"/>
            </w:pPr>
            <w:r/>
            <w:r>
              <w:rPr>
                <w:b w:val="0"/>
                <w:sz w:val="15"/>
              </w:rPr>
              <w:t>GET /api/v1/indicators</w:t>
            </w:r>
          </w:p>
        </w:tc>
        <w:tc>
          <w:tcPr>
            <w:tcW w:type="dxa" w:w="3360"/>
            <w:vAlign w:val="center"/>
          </w:tcPr>
          <w:p>
            <w:pPr>
              <w:spacing w:after="0"/>
            </w:pPr>
            <w:r/>
            <w:r>
              <w:rPr>
                <w:b w:val="0"/>
                <w:sz w:val="15"/>
              </w:rPr>
              <w:t>period, geography, indicator, quality state</w:t>
            </w:r>
          </w:p>
        </w:tc>
        <w:tc>
          <w:tcPr>
            <w:tcW w:type="dxa" w:w="3360"/>
            <w:vAlign w:val="center"/>
          </w:tcPr>
          <w:p>
            <w:pPr>
              <w:spacing w:after="0"/>
            </w:pPr>
            <w:r/>
            <w:r>
              <w:rPr>
                <w:b w:val="0"/>
                <w:sz w:val="15"/>
              </w:rPr>
              <w:t>Derived indicator values with lineage and definitions</w:t>
            </w:r>
          </w:p>
        </w:tc>
      </w:tr>
      <w:tr>
        <w:tc>
          <w:tcPr>
            <w:tcW w:type="dxa" w:w="3360"/>
            <w:vAlign w:val="center"/>
            <w:shd w:fill="F2F6F8"/>
          </w:tcPr>
          <w:p>
            <w:pPr>
              <w:spacing w:after="0"/>
            </w:pPr>
            <w:r/>
            <w:r>
              <w:rPr>
                <w:b w:val="0"/>
                <w:sz w:val="15"/>
              </w:rPr>
              <w:t>GET /api/v1/predictions</w:t>
            </w:r>
          </w:p>
        </w:tc>
        <w:tc>
          <w:tcPr>
            <w:tcW w:type="dxa" w:w="3360"/>
            <w:vAlign w:val="center"/>
            <w:shd w:fill="F2F6F8"/>
          </w:tcPr>
          <w:p>
            <w:pPr>
              <w:spacing w:after="0"/>
            </w:pPr>
            <w:r/>
            <w:r>
              <w:rPr>
                <w:b w:val="0"/>
                <w:sz w:val="15"/>
              </w:rPr>
              <w:t>geography, target, horizon, model version</w:t>
            </w:r>
          </w:p>
        </w:tc>
        <w:tc>
          <w:tcPr>
            <w:tcW w:type="dxa" w:w="3360"/>
            <w:vAlign w:val="center"/>
            <w:shd w:fill="F2F6F8"/>
          </w:tcPr>
          <w:p>
            <w:pPr>
              <w:spacing w:after="0"/>
            </w:pPr>
            <w:r/>
            <w:r>
              <w:rPr>
                <w:b w:val="0"/>
                <w:sz w:val="15"/>
              </w:rPr>
              <w:t>Approved predictions only by default; experimental data requires explicit authorized route</w:t>
            </w:r>
          </w:p>
        </w:tc>
      </w:tr>
      <w:tr>
        <w:tc>
          <w:tcPr>
            <w:tcW w:type="dxa" w:w="3360"/>
            <w:vAlign w:val="center"/>
          </w:tcPr>
          <w:p>
            <w:pPr>
              <w:spacing w:after="0"/>
            </w:pPr>
            <w:r/>
            <w:r>
              <w:rPr>
                <w:b w:val="0"/>
                <w:sz w:val="15"/>
              </w:rPr>
              <w:t>POST /api/v1/reviews</w:t>
            </w:r>
          </w:p>
        </w:tc>
        <w:tc>
          <w:tcPr>
            <w:tcW w:type="dxa" w:w="3360"/>
            <w:vAlign w:val="center"/>
          </w:tcPr>
          <w:p>
            <w:pPr>
              <w:spacing w:after="0"/>
            </w:pPr>
            <w:r/>
            <w:r>
              <w:rPr>
                <w:b w:val="0"/>
                <w:sz w:val="15"/>
              </w:rPr>
              <w:t>candidate ID, decision, reason, notes</w:t>
            </w:r>
          </w:p>
        </w:tc>
        <w:tc>
          <w:tcPr>
            <w:tcW w:type="dxa" w:w="3360"/>
            <w:vAlign w:val="center"/>
          </w:tcPr>
          <w:p>
            <w:pPr>
              <w:spacing w:after="0"/>
            </w:pPr>
            <w:r/>
            <w:r>
              <w:rPr>
                <w:b w:val="0"/>
                <w:sz w:val="15"/>
              </w:rPr>
              <w:t>Authorization-checked append-only review record</w:t>
            </w:r>
          </w:p>
        </w:tc>
      </w:tr>
      <w:tr>
        <w:tc>
          <w:tcPr>
            <w:tcW w:type="dxa" w:w="3360"/>
            <w:vAlign w:val="center"/>
            <w:shd w:fill="F2F6F8"/>
          </w:tcPr>
          <w:p>
            <w:pPr>
              <w:spacing w:after="0"/>
            </w:pPr>
            <w:r/>
            <w:r>
              <w:rPr>
                <w:b w:val="0"/>
                <w:sz w:val="15"/>
              </w:rPr>
              <w:t>POST /api/v1/alerts/dispatch</w:t>
            </w:r>
          </w:p>
        </w:tc>
        <w:tc>
          <w:tcPr>
            <w:tcW w:type="dxa" w:w="3360"/>
            <w:vAlign w:val="center"/>
            <w:shd w:fill="F2F6F8"/>
          </w:tcPr>
          <w:p>
            <w:pPr>
              <w:spacing w:after="0"/>
            </w:pPr>
            <w:r/>
            <w:r>
              <w:rPr>
                <w:b w:val="0"/>
                <w:sz w:val="15"/>
              </w:rPr>
              <w:t>approved review ID, recipient set, template version</w:t>
            </w:r>
          </w:p>
        </w:tc>
        <w:tc>
          <w:tcPr>
            <w:tcW w:type="dxa" w:w="3360"/>
            <w:vAlign w:val="center"/>
            <w:shd w:fill="F2F6F8"/>
          </w:tcPr>
          <w:p>
            <w:pPr>
              <w:spacing w:after="0"/>
            </w:pPr>
            <w:r/>
            <w:r>
              <w:rPr>
                <w:b w:val="0"/>
                <w:sz w:val="15"/>
              </w:rPr>
              <w:t>Queue accepted/rejected status and idempotency reference; never send unapproved candidates</w:t>
            </w:r>
          </w:p>
        </w:tc>
      </w:tr>
      <w:tr>
        <w:tc>
          <w:tcPr>
            <w:tcW w:type="dxa" w:w="3360"/>
            <w:vAlign w:val="center"/>
          </w:tcPr>
          <w:p>
            <w:pPr>
              <w:spacing w:after="0"/>
            </w:pPr>
            <w:r/>
            <w:r>
              <w:rPr>
                <w:b w:val="0"/>
                <w:sz w:val="15"/>
              </w:rPr>
              <w:t>POST /api/v1/feedback</w:t>
            </w:r>
          </w:p>
        </w:tc>
        <w:tc>
          <w:tcPr>
            <w:tcW w:type="dxa" w:w="3360"/>
            <w:vAlign w:val="center"/>
          </w:tcPr>
          <w:p>
            <w:pPr>
              <w:spacing w:after="0"/>
            </w:pPr>
            <w:r/>
            <w:r>
              <w:rPr>
                <w:b w:val="0"/>
                <w:sz w:val="15"/>
              </w:rPr>
              <w:t>alert ID, response type, optional note</w:t>
            </w:r>
          </w:p>
        </w:tc>
        <w:tc>
          <w:tcPr>
            <w:tcW w:type="dxa" w:w="3360"/>
            <w:vAlign w:val="center"/>
          </w:tcPr>
          <w:p>
            <w:pPr>
              <w:spacing w:after="0"/>
            </w:pPr>
            <w:r/>
            <w:r>
              <w:rPr>
                <w:b w:val="0"/>
                <w:sz w:val="15"/>
              </w:rPr>
              <w:t>Feedback record with jurisdiction and permission checks</w:t>
            </w:r>
          </w:p>
        </w:tc>
      </w:tr>
      <w:tr>
        <w:tc>
          <w:tcPr>
            <w:tcW w:type="dxa" w:w="3360"/>
            <w:vAlign w:val="center"/>
            <w:shd w:fill="F2F6F8"/>
          </w:tcPr>
          <w:p>
            <w:pPr>
              <w:spacing w:after="0"/>
            </w:pPr>
            <w:r/>
            <w:r>
              <w:rPr>
                <w:b w:val="0"/>
                <w:sz w:val="15"/>
              </w:rPr>
              <w:t>GET /api/v1/audit</w:t>
            </w:r>
          </w:p>
        </w:tc>
        <w:tc>
          <w:tcPr>
            <w:tcW w:type="dxa" w:w="3360"/>
            <w:vAlign w:val="center"/>
            <w:shd w:fill="F2F6F8"/>
          </w:tcPr>
          <w:p>
            <w:pPr>
              <w:spacing w:after="0"/>
            </w:pPr>
            <w:r/>
            <w:r>
              <w:rPr>
                <w:b w:val="0"/>
                <w:sz w:val="15"/>
              </w:rPr>
              <w:t>filters, pagination</w:t>
            </w:r>
          </w:p>
        </w:tc>
        <w:tc>
          <w:tcPr>
            <w:tcW w:type="dxa" w:w="3360"/>
            <w:vAlign w:val="center"/>
            <w:shd w:fill="F2F6F8"/>
          </w:tcPr>
          <w:p>
            <w:pPr>
              <w:spacing w:after="0"/>
            </w:pPr>
            <w:r/>
            <w:r>
              <w:rPr>
                <w:b w:val="0"/>
                <w:sz w:val="15"/>
              </w:rPr>
              <w:t>Restricted audit events; admin/auditor roles only</w:t>
            </w:r>
          </w:p>
        </w:tc>
      </w:tr>
    </w:tbl>
    <w:p/>
    <w:p>
      <w:pPr>
        <w:pStyle w:val="Heading2"/>
        <w:keepNext/>
      </w:pPr>
      <w:r>
        <w:t>8.1 API requirements</w:t>
      </w:r>
    </w:p>
    <w:p>
      <w:pPr>
        <w:pStyle w:val="ListBullet"/>
        <w:spacing w:after="40"/>
      </w:pPr>
      <w:r>
        <w:t>Use versioned API routes or equivalent contract versioning.</w:t>
      </w:r>
    </w:p>
    <w:p>
      <w:pPr>
        <w:pStyle w:val="ListBullet"/>
        <w:spacing w:after="40"/>
      </w:pPr>
      <w:r>
        <w:t>Validate request schema, types, units, identifiers, pagination and authorization on every call.</w:t>
      </w:r>
    </w:p>
    <w:p>
      <w:pPr>
        <w:pStyle w:val="ListBullet"/>
        <w:spacing w:after="40"/>
      </w:pPr>
      <w:r>
        <w:t>Return structured error codes without leaking secrets or sensitive database details.</w:t>
      </w:r>
    </w:p>
    <w:p>
      <w:pPr>
        <w:pStyle w:val="ListBullet"/>
        <w:spacing w:after="40"/>
      </w:pPr>
      <w:r>
        <w:t>Apply request limits, pagination and query timeouts for map and time-series endpoints.</w:t>
      </w:r>
    </w:p>
    <w:p>
      <w:pPr>
        <w:pStyle w:val="ListBullet"/>
        <w:spacing w:after="40"/>
      </w:pPr>
      <w:r>
        <w:t>Use idempotency keys for mutating review/dispatch actions.</w:t>
      </w:r>
    </w:p>
    <w:p>
      <w:pPr>
        <w:pStyle w:val="ListBullet"/>
        <w:spacing w:after="40"/>
      </w:pPr>
      <w:r>
        <w:t>Include generated_at, data_as_of, source/version metadata and quality state in analytical responses.</w:t>
      </w:r>
    </w:p>
    <w:p>
      <w:pPr>
        <w:pStyle w:val="ListBullet"/>
        <w:spacing w:after="40"/>
      </w:pPr>
      <w:r>
        <w:t>Separate public/low-sensitivity geographic summaries from protected recipient, review and audit APIs.</w:t>
      </w:r>
    </w:p>
    <w:p>
      <w:pPr>
        <w:pStyle w:val="ListBullet"/>
        <w:spacing w:after="40"/>
      </w:pPr>
      <w:r>
        <w:t>Document schemas with OpenAPI or an equivalent interface specification and run contract tests in CI.</w:t>
      </w:r>
    </w:p>
    <w:p>
      <w:pPr>
        <w:pStyle w:val="Heading1"/>
        <w:keepNext/>
      </w:pPr>
      <w:r>
        <w:t>9. Notification Pipeline</w:t>
      </w:r>
    </w:p>
    <w:p>
      <w:pPr>
        <w:pStyle w:val="Heading2"/>
        <w:keepNext/>
      </w:pPr>
      <w:r>
        <w:t>9.1 Workflow</w:t>
      </w:r>
    </w:p>
    <w:p>
      <w:pPr>
        <w:pStyle w:val="ListBullet"/>
        <w:spacing w:after="40"/>
      </w:pPr>
      <w:r>
        <w:t>Generate a candidate event from an approved indicator/model output.</w:t>
      </w:r>
    </w:p>
    <w:p>
      <w:pPr>
        <w:pStyle w:val="ListBullet"/>
        <w:spacing w:after="40"/>
      </w:pPr>
      <w:r>
        <w:t>Run eligibility gates: source freshness, QA coverage, supported geography, model approval, threshold version and duplicate check.</w:t>
      </w:r>
    </w:p>
    <w:p>
      <w:pPr>
        <w:pStyle w:val="ListBullet"/>
        <w:spacing w:after="40"/>
      </w:pPr>
      <w:r>
        <w:t>Place candidate into human-review queue; no automatic dispatch in initial operational pilot.</w:t>
      </w:r>
    </w:p>
    <w:p>
      <w:pPr>
        <w:pStyle w:val="ListBullet"/>
        <w:spacing w:after="40"/>
      </w:pPr>
      <w:r>
        <w:t>Reviewer approves/rejects/edits with a reason and approved action references.</w:t>
      </w:r>
    </w:p>
    <w:p>
      <w:pPr>
        <w:pStyle w:val="ListBullet"/>
        <w:spacing w:after="40"/>
      </w:pPr>
      <w:r>
        <w:t>Resolve only active, authorized recipients for the relevant jurisdiction and channel.</w:t>
      </w:r>
    </w:p>
    <w:p>
      <w:pPr>
        <w:pStyle w:val="ListBullet"/>
        <w:spacing w:after="40"/>
      </w:pPr>
      <w:r>
        <w:t>Render a reviewed Hindi template using versioned fields; validate Unicode, length, link safety and required caveats.</w:t>
      </w:r>
    </w:p>
    <w:p>
      <w:pPr>
        <w:pStyle w:val="ListBullet"/>
        <w:spacing w:after="40"/>
      </w:pPr>
      <w:r>
        <w:t>Create durable dispatch record with idempotency key before sending.</w:t>
      </w:r>
    </w:p>
    <w:p>
      <w:pPr>
        <w:pStyle w:val="ListBullet"/>
        <w:spacing w:after="40"/>
      </w:pPr>
      <w:r>
        <w:t>Send through the approved provider; capture provider message ID and status updates.</w:t>
      </w:r>
    </w:p>
    <w:p>
      <w:pPr>
        <w:pStyle w:val="ListBullet"/>
        <w:spacing w:after="40"/>
      </w:pPr>
      <w:r>
        <w:t>Retry transient failures with bounded backoff; do not duplicate successful sends.</w:t>
      </w:r>
    </w:p>
    <w:p>
      <w:pPr>
        <w:pStyle w:val="ListBullet"/>
        <w:spacing w:after="40"/>
      </w:pPr>
      <w:r>
        <w:t>Track delivered/failed/acknowledged/action states separately and expose an audit trail.</w:t>
      </w:r>
    </w:p>
    <w:p>
      <w:pPr>
        <w:pStyle w:val="Heading2"/>
        <w:keepNext/>
      </w:pPr>
      <w:r>
        <w:t>9.2 Alert states</w:t>
      </w:r>
    </w:p>
    <w:tbl>
      <w:tblPr>
        <w:tblStyle w:val="TableGrid"/>
        <w:tblW w:type="auto" w:w="0"/>
        <w:tblLook w:firstColumn="1" w:firstRow="1" w:lastColumn="0" w:lastRow="0" w:noHBand="0" w:noVBand="1" w:val="04A0"/>
      </w:tblPr>
      <w:tblGrid>
        <w:gridCol w:w="5040"/>
        <w:gridCol w:w="5040"/>
      </w:tblGrid>
      <w:tr>
        <w:tc>
          <w:tcPr>
            <w:tcW w:type="dxa" w:w="5040"/>
            <w:vAlign w:val="center"/>
            <w:shd w:fill="123B5D"/>
          </w:tcPr>
          <w:p>
            <w:pPr>
              <w:spacing w:after="0"/>
            </w:pPr>
            <w:r/>
            <w:r>
              <w:rPr>
                <w:b/>
                <w:color w:val="FFFFFF"/>
                <w:sz w:val="16"/>
              </w:rPr>
              <w:t>State</w:t>
            </w:r>
          </w:p>
        </w:tc>
        <w:tc>
          <w:tcPr>
            <w:tcW w:type="dxa" w:w="5040"/>
            <w:vAlign w:val="center"/>
            <w:shd w:fill="123B5D"/>
          </w:tcPr>
          <w:p>
            <w:pPr>
              <w:spacing w:after="0"/>
            </w:pPr>
            <w:r/>
            <w:r>
              <w:rPr>
                <w:b/>
                <w:color w:val="FFFFFF"/>
                <w:sz w:val="16"/>
              </w:rPr>
              <w:t>Meaning</w:t>
            </w:r>
          </w:p>
        </w:tc>
      </w:tr>
      <w:tr>
        <w:tc>
          <w:tcPr>
            <w:tcW w:type="dxa" w:w="5040"/>
            <w:vAlign w:val="center"/>
          </w:tcPr>
          <w:p>
            <w:pPr>
              <w:spacing w:after="0"/>
            </w:pPr>
            <w:r/>
            <w:r>
              <w:rPr>
                <w:b w:val="0"/>
                <w:sz w:val="15"/>
              </w:rPr>
              <w:t>candidate</w:t>
            </w:r>
          </w:p>
        </w:tc>
        <w:tc>
          <w:tcPr>
            <w:tcW w:type="dxa" w:w="5040"/>
            <w:vAlign w:val="center"/>
          </w:tcPr>
          <w:p>
            <w:pPr>
              <w:spacing w:after="0"/>
            </w:pPr>
            <w:r/>
            <w:r>
              <w:rPr>
                <w:b w:val="0"/>
                <w:sz w:val="15"/>
              </w:rPr>
              <w:t>Signal created; not approved</w:t>
            </w:r>
          </w:p>
        </w:tc>
      </w:tr>
      <w:tr>
        <w:tc>
          <w:tcPr>
            <w:tcW w:type="dxa" w:w="5040"/>
            <w:vAlign w:val="center"/>
            <w:shd w:fill="F2F6F8"/>
          </w:tcPr>
          <w:p>
            <w:pPr>
              <w:spacing w:after="0"/>
            </w:pPr>
            <w:r/>
            <w:r>
              <w:rPr>
                <w:b w:val="0"/>
                <w:sz w:val="15"/>
              </w:rPr>
              <w:t>needs_review</w:t>
            </w:r>
          </w:p>
        </w:tc>
        <w:tc>
          <w:tcPr>
            <w:tcW w:type="dxa" w:w="5040"/>
            <w:vAlign w:val="center"/>
            <w:shd w:fill="F2F6F8"/>
          </w:tcPr>
          <w:p>
            <w:pPr>
              <w:spacing w:after="0"/>
            </w:pPr>
            <w:r/>
            <w:r>
              <w:rPr>
                <w:b w:val="0"/>
                <w:sz w:val="15"/>
              </w:rPr>
              <w:t>Candidate passed automated gates and awaits human decision</w:t>
            </w:r>
          </w:p>
        </w:tc>
      </w:tr>
      <w:tr>
        <w:tc>
          <w:tcPr>
            <w:tcW w:type="dxa" w:w="5040"/>
            <w:vAlign w:val="center"/>
          </w:tcPr>
          <w:p>
            <w:pPr>
              <w:spacing w:after="0"/>
            </w:pPr>
            <w:r/>
            <w:r>
              <w:rPr>
                <w:b w:val="0"/>
                <w:sz w:val="15"/>
              </w:rPr>
              <w:t>rejected</w:t>
            </w:r>
          </w:p>
        </w:tc>
        <w:tc>
          <w:tcPr>
            <w:tcW w:type="dxa" w:w="5040"/>
            <w:vAlign w:val="center"/>
          </w:tcPr>
          <w:p>
            <w:pPr>
              <w:spacing w:after="0"/>
            </w:pPr>
            <w:r/>
            <w:r>
              <w:rPr>
                <w:b w:val="0"/>
                <w:sz w:val="15"/>
              </w:rPr>
              <w:t>Reviewer declined; reason required</w:t>
            </w:r>
          </w:p>
        </w:tc>
      </w:tr>
      <w:tr>
        <w:tc>
          <w:tcPr>
            <w:tcW w:type="dxa" w:w="5040"/>
            <w:vAlign w:val="center"/>
            <w:shd w:fill="F2F6F8"/>
          </w:tcPr>
          <w:p>
            <w:pPr>
              <w:spacing w:after="0"/>
            </w:pPr>
            <w:r/>
            <w:r>
              <w:rPr>
                <w:b w:val="0"/>
                <w:sz w:val="15"/>
              </w:rPr>
              <w:t>approved</w:t>
            </w:r>
          </w:p>
        </w:tc>
        <w:tc>
          <w:tcPr>
            <w:tcW w:type="dxa" w:w="5040"/>
            <w:vAlign w:val="center"/>
            <w:shd w:fill="F2F6F8"/>
          </w:tcPr>
          <w:p>
            <w:pPr>
              <w:spacing w:after="0"/>
            </w:pPr>
            <w:r/>
            <w:r>
              <w:rPr>
                <w:b w:val="0"/>
                <w:sz w:val="15"/>
              </w:rPr>
              <w:t>Reviewer authorized dispatch</w:t>
            </w:r>
          </w:p>
        </w:tc>
      </w:tr>
      <w:tr>
        <w:tc>
          <w:tcPr>
            <w:tcW w:type="dxa" w:w="5040"/>
            <w:vAlign w:val="center"/>
          </w:tcPr>
          <w:p>
            <w:pPr>
              <w:spacing w:after="0"/>
            </w:pPr>
            <w:r/>
            <w:r>
              <w:rPr>
                <w:b w:val="0"/>
                <w:sz w:val="15"/>
              </w:rPr>
              <w:t>queued</w:t>
            </w:r>
          </w:p>
        </w:tc>
        <w:tc>
          <w:tcPr>
            <w:tcW w:type="dxa" w:w="5040"/>
            <w:vAlign w:val="center"/>
          </w:tcPr>
          <w:p>
            <w:pPr>
              <w:spacing w:after="0"/>
            </w:pPr>
            <w:r/>
            <w:r>
              <w:rPr>
                <w:b w:val="0"/>
                <w:sz w:val="15"/>
              </w:rPr>
              <w:t>Durable send task created</w:t>
            </w:r>
          </w:p>
        </w:tc>
      </w:tr>
      <w:tr>
        <w:tc>
          <w:tcPr>
            <w:tcW w:type="dxa" w:w="5040"/>
            <w:vAlign w:val="center"/>
            <w:shd w:fill="F2F6F8"/>
          </w:tcPr>
          <w:p>
            <w:pPr>
              <w:spacing w:after="0"/>
            </w:pPr>
            <w:r/>
            <w:r>
              <w:rPr>
                <w:b w:val="0"/>
                <w:sz w:val="15"/>
              </w:rPr>
              <w:t>submitted</w:t>
            </w:r>
          </w:p>
        </w:tc>
        <w:tc>
          <w:tcPr>
            <w:tcW w:type="dxa" w:w="5040"/>
            <w:vAlign w:val="center"/>
            <w:shd w:fill="F2F6F8"/>
          </w:tcPr>
          <w:p>
            <w:pPr>
              <w:spacing w:after="0"/>
            </w:pPr>
            <w:r/>
            <w:r>
              <w:rPr>
                <w:b w:val="0"/>
                <w:sz w:val="15"/>
              </w:rPr>
              <w:t>Provider accepted submission</w:t>
            </w:r>
          </w:p>
        </w:tc>
      </w:tr>
      <w:tr>
        <w:tc>
          <w:tcPr>
            <w:tcW w:type="dxa" w:w="5040"/>
            <w:vAlign w:val="center"/>
          </w:tcPr>
          <w:p>
            <w:pPr>
              <w:spacing w:after="0"/>
            </w:pPr>
            <w:r/>
            <w:r>
              <w:rPr>
                <w:b w:val="0"/>
                <w:sz w:val="15"/>
              </w:rPr>
              <w:t>delivered</w:t>
            </w:r>
          </w:p>
        </w:tc>
        <w:tc>
          <w:tcPr>
            <w:tcW w:type="dxa" w:w="5040"/>
            <w:vAlign w:val="center"/>
          </w:tcPr>
          <w:p>
            <w:pPr>
              <w:spacing w:after="0"/>
            </w:pPr>
            <w:r/>
            <w:r>
              <w:rPr>
                <w:b w:val="0"/>
                <w:sz w:val="15"/>
              </w:rPr>
              <w:t>Provider reports delivery where available; not proof of comprehension</w:t>
            </w:r>
          </w:p>
        </w:tc>
      </w:tr>
      <w:tr>
        <w:tc>
          <w:tcPr>
            <w:tcW w:type="dxa" w:w="5040"/>
            <w:vAlign w:val="center"/>
            <w:shd w:fill="F2F6F8"/>
          </w:tcPr>
          <w:p>
            <w:pPr>
              <w:spacing w:after="0"/>
            </w:pPr>
            <w:r/>
            <w:r>
              <w:rPr>
                <w:b w:val="0"/>
                <w:sz w:val="15"/>
              </w:rPr>
              <w:t>failed</w:t>
            </w:r>
          </w:p>
        </w:tc>
        <w:tc>
          <w:tcPr>
            <w:tcW w:type="dxa" w:w="5040"/>
            <w:vAlign w:val="center"/>
            <w:shd w:fill="F2F6F8"/>
          </w:tcPr>
          <w:p>
            <w:pPr>
              <w:spacing w:after="0"/>
            </w:pPr>
            <w:r/>
            <w:r>
              <w:rPr>
                <w:b w:val="0"/>
                <w:sz w:val="15"/>
              </w:rPr>
              <w:t>Permanent or exhausted transient failure; reason category retained</w:t>
            </w:r>
          </w:p>
        </w:tc>
      </w:tr>
      <w:tr>
        <w:tc>
          <w:tcPr>
            <w:tcW w:type="dxa" w:w="5040"/>
            <w:vAlign w:val="center"/>
          </w:tcPr>
          <w:p>
            <w:pPr>
              <w:spacing w:after="0"/>
            </w:pPr>
            <w:r/>
            <w:r>
              <w:rPr>
                <w:b w:val="0"/>
                <w:sz w:val="15"/>
              </w:rPr>
              <w:t>acknowledged</w:t>
            </w:r>
          </w:p>
        </w:tc>
        <w:tc>
          <w:tcPr>
            <w:tcW w:type="dxa" w:w="5040"/>
            <w:vAlign w:val="center"/>
          </w:tcPr>
          <w:p>
            <w:pPr>
              <w:spacing w:after="0"/>
            </w:pPr>
            <w:r/>
            <w:r>
              <w:rPr>
                <w:b w:val="0"/>
                <w:sz w:val="15"/>
              </w:rPr>
              <w:t>Recipient explicitly acknowledged</w:t>
            </w:r>
          </w:p>
        </w:tc>
      </w:tr>
      <w:tr>
        <w:tc>
          <w:tcPr>
            <w:tcW w:type="dxa" w:w="5040"/>
            <w:vAlign w:val="center"/>
            <w:shd w:fill="F2F6F8"/>
          </w:tcPr>
          <w:p>
            <w:pPr>
              <w:spacing w:after="0"/>
            </w:pPr>
            <w:r/>
            <w:r>
              <w:rPr>
                <w:b w:val="0"/>
                <w:sz w:val="15"/>
              </w:rPr>
              <w:t>action_open</w:t>
            </w:r>
          </w:p>
        </w:tc>
        <w:tc>
          <w:tcPr>
            <w:tcW w:type="dxa" w:w="5040"/>
            <w:vAlign w:val="center"/>
            <w:shd w:fill="F2F6F8"/>
          </w:tcPr>
          <w:p>
            <w:pPr>
              <w:spacing w:after="0"/>
            </w:pPr>
            <w:r/>
            <w:r>
              <w:rPr>
                <w:b w:val="0"/>
                <w:sz w:val="15"/>
              </w:rPr>
              <w:t>Follow-up/action task exists</w:t>
            </w:r>
          </w:p>
        </w:tc>
      </w:tr>
      <w:tr>
        <w:tc>
          <w:tcPr>
            <w:tcW w:type="dxa" w:w="5040"/>
            <w:vAlign w:val="center"/>
          </w:tcPr>
          <w:p>
            <w:pPr>
              <w:spacing w:after="0"/>
            </w:pPr>
            <w:r/>
            <w:r>
              <w:rPr>
                <w:b w:val="0"/>
                <w:sz w:val="15"/>
              </w:rPr>
              <w:t>closed</w:t>
            </w:r>
          </w:p>
        </w:tc>
        <w:tc>
          <w:tcPr>
            <w:tcW w:type="dxa" w:w="5040"/>
            <w:vAlign w:val="center"/>
          </w:tcPr>
          <w:p>
            <w:pPr>
              <w:spacing w:after="0"/>
            </w:pPr>
            <w:r/>
            <w:r>
              <w:rPr>
                <w:b w:val="0"/>
                <w:sz w:val="15"/>
              </w:rPr>
              <w:t>Follow-up completed or resolved with reason</w:t>
            </w:r>
          </w:p>
        </w:tc>
      </w:tr>
    </w:tbl>
    <w:p/>
    <w:p>
      <w:pPr>
        <w:pStyle w:val="Heading2"/>
        <w:keepNext/>
      </w:pPr>
      <w:r>
        <w:t>9.3 Messaging technical safeguards</w:t>
      </w:r>
    </w:p>
    <w:p>
      <w:pPr>
        <w:pStyle w:val="ListBullet"/>
        <w:spacing w:after="40"/>
      </w:pPr>
      <w:r>
        <w:t>Do not embed phone numbers in ordinary application logs.</w:t>
      </w:r>
    </w:p>
    <w:p>
      <w:pPr>
        <w:pStyle w:val="ListBullet"/>
        <w:spacing w:after="40"/>
      </w:pPr>
      <w:r>
        <w:t>Normalize phone numbers to a canonical format and validate country code.</w:t>
      </w:r>
    </w:p>
    <w:p>
      <w:pPr>
        <w:pStyle w:val="ListBullet"/>
        <w:spacing w:after="40"/>
      </w:pPr>
      <w:r>
        <w:t>Store provider credentials in a secret manager/environment injection, not source code.</w:t>
      </w:r>
    </w:p>
    <w:p>
      <w:pPr>
        <w:pStyle w:val="ListBullet"/>
        <w:spacing w:after="40"/>
      </w:pPr>
      <w:r>
        <w:t>Implement recipient-level rate limits, alert cooldown, escalation rules and duplicate suppression.</w:t>
      </w:r>
    </w:p>
    <w:p>
      <w:pPr>
        <w:pStyle w:val="ListBullet"/>
        <w:spacing w:after="40"/>
      </w:pPr>
      <w:r>
        <w:t>Separate transient errors (timeouts, throttling) from permanent errors (invalid number, permission/template issue).</w:t>
      </w:r>
    </w:p>
    <w:p>
      <w:pPr>
        <w:pStyle w:val="ListBullet"/>
        <w:spacing w:after="40"/>
      </w:pPr>
      <w:r>
        <w:t>Confirm current WhatsApp template and business-initiated messaging rules with the chosen provider before production.</w:t>
      </w:r>
    </w:p>
    <w:p>
      <w:pPr>
        <w:pStyle w:val="ListBullet"/>
        <w:spacing w:after="40"/>
      </w:pPr>
      <w:r>
        <w:t>Use test/sandbox recipients for integration tests; production recipients require operational approval.</w:t>
      </w:r>
    </w:p>
    <w:p>
      <w:pPr>
        <w:pStyle w:val="ListBullet"/>
        <w:spacing w:after="40"/>
      </w:pPr>
      <w:r>
        <w:t>Message wording must not state a precise groundwater depletion date unless the corresponding claim has passed validation and approval.</w:t>
      </w:r>
    </w:p>
    <w:p>
      <w:pPr>
        <w:pStyle w:val="Heading1"/>
        <w:keepNext/>
      </w:pPr>
      <w:r>
        <w:t>10. Security &amp; Privacy Requirements</w:t>
      </w:r>
    </w:p>
    <w:p>
      <w:pPr>
        <w:spacing w:before="60"/>
      </w:pPr>
      <w:r>
        <w:rPr>
          <w:b/>
          <w:color w:val="176B87"/>
        </w:rPr>
        <w:t>SEC-001 — Authentication [Must]</w:t>
      </w:r>
    </w:p>
    <w:p>
      <w:r>
        <w:t>Use a supported authentication mechanism for staff; privileged users require stronger authentication where feasible.</w:t>
      </w:r>
    </w:p>
    <w:p>
      <w:pPr>
        <w:spacing w:after="80"/>
        <w:ind w:left="259"/>
      </w:pPr>
      <w:r>
        <w:rPr>
          <w:b/>
        </w:rPr>
        <w:t xml:space="preserve">Verification: </w:t>
      </w:r>
      <w:r>
        <w:t>Unauthorized requests are rejected; privileged access is protected and tested.</w:t>
      </w:r>
    </w:p>
    <w:p>
      <w:pPr>
        <w:spacing w:before="60"/>
      </w:pPr>
      <w:r>
        <w:rPr>
          <w:b/>
          <w:color w:val="176B87"/>
        </w:rPr>
        <w:t>SEC-002 — RBAC and jurisdiction scope [Must]</w:t>
      </w:r>
    </w:p>
    <w:p>
      <w:r>
        <w:t>Enforce role and district/block scope at service/data layer, not only in UI.</w:t>
      </w:r>
    </w:p>
    <w:p>
      <w:pPr>
        <w:spacing w:after="80"/>
        <w:ind w:left="259"/>
      </w:pPr>
      <w:r>
        <w:rPr>
          <w:b/>
        </w:rPr>
        <w:t xml:space="preserve">Verification: </w:t>
      </w:r>
      <w:r>
        <w:t>Automated tests prove cross-scope data cannot be read or modified.</w:t>
      </w:r>
    </w:p>
    <w:p>
      <w:pPr>
        <w:spacing w:before="60"/>
      </w:pPr>
      <w:r>
        <w:rPr>
          <w:b/>
          <w:color w:val="176B87"/>
        </w:rPr>
        <w:t>SEC-003 — Secrets management [Must]</w:t>
      </w:r>
    </w:p>
    <w:p>
      <w:r>
        <w:t>Keep API keys, database passwords and messaging tokens in a secret store or secure deployment secret mechanism.</w:t>
      </w:r>
    </w:p>
    <w:p>
      <w:pPr>
        <w:spacing w:after="80"/>
        <w:ind w:left="259"/>
      </w:pPr>
      <w:r>
        <w:rPr>
          <w:b/>
        </w:rPr>
        <w:t xml:space="preserve">Verification: </w:t>
      </w:r>
      <w:r>
        <w:t>Repository and container scans find no live secrets; rotation procedure is documented.</w:t>
      </w:r>
    </w:p>
    <w:p>
      <w:pPr>
        <w:spacing w:before="60"/>
      </w:pPr>
      <w:r>
        <w:rPr>
          <w:b/>
          <w:color w:val="176B87"/>
        </w:rPr>
        <w:t>SEC-004 — Encryption [Must]</w:t>
      </w:r>
    </w:p>
    <w:p>
      <w:r>
        <w:t>Use TLS for service traffic and appropriate encryption at rest for databases, backups and object storage.</w:t>
      </w:r>
    </w:p>
    <w:p>
      <w:pPr>
        <w:spacing w:after="80"/>
        <w:ind w:left="259"/>
      </w:pPr>
      <w:r>
        <w:rPr>
          <w:b/>
        </w:rPr>
        <w:t xml:space="preserve">Verification: </w:t>
      </w:r>
      <w:r>
        <w:t>Configuration is reviewed; expired/invalid certificates alert operations.</w:t>
      </w:r>
    </w:p>
    <w:p>
      <w:pPr>
        <w:spacing w:before="60"/>
      </w:pPr>
      <w:r>
        <w:rPr>
          <w:b/>
          <w:color w:val="176B87"/>
        </w:rPr>
        <w:t>SEC-005 — PII minimization [Must]</w:t>
      </w:r>
    </w:p>
    <w:p>
      <w:r>
        <w:t>Restrict recipient names, phone numbers, message content and feedback to required purposes.</w:t>
      </w:r>
    </w:p>
    <w:p>
      <w:pPr>
        <w:spacing w:after="80"/>
        <w:ind w:left="259"/>
      </w:pPr>
      <w:r>
        <w:rPr>
          <w:b/>
        </w:rPr>
        <w:t xml:space="preserve">Verification: </w:t>
      </w:r>
      <w:r>
        <w:t>Contact data is inaccessible to ordinary map viewers and excluded from public exports.</w:t>
      </w:r>
    </w:p>
    <w:p>
      <w:pPr>
        <w:spacing w:before="60"/>
      </w:pPr>
      <w:r>
        <w:rPr>
          <w:b/>
          <w:color w:val="176B87"/>
        </w:rPr>
        <w:t>SEC-006 — Audit [Must]</w:t>
      </w:r>
    </w:p>
    <w:p>
      <w:r>
        <w:t>Log security-sensitive actions, permission changes, exports, alert approvals and dispatches.</w:t>
      </w:r>
    </w:p>
    <w:p>
      <w:pPr>
        <w:spacing w:after="80"/>
        <w:ind w:left="259"/>
      </w:pPr>
      <w:r>
        <w:rPr>
          <w:b/>
        </w:rPr>
        <w:t xml:space="preserve">Verification: </w:t>
      </w:r>
      <w:r>
        <w:t>Authorized audit can reconstruct actor, action, time, target and outcome.</w:t>
      </w:r>
    </w:p>
    <w:p>
      <w:pPr>
        <w:spacing w:before="60"/>
      </w:pPr>
      <w:r>
        <w:rPr>
          <w:b/>
          <w:color w:val="176B87"/>
        </w:rPr>
        <w:t>SEC-007 — Retention and deletion [Must]</w:t>
      </w:r>
    </w:p>
    <w:p>
      <w:r>
        <w:t>Define retention by data category, including contacts, messages, raw snapshots and logs.</w:t>
      </w:r>
    </w:p>
    <w:p>
      <w:pPr>
        <w:spacing w:after="80"/>
        <w:ind w:left="259"/>
      </w:pPr>
      <w:r>
        <w:rPr>
          <w:b/>
        </w:rPr>
        <w:t xml:space="preserve">Verification: </w:t>
      </w:r>
      <w:r>
        <w:t>Scheduled cleanup and deletion evidence are tested, subject to applicable legal holds.</w:t>
      </w:r>
    </w:p>
    <w:p>
      <w:pPr>
        <w:spacing w:before="60"/>
      </w:pPr>
      <w:r>
        <w:rPr>
          <w:b/>
          <w:color w:val="176B87"/>
        </w:rPr>
        <w:t>SEC-008 — Dependency security [Must]</w:t>
      </w:r>
    </w:p>
    <w:p>
      <w:r>
        <w:t>Pin dependencies, scan known vulnerabilities and patch according to severity policy.</w:t>
      </w:r>
    </w:p>
    <w:p>
      <w:pPr>
        <w:spacing w:after="80"/>
        <w:ind w:left="259"/>
      </w:pPr>
      <w:r>
        <w:rPr>
          <w:b/>
        </w:rPr>
        <w:t xml:space="preserve">Verification: </w:t>
      </w:r>
      <w:r>
        <w:t>CI reports vulnerable packages; release process documents exceptions.</w:t>
      </w:r>
    </w:p>
    <w:p>
      <w:pPr>
        <w:spacing w:before="60"/>
      </w:pPr>
      <w:r>
        <w:rPr>
          <w:b/>
          <w:color w:val="176B87"/>
        </w:rPr>
        <w:t>SEC-009 — Incident response [Must]</w:t>
      </w:r>
    </w:p>
    <w:p>
      <w:r>
        <w:t>Document triage, containment, notification, recovery and evidence preservation.</w:t>
      </w:r>
    </w:p>
    <w:p>
      <w:pPr>
        <w:spacing w:after="80"/>
        <w:ind w:left="259"/>
      </w:pPr>
      <w:r>
        <w:rPr>
          <w:b/>
        </w:rPr>
        <w:t xml:space="preserve">Verification: </w:t>
      </w:r>
      <w:r>
        <w:t>Tabletop exercise completed before live recipient messaging.</w:t>
      </w:r>
    </w:p>
    <w:p>
      <w:pPr>
        <w:spacing w:before="60"/>
      </w:pPr>
      <w:r>
        <w:rPr>
          <w:b/>
          <w:color w:val="176B87"/>
        </w:rPr>
        <w:t>SEC-010 — Compliance review [Must]</w:t>
      </w:r>
    </w:p>
    <w:p>
      <w:r>
        <w:t>Obtain legal/government review for applicable DPDP obligations, open-data policy, data-sharing terms and provider rules.</w:t>
      </w:r>
    </w:p>
    <w:p>
      <w:pPr>
        <w:spacing w:after="80"/>
        <w:ind w:left="259"/>
      </w:pPr>
      <w:r>
        <w:rPr>
          <w:b/>
        </w:rPr>
        <w:t xml:space="preserve">Verification: </w:t>
      </w:r>
      <w:r>
        <w:t>Written approval/exception record exists before production processing.</w:t>
      </w:r>
    </w:p>
    <w:p>
      <w:pPr>
        <w:pStyle w:val="Heading1"/>
        <w:keepNext/>
      </w:pPr>
      <w:r>
        <w:t>11. Deployment &amp; Environments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23B5D"/>
          </w:tcPr>
          <w:p>
            <w:pPr>
              <w:spacing w:after="0"/>
            </w:pPr>
            <w:r/>
            <w:r>
              <w:rPr>
                <w:b/>
                <w:color w:val="FFFFFF"/>
                <w:sz w:val="16"/>
              </w:rPr>
              <w:t>Environment</w:t>
            </w:r>
          </w:p>
        </w:tc>
        <w:tc>
          <w:tcPr>
            <w:tcW w:type="dxa" w:w="3360"/>
            <w:vAlign w:val="center"/>
            <w:shd w:fill="123B5D"/>
          </w:tcPr>
          <w:p>
            <w:pPr>
              <w:spacing w:after="0"/>
            </w:pPr>
            <w:r/>
            <w:r>
              <w:rPr>
                <w:b/>
                <w:color w:val="FFFFFF"/>
                <w:sz w:val="16"/>
              </w:rPr>
              <w:t>Purpose</w:t>
            </w:r>
          </w:p>
        </w:tc>
        <w:tc>
          <w:tcPr>
            <w:tcW w:type="dxa" w:w="3360"/>
            <w:vAlign w:val="center"/>
            <w:shd w:fill="123B5D"/>
          </w:tcPr>
          <w:p>
            <w:pPr>
              <w:spacing w:after="0"/>
            </w:pPr>
            <w:r/>
            <w:r>
              <w:rPr>
                <w:b/>
                <w:color w:val="FFFFFF"/>
                <w:sz w:val="16"/>
              </w:rPr>
              <w:t>Data and controls</w:t>
            </w:r>
          </w:p>
        </w:tc>
      </w:tr>
      <w:tr>
        <w:tc>
          <w:tcPr>
            <w:tcW w:type="dxa" w:w="3360"/>
            <w:vAlign w:val="center"/>
          </w:tcPr>
          <w:p>
            <w:pPr>
              <w:spacing w:after="0"/>
            </w:pPr>
            <w:r/>
            <w:r>
              <w:rPr>
                <w:b w:val="0"/>
                <w:sz w:val="15"/>
              </w:rPr>
              <w:t>Local development</w:t>
            </w:r>
          </w:p>
        </w:tc>
        <w:tc>
          <w:tcPr>
            <w:tcW w:type="dxa" w:w="3360"/>
            <w:vAlign w:val="center"/>
          </w:tcPr>
          <w:p>
            <w:pPr>
              <w:spacing w:after="0"/>
            </w:pPr>
            <w:r/>
            <w:r>
              <w:rPr>
                <w:b w:val="0"/>
                <w:sz w:val="15"/>
              </w:rPr>
              <w:t>Unit tests, synthetic fixtures and local feature work</w:t>
            </w:r>
          </w:p>
        </w:tc>
        <w:tc>
          <w:tcPr>
            <w:tcW w:type="dxa" w:w="3360"/>
            <w:vAlign w:val="center"/>
          </w:tcPr>
          <w:p>
            <w:pPr>
              <w:spacing w:after="0"/>
            </w:pPr>
            <w:r/>
            <w:r>
              <w:rPr>
                <w:b w:val="0"/>
                <w:sz w:val="15"/>
              </w:rPr>
              <w:t>No production contact data or secrets</w:t>
            </w:r>
          </w:p>
        </w:tc>
      </w:tr>
      <w:tr>
        <w:tc>
          <w:tcPr>
            <w:tcW w:type="dxa" w:w="3360"/>
            <w:vAlign w:val="center"/>
            <w:shd w:fill="F2F6F8"/>
          </w:tcPr>
          <w:p>
            <w:pPr>
              <w:spacing w:after="0"/>
            </w:pPr>
            <w:r/>
            <w:r>
              <w:rPr>
                <w:b w:val="0"/>
                <w:sz w:val="15"/>
              </w:rPr>
              <w:t>CI/test</w:t>
            </w:r>
          </w:p>
        </w:tc>
        <w:tc>
          <w:tcPr>
            <w:tcW w:type="dxa" w:w="3360"/>
            <w:vAlign w:val="center"/>
            <w:shd w:fill="F2F6F8"/>
          </w:tcPr>
          <w:p>
            <w:pPr>
              <w:spacing w:after="0"/>
            </w:pPr>
            <w:r/>
            <w:r>
              <w:rPr>
                <w:b w:val="0"/>
                <w:sz w:val="15"/>
              </w:rPr>
              <w:t>Automated tests, linting, type checks, security scans, migrations</w:t>
            </w:r>
          </w:p>
        </w:tc>
        <w:tc>
          <w:tcPr>
            <w:tcW w:type="dxa" w:w="3360"/>
            <w:vAlign w:val="center"/>
            <w:shd w:fill="F2F6F8"/>
          </w:tcPr>
          <w:p>
            <w:pPr>
              <w:spacing w:after="0"/>
            </w:pPr>
            <w:r/>
            <w:r>
              <w:rPr>
                <w:b w:val="0"/>
                <w:sz w:val="15"/>
              </w:rPr>
              <w:t>Synthetic or approved de-identified fixtures</w:t>
            </w:r>
          </w:p>
        </w:tc>
      </w:tr>
      <w:tr>
        <w:tc>
          <w:tcPr>
            <w:tcW w:type="dxa" w:w="3360"/>
            <w:vAlign w:val="center"/>
          </w:tcPr>
          <w:p>
            <w:pPr>
              <w:spacing w:after="0"/>
            </w:pPr>
            <w:r/>
            <w:r>
              <w:rPr>
                <w:b w:val="0"/>
                <w:sz w:val="15"/>
              </w:rPr>
              <w:t>Staging</w:t>
            </w:r>
          </w:p>
        </w:tc>
        <w:tc>
          <w:tcPr>
            <w:tcW w:type="dxa" w:w="3360"/>
            <w:vAlign w:val="center"/>
          </w:tcPr>
          <w:p>
            <w:pPr>
              <w:spacing w:after="0"/>
            </w:pPr>
            <w:r/>
            <w:r>
              <w:rPr>
                <w:b w:val="0"/>
                <w:sz w:val="15"/>
              </w:rPr>
              <w:t>End-to-end integration, realistic data volume, provider sandbox</w:t>
            </w:r>
          </w:p>
        </w:tc>
        <w:tc>
          <w:tcPr>
            <w:tcW w:type="dxa" w:w="3360"/>
            <w:vAlign w:val="center"/>
          </w:tcPr>
          <w:p>
            <w:pPr>
              <w:spacing w:after="0"/>
            </w:pPr>
            <w:r/>
            <w:r>
              <w:rPr>
                <w:b w:val="0"/>
                <w:sz w:val="15"/>
              </w:rPr>
              <w:t>Separate credentials, restricted access, masked/minimized data</w:t>
            </w:r>
          </w:p>
        </w:tc>
      </w:tr>
      <w:tr>
        <w:tc>
          <w:tcPr>
            <w:tcW w:type="dxa" w:w="3360"/>
            <w:vAlign w:val="center"/>
            <w:shd w:fill="F2F6F8"/>
          </w:tcPr>
          <w:p>
            <w:pPr>
              <w:spacing w:after="0"/>
            </w:pPr>
            <w:r/>
            <w:r>
              <w:rPr>
                <w:b w:val="0"/>
                <w:sz w:val="15"/>
              </w:rPr>
              <w:t>Shadow pilot</w:t>
            </w:r>
          </w:p>
        </w:tc>
        <w:tc>
          <w:tcPr>
            <w:tcW w:type="dxa" w:w="3360"/>
            <w:vAlign w:val="center"/>
            <w:shd w:fill="F2F6F8"/>
          </w:tcPr>
          <w:p>
            <w:pPr>
              <w:spacing w:after="0"/>
            </w:pPr>
            <w:r/>
            <w:r>
              <w:rPr>
                <w:b w:val="0"/>
                <w:sz w:val="15"/>
              </w:rPr>
              <w:t>Real approved datasets; candidate outputs not dispatched</w:t>
            </w:r>
          </w:p>
        </w:tc>
        <w:tc>
          <w:tcPr>
            <w:tcW w:type="dxa" w:w="3360"/>
            <w:vAlign w:val="center"/>
            <w:shd w:fill="F2F6F8"/>
          </w:tcPr>
          <w:p>
            <w:pPr>
              <w:spacing w:after="0"/>
            </w:pPr>
            <w:r/>
            <w:r>
              <w:rPr>
                <w:b w:val="0"/>
                <w:sz w:val="15"/>
              </w:rPr>
              <w:t>Read-only/limited roles, monitoring, science review, no live notifications</w:t>
            </w:r>
          </w:p>
        </w:tc>
      </w:tr>
      <w:tr>
        <w:tc>
          <w:tcPr>
            <w:tcW w:type="dxa" w:w="3360"/>
            <w:vAlign w:val="center"/>
          </w:tcPr>
          <w:p>
            <w:pPr>
              <w:spacing w:after="0"/>
            </w:pPr>
            <w:r/>
            <w:r>
              <w:rPr>
                <w:b w:val="0"/>
                <w:sz w:val="15"/>
              </w:rPr>
              <w:t>Production pilot</w:t>
            </w:r>
          </w:p>
        </w:tc>
        <w:tc>
          <w:tcPr>
            <w:tcW w:type="dxa" w:w="3360"/>
            <w:vAlign w:val="center"/>
          </w:tcPr>
          <w:p>
            <w:pPr>
              <w:spacing w:after="0"/>
            </w:pPr>
            <w:r/>
            <w:r>
              <w:rPr>
                <w:b w:val="0"/>
                <w:sz w:val="15"/>
              </w:rPr>
              <w:t>Approved blocks, authorized users, reviewed alerts</w:t>
            </w:r>
          </w:p>
        </w:tc>
        <w:tc>
          <w:tcPr>
            <w:tcW w:type="dxa" w:w="3360"/>
            <w:vAlign w:val="center"/>
          </w:tcPr>
          <w:p>
            <w:pPr>
              <w:spacing w:after="0"/>
            </w:pPr>
            <w:r/>
            <w:r>
              <w:rPr>
                <w:b w:val="0"/>
                <w:sz w:val="15"/>
              </w:rPr>
              <w:t>Backups, incident coverage, change control, restricted recipient data</w:t>
            </w:r>
          </w:p>
        </w:tc>
      </w:tr>
    </w:tbl>
    <w:p/>
    <w:p>
      <w:pPr>
        <w:pStyle w:val="Heading2"/>
        <w:keepNext/>
      </w:pPr>
      <w:r>
        <w:t>11.1 Deployment requirements</w:t>
      </w:r>
    </w:p>
    <w:p>
      <w:pPr>
        <w:pStyle w:val="ListBullet"/>
        <w:spacing w:after="40"/>
      </w:pPr>
      <w:r>
        <w:t>Containerize services with pinned base images and dependency lockfiles.</w:t>
      </w:r>
    </w:p>
    <w:p>
      <w:pPr>
        <w:pStyle w:val="ListBullet"/>
        <w:spacing w:after="40"/>
      </w:pPr>
      <w:r>
        <w:t>Use infrastructure as code for repeatable networks, databases, queues, storage, secrets and monitoring where platform permits.</w:t>
      </w:r>
    </w:p>
    <w:p>
      <w:pPr>
        <w:pStyle w:val="ListBullet"/>
        <w:spacing w:after="40"/>
      </w:pPr>
      <w:r>
        <w:t>Separate configuration from code and validate configuration at startup.</w:t>
      </w:r>
    </w:p>
    <w:p>
      <w:pPr>
        <w:pStyle w:val="ListBullet"/>
        <w:spacing w:after="40"/>
      </w:pPr>
      <w:r>
        <w:t>Run database migrations as a controlled release step with backup and rollback plan.</w:t>
      </w:r>
    </w:p>
    <w:p>
      <w:pPr>
        <w:pStyle w:val="ListBullet"/>
        <w:spacing w:after="40"/>
      </w:pPr>
      <w:r>
        <w:t>Use health/readiness checks and graceful shutdown for workers.</w:t>
      </w:r>
    </w:p>
    <w:p>
      <w:pPr>
        <w:pStyle w:val="ListBullet"/>
        <w:spacing w:after="40"/>
      </w:pPr>
      <w:r>
        <w:t>Set resource limits, queue concurrency and processing quotas; avoid uncontrolled fan-out to external APIs.</w:t>
      </w:r>
    </w:p>
    <w:p>
      <w:pPr>
        <w:pStyle w:val="ListBullet"/>
        <w:spacing w:after="40"/>
      </w:pPr>
      <w:r>
        <w:t>Do not deploy model artifacts or risk thresholds directly from a developer workstation.</w:t>
      </w:r>
    </w:p>
    <w:p>
      <w:pPr>
        <w:pStyle w:val="ListBullet"/>
        <w:spacing w:after="40"/>
      </w:pPr>
      <w:r>
        <w:t>Document hosting jurisdiction, data residency, network egress and procurement/security approval for the selected environment.</w:t>
      </w:r>
    </w:p>
    <w:p>
      <w:pPr>
        <w:pStyle w:val="Heading1"/>
        <w:keepNext/>
      </w:pPr>
      <w:r>
        <w:t>12. CI/CD, Versioning &amp; Release Management</w:t>
      </w:r>
    </w:p>
    <w:p>
      <w:pPr>
        <w:pStyle w:val="ListBullet"/>
        <w:spacing w:after="40"/>
      </w:pPr>
      <w:r>
        <w:t>Branch protection and code review for mainline changes; scientific logic requires designated domain review.</w:t>
      </w:r>
    </w:p>
    <w:p>
      <w:pPr>
        <w:pStyle w:val="ListBullet"/>
        <w:spacing w:after="40"/>
      </w:pPr>
      <w:r>
        <w:t>CI stages: formatting/lint, static analysis, unit tests, integration/contract tests, migration tests, dependency/security scan, build and artifact provenance.</w:t>
      </w:r>
    </w:p>
    <w:p>
      <w:pPr>
        <w:pStyle w:val="ListBullet"/>
        <w:spacing w:after="40"/>
      </w:pPr>
      <w:r>
        <w:t>Build immutable container images; tag releases with commit SHA and semantic version.</w:t>
      </w:r>
    </w:p>
    <w:p>
      <w:pPr>
        <w:pStyle w:val="ListBullet"/>
        <w:spacing w:after="40"/>
      </w:pPr>
      <w:r>
        <w:t>Keep data pipeline version, feature version, model version, threshold version and alert-template version separate.</w:t>
      </w:r>
    </w:p>
    <w:p>
      <w:pPr>
        <w:pStyle w:val="ListBullet"/>
        <w:spacing w:after="40"/>
      </w:pPr>
      <w:r>
        <w:t>Use staging and shadow mode before enabling new model or threshold in production.</w:t>
      </w:r>
    </w:p>
    <w:p>
      <w:pPr>
        <w:pStyle w:val="ListBullet"/>
        <w:spacing w:after="40"/>
      </w:pPr>
      <w:r>
        <w:t>Deploy using rolling/blue-green strategy where appropriate; for a small pilot, a controlled maintenance deployment may be safer and simpler.</w:t>
      </w:r>
    </w:p>
    <w:p>
      <w:pPr>
        <w:pStyle w:val="ListBullet"/>
        <w:spacing w:after="40"/>
      </w:pPr>
      <w:r>
        <w:t>Rollback must include application image, schema compatibility plan, model registry selection, configuration and alerting feature flags.</w:t>
      </w:r>
    </w:p>
    <w:p>
      <w:pPr>
        <w:pStyle w:val="ListBullet"/>
        <w:spacing w:after="40"/>
      </w:pPr>
      <w:r>
        <w:t>Every release note identifies changed requirements, migrations, model/threshold changes, known limitations and rollback steps.</w:t>
      </w:r>
    </w:p>
    <w:p>
      <w:pPr>
        <w:pStyle w:val="Heading1"/>
        <w:keepNext/>
      </w:pPr>
      <w:r>
        <w:t>13. Observability &amp; Operations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23B5D"/>
          </w:tcPr>
          <w:p>
            <w:pPr>
              <w:spacing w:after="0"/>
            </w:pPr>
            <w:r/>
            <w:r>
              <w:rPr>
                <w:b/>
                <w:color w:val="FFFFFF"/>
                <w:sz w:val="16"/>
              </w:rPr>
              <w:t>Signal</w:t>
            </w:r>
          </w:p>
        </w:tc>
        <w:tc>
          <w:tcPr>
            <w:tcW w:type="dxa" w:w="3360"/>
            <w:vAlign w:val="center"/>
            <w:shd w:fill="123B5D"/>
          </w:tcPr>
          <w:p>
            <w:pPr>
              <w:spacing w:after="0"/>
            </w:pPr>
            <w:r/>
            <w:r>
              <w:rPr>
                <w:b/>
                <w:color w:val="FFFFFF"/>
                <w:sz w:val="16"/>
              </w:rPr>
              <w:t>What to measure</w:t>
            </w:r>
          </w:p>
        </w:tc>
        <w:tc>
          <w:tcPr>
            <w:tcW w:type="dxa" w:w="3360"/>
            <w:vAlign w:val="center"/>
            <w:shd w:fill="123B5D"/>
          </w:tcPr>
          <w:p>
            <w:pPr>
              <w:spacing w:after="0"/>
            </w:pPr>
            <w:r/>
            <w:r>
              <w:rPr>
                <w:b/>
                <w:color w:val="FFFFFF"/>
                <w:sz w:val="16"/>
              </w:rPr>
              <w:t>Example alert condition</w:t>
            </w:r>
          </w:p>
        </w:tc>
      </w:tr>
      <w:tr>
        <w:tc>
          <w:tcPr>
            <w:tcW w:type="dxa" w:w="3360"/>
            <w:vAlign w:val="center"/>
          </w:tcPr>
          <w:p>
            <w:pPr>
              <w:spacing w:after="0"/>
            </w:pPr>
            <w:r/>
            <w:r>
              <w:rPr>
                <w:b w:val="0"/>
                <w:sz w:val="15"/>
              </w:rPr>
              <w:t>Ingestion health</w:t>
            </w:r>
          </w:p>
        </w:tc>
        <w:tc>
          <w:tcPr>
            <w:tcW w:type="dxa" w:w="3360"/>
            <w:vAlign w:val="center"/>
          </w:tcPr>
          <w:p>
            <w:pPr>
              <w:spacing w:after="0"/>
            </w:pPr>
            <w:r/>
            <w:r>
              <w:rPr>
                <w:b w:val="0"/>
                <w:sz w:val="15"/>
              </w:rPr>
              <w:t>Job status, duration, records, retries, provider errors</w:t>
            </w:r>
          </w:p>
        </w:tc>
        <w:tc>
          <w:tcPr>
            <w:tcW w:type="dxa" w:w="3360"/>
            <w:vAlign w:val="center"/>
          </w:tcPr>
          <w:p>
            <w:pPr>
              <w:spacing w:after="0"/>
            </w:pPr>
            <w:r/>
            <w:r>
              <w:rPr>
                <w:b w:val="0"/>
                <w:sz w:val="15"/>
              </w:rPr>
              <w:t>Scheduled source misses its approved freshness window</w:t>
            </w:r>
          </w:p>
        </w:tc>
      </w:tr>
      <w:tr>
        <w:tc>
          <w:tcPr>
            <w:tcW w:type="dxa" w:w="3360"/>
            <w:vAlign w:val="center"/>
            <w:shd w:fill="F2F6F8"/>
          </w:tcPr>
          <w:p>
            <w:pPr>
              <w:spacing w:after="0"/>
            </w:pPr>
            <w:r/>
            <w:r>
              <w:rPr>
                <w:b w:val="0"/>
                <w:sz w:val="15"/>
              </w:rPr>
              <w:t>Data quality</w:t>
            </w:r>
          </w:p>
        </w:tc>
        <w:tc>
          <w:tcPr>
            <w:tcW w:type="dxa" w:w="3360"/>
            <w:vAlign w:val="center"/>
            <w:shd w:fill="F2F6F8"/>
          </w:tcPr>
          <w:p>
            <w:pPr>
              <w:spacing w:after="0"/>
            </w:pPr>
            <w:r/>
            <w:r>
              <w:rPr>
                <w:b w:val="0"/>
                <w:sz w:val="15"/>
              </w:rPr>
              <w:t>Missingness, valid pixels, duplicates, schema drift, out-of-range values</w:t>
            </w:r>
          </w:p>
        </w:tc>
        <w:tc>
          <w:tcPr>
            <w:tcW w:type="dxa" w:w="3360"/>
            <w:vAlign w:val="center"/>
            <w:shd w:fill="F2F6F8"/>
          </w:tcPr>
          <w:p>
            <w:pPr>
              <w:spacing w:after="0"/>
            </w:pPr>
            <w:r/>
            <w:r>
              <w:rPr>
                <w:b w:val="0"/>
                <w:sz w:val="15"/>
              </w:rPr>
              <w:t>Coverage drops materially from baseline or schema changes</w:t>
            </w:r>
          </w:p>
        </w:tc>
      </w:tr>
      <w:tr>
        <w:tc>
          <w:tcPr>
            <w:tcW w:type="dxa" w:w="3360"/>
            <w:vAlign w:val="center"/>
          </w:tcPr>
          <w:p>
            <w:pPr>
              <w:spacing w:after="0"/>
            </w:pPr>
            <w:r/>
            <w:r>
              <w:rPr>
                <w:b w:val="0"/>
                <w:sz w:val="15"/>
              </w:rPr>
              <w:t>Geospatial processing</w:t>
            </w:r>
          </w:p>
        </w:tc>
        <w:tc>
          <w:tcPr>
            <w:tcW w:type="dxa" w:w="3360"/>
            <w:vAlign w:val="center"/>
          </w:tcPr>
          <w:p>
            <w:pPr>
              <w:spacing w:after="0"/>
            </w:pPr>
            <w:r/>
            <w:r>
              <w:rPr>
                <w:b w:val="0"/>
                <w:sz w:val="15"/>
              </w:rPr>
              <w:t>Geometry failures, invalid joins, aggregation coverage, processing time</w:t>
            </w:r>
          </w:p>
        </w:tc>
        <w:tc>
          <w:tcPr>
            <w:tcW w:type="dxa" w:w="3360"/>
            <w:vAlign w:val="center"/>
          </w:tcPr>
          <w:p>
            <w:pPr>
              <w:spacing w:after="0"/>
            </w:pPr>
            <w:r/>
            <w:r>
              <w:rPr>
                <w:b w:val="0"/>
                <w:sz w:val="15"/>
              </w:rPr>
              <w:t>Large count of unmatched units or invalid geometries</w:t>
            </w:r>
          </w:p>
        </w:tc>
      </w:tr>
      <w:tr>
        <w:tc>
          <w:tcPr>
            <w:tcW w:type="dxa" w:w="3360"/>
            <w:vAlign w:val="center"/>
            <w:shd w:fill="F2F6F8"/>
          </w:tcPr>
          <w:p>
            <w:pPr>
              <w:spacing w:after="0"/>
            </w:pPr>
            <w:r/>
            <w:r>
              <w:rPr>
                <w:b w:val="0"/>
                <w:sz w:val="15"/>
              </w:rPr>
              <w:t>Database</w:t>
            </w:r>
          </w:p>
        </w:tc>
        <w:tc>
          <w:tcPr>
            <w:tcW w:type="dxa" w:w="3360"/>
            <w:vAlign w:val="center"/>
            <w:shd w:fill="F2F6F8"/>
          </w:tcPr>
          <w:p>
            <w:pPr>
              <w:spacing w:after="0"/>
            </w:pPr>
            <w:r/>
            <w:r>
              <w:rPr>
                <w:b w:val="0"/>
                <w:sz w:val="15"/>
              </w:rPr>
              <w:t>Connections, slow queries, locks, disk, replication/backup state</w:t>
            </w:r>
          </w:p>
        </w:tc>
        <w:tc>
          <w:tcPr>
            <w:tcW w:type="dxa" w:w="3360"/>
            <w:vAlign w:val="center"/>
            <w:shd w:fill="F2F6F8"/>
          </w:tcPr>
          <w:p>
            <w:pPr>
              <w:spacing w:after="0"/>
            </w:pPr>
            <w:r/>
            <w:r>
              <w:rPr>
                <w:b w:val="0"/>
                <w:sz w:val="15"/>
              </w:rPr>
              <w:t>Storage threshold or query latency breach</w:t>
            </w:r>
          </w:p>
        </w:tc>
      </w:tr>
      <w:tr>
        <w:tc>
          <w:tcPr>
            <w:tcW w:type="dxa" w:w="3360"/>
            <w:vAlign w:val="center"/>
          </w:tcPr>
          <w:p>
            <w:pPr>
              <w:spacing w:after="0"/>
            </w:pPr>
            <w:r/>
            <w:r>
              <w:rPr>
                <w:b w:val="0"/>
                <w:sz w:val="15"/>
              </w:rPr>
              <w:t>Model</w:t>
            </w:r>
          </w:p>
        </w:tc>
        <w:tc>
          <w:tcPr>
            <w:tcW w:type="dxa" w:w="3360"/>
            <w:vAlign w:val="center"/>
          </w:tcPr>
          <w:p>
            <w:pPr>
              <w:spacing w:after="0"/>
            </w:pPr>
            <w:r/>
            <w:r>
              <w:rPr>
                <w:b w:val="0"/>
                <w:sz w:val="15"/>
              </w:rPr>
              <w:t>Input distribution, missing features, out-of-distribution flags, observed error/calibration</w:t>
            </w:r>
          </w:p>
        </w:tc>
        <w:tc>
          <w:tcPr>
            <w:tcW w:type="dxa" w:w="3360"/>
            <w:vAlign w:val="center"/>
          </w:tcPr>
          <w:p>
            <w:pPr>
              <w:spacing w:after="0"/>
            </w:pPr>
            <w:r/>
            <w:r>
              <w:rPr>
                <w:b w:val="0"/>
                <w:sz w:val="15"/>
              </w:rPr>
              <w:t>Model skill degrades or inputs exceed supported domain</w:t>
            </w:r>
          </w:p>
        </w:tc>
      </w:tr>
      <w:tr>
        <w:tc>
          <w:tcPr>
            <w:tcW w:type="dxa" w:w="3360"/>
            <w:vAlign w:val="center"/>
            <w:shd w:fill="F2F6F8"/>
          </w:tcPr>
          <w:p>
            <w:pPr>
              <w:spacing w:after="0"/>
            </w:pPr>
            <w:r/>
            <w:r>
              <w:rPr>
                <w:b w:val="0"/>
                <w:sz w:val="15"/>
              </w:rPr>
              <w:t>Notifications</w:t>
            </w:r>
          </w:p>
        </w:tc>
        <w:tc>
          <w:tcPr>
            <w:tcW w:type="dxa" w:w="3360"/>
            <w:vAlign w:val="center"/>
            <w:shd w:fill="F2F6F8"/>
          </w:tcPr>
          <w:p>
            <w:pPr>
              <w:spacing w:after="0"/>
            </w:pPr>
            <w:r/>
            <w:r>
              <w:rPr>
                <w:b w:val="0"/>
                <w:sz w:val="15"/>
              </w:rPr>
              <w:t>Queue age, send success/failure, provider latency, duplicate suppression</w:t>
            </w:r>
          </w:p>
        </w:tc>
        <w:tc>
          <w:tcPr>
            <w:tcW w:type="dxa" w:w="3360"/>
            <w:vAlign w:val="center"/>
            <w:shd w:fill="F2F6F8"/>
          </w:tcPr>
          <w:p>
            <w:pPr>
              <w:spacing w:after="0"/>
            </w:pPr>
            <w:r/>
            <w:r>
              <w:rPr>
                <w:b w:val="0"/>
                <w:sz w:val="15"/>
              </w:rPr>
              <w:t>Queue backlog or failure rate exceeds agreed threshold</w:t>
            </w:r>
          </w:p>
        </w:tc>
      </w:tr>
      <w:tr>
        <w:tc>
          <w:tcPr>
            <w:tcW w:type="dxa" w:w="3360"/>
            <w:vAlign w:val="center"/>
          </w:tcPr>
          <w:p>
            <w:pPr>
              <w:spacing w:after="0"/>
            </w:pPr>
            <w:r/>
            <w:r>
              <w:rPr>
                <w:b w:val="0"/>
                <w:sz w:val="15"/>
              </w:rPr>
              <w:t>Application</w:t>
            </w:r>
          </w:p>
        </w:tc>
        <w:tc>
          <w:tcPr>
            <w:tcW w:type="dxa" w:w="3360"/>
            <w:vAlign w:val="center"/>
          </w:tcPr>
          <w:p>
            <w:pPr>
              <w:spacing w:after="0"/>
            </w:pPr>
            <w:r/>
            <w:r>
              <w:rPr>
                <w:b w:val="0"/>
                <w:sz w:val="15"/>
              </w:rPr>
              <w:t>Latency, errors, concurrent sessions, map tile/API response</w:t>
            </w:r>
          </w:p>
        </w:tc>
        <w:tc>
          <w:tcPr>
            <w:tcW w:type="dxa" w:w="3360"/>
            <w:vAlign w:val="center"/>
          </w:tcPr>
          <w:p>
            <w:pPr>
              <w:spacing w:after="0"/>
            </w:pPr>
            <w:r/>
            <w:r>
              <w:rPr>
                <w:b w:val="0"/>
                <w:sz w:val="15"/>
              </w:rPr>
              <w:t>Latency/error budget breached</w:t>
            </w:r>
          </w:p>
        </w:tc>
      </w:tr>
      <w:tr>
        <w:tc>
          <w:tcPr>
            <w:tcW w:type="dxa" w:w="3360"/>
            <w:vAlign w:val="center"/>
            <w:shd w:fill="F2F6F8"/>
          </w:tcPr>
          <w:p>
            <w:pPr>
              <w:spacing w:after="0"/>
            </w:pPr>
            <w:r/>
            <w:r>
              <w:rPr>
                <w:b w:val="0"/>
                <w:sz w:val="15"/>
              </w:rPr>
              <w:t>Security</w:t>
            </w:r>
          </w:p>
        </w:tc>
        <w:tc>
          <w:tcPr>
            <w:tcW w:type="dxa" w:w="3360"/>
            <w:vAlign w:val="center"/>
            <w:shd w:fill="F2F6F8"/>
          </w:tcPr>
          <w:p>
            <w:pPr>
              <w:spacing w:after="0"/>
            </w:pPr>
            <w:r/>
            <w:r>
              <w:rPr>
                <w:b w:val="0"/>
                <w:sz w:val="15"/>
              </w:rPr>
              <w:t>Failed login spikes, privilege changes, unusual exports, secret access</w:t>
            </w:r>
          </w:p>
        </w:tc>
        <w:tc>
          <w:tcPr>
            <w:tcW w:type="dxa" w:w="3360"/>
            <w:vAlign w:val="center"/>
            <w:shd w:fill="F2F6F8"/>
          </w:tcPr>
          <w:p>
            <w:pPr>
              <w:spacing w:after="0"/>
            </w:pPr>
            <w:r/>
            <w:r>
              <w:rPr>
                <w:b w:val="0"/>
                <w:sz w:val="15"/>
              </w:rPr>
              <w:t>Suspicious access or unauthorized export</w:t>
            </w:r>
          </w:p>
        </w:tc>
      </w:tr>
      <w:tr>
        <w:tc>
          <w:tcPr>
            <w:tcW w:type="dxa" w:w="3360"/>
            <w:vAlign w:val="center"/>
          </w:tcPr>
          <w:p>
            <w:pPr>
              <w:spacing w:after="0"/>
            </w:pPr>
            <w:r/>
            <w:r>
              <w:rPr>
                <w:b w:val="0"/>
                <w:sz w:val="15"/>
              </w:rPr>
              <w:t>Cost</w:t>
            </w:r>
          </w:p>
        </w:tc>
        <w:tc>
          <w:tcPr>
            <w:tcW w:type="dxa" w:w="3360"/>
            <w:vAlign w:val="center"/>
          </w:tcPr>
          <w:p>
            <w:pPr>
              <w:spacing w:after="0"/>
            </w:pPr>
            <w:r/>
            <w:r>
              <w:rPr>
                <w:b w:val="0"/>
                <w:sz w:val="15"/>
              </w:rPr>
              <w:t>Compute, storage, GEE/API usage where available, messages and egress</w:t>
            </w:r>
          </w:p>
        </w:tc>
        <w:tc>
          <w:tcPr>
            <w:tcW w:type="dxa" w:w="3360"/>
            <w:vAlign w:val="center"/>
          </w:tcPr>
          <w:p>
            <w:pPr>
              <w:spacing w:after="0"/>
            </w:pPr>
            <w:r/>
            <w:r>
              <w:rPr>
                <w:b w:val="0"/>
                <w:sz w:val="15"/>
              </w:rPr>
              <w:t>Budget threshold or unexpected usage increase</w:t>
            </w:r>
          </w:p>
        </w:tc>
      </w:tr>
    </w:tbl>
    <w:p/>
    <w:p>
      <w:pPr>
        <w:pStyle w:val="Heading2"/>
        <w:keepNext/>
      </w:pPr>
      <w:r>
        <w:t>13.1 Logging standards</w:t>
      </w:r>
    </w:p>
    <w:p>
      <w:pPr>
        <w:pStyle w:val="ListBullet"/>
        <w:spacing w:after="40"/>
      </w:pPr>
      <w:r>
        <w:t>Structured logs include timestamp, service, environment, correlation/run ID, operation, status and error category.</w:t>
      </w:r>
    </w:p>
    <w:p>
      <w:pPr>
        <w:pStyle w:val="ListBullet"/>
        <w:spacing w:after="40"/>
      </w:pPr>
      <w:r>
        <w:t>Never log secret values, full recipient phone numbers, authentication tokens or unnecessary message contents.</w:t>
      </w:r>
    </w:p>
    <w:p>
      <w:pPr>
        <w:pStyle w:val="ListBullet"/>
        <w:spacing w:after="40"/>
      </w:pPr>
      <w:r>
        <w:t>Use correlation IDs across ingestion, processing, review and dispatch flows.</w:t>
      </w:r>
    </w:p>
    <w:p>
      <w:pPr>
        <w:pStyle w:val="ListBullet"/>
        <w:spacing w:after="40"/>
      </w:pPr>
      <w:r>
        <w:t>Define retention, access and redaction for logs; logs are operational evidence, not an unlimited data store.</w:t>
      </w:r>
    </w:p>
    <w:p>
      <w:pPr>
        <w:pStyle w:val="ListBullet"/>
        <w:spacing w:after="40"/>
      </w:pPr>
      <w:r>
        <w:t>Create runbooks for stale source, failed ingestion, geometry mismatch, model suppression, queue backlog, provider outage and erroneous alert.</w:t>
      </w:r>
    </w:p>
    <w:p>
      <w:pPr>
        <w:pStyle w:val="Heading1"/>
        <w:keepNext/>
      </w:pPr>
      <w:r>
        <w:t>14. Non-Functional Technical Targets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23B5D"/>
          </w:tcPr>
          <w:p>
            <w:pPr>
              <w:spacing w:after="0"/>
            </w:pPr>
            <w:r/>
            <w:r>
              <w:rPr>
                <w:b/>
                <w:color w:val="FFFFFF"/>
                <w:sz w:val="16"/>
              </w:rPr>
              <w:t>ID</w:t>
            </w:r>
          </w:p>
        </w:tc>
        <w:tc>
          <w:tcPr>
            <w:tcW w:type="dxa" w:w="3360"/>
            <w:vAlign w:val="center"/>
            <w:shd w:fill="123B5D"/>
          </w:tcPr>
          <w:p>
            <w:pPr>
              <w:spacing w:after="0"/>
            </w:pPr>
            <w:r/>
            <w:r>
              <w:rPr>
                <w:b/>
                <w:color w:val="FFFFFF"/>
                <w:sz w:val="16"/>
              </w:rPr>
              <w:t>Requirement</w:t>
            </w:r>
          </w:p>
        </w:tc>
        <w:tc>
          <w:tcPr>
            <w:tcW w:type="dxa" w:w="3360"/>
            <w:vAlign w:val="center"/>
            <w:shd w:fill="123B5D"/>
          </w:tcPr>
          <w:p>
            <w:pPr>
              <w:spacing w:after="0"/>
            </w:pPr>
            <w:r/>
            <w:r>
              <w:rPr>
                <w:b/>
                <w:color w:val="FFFFFF"/>
                <w:sz w:val="16"/>
              </w:rPr>
              <w:t>Proposed target / verification</w:t>
            </w:r>
          </w:p>
        </w:tc>
      </w:tr>
      <w:tr>
        <w:tc>
          <w:tcPr>
            <w:tcW w:type="dxa" w:w="3360"/>
            <w:vAlign w:val="center"/>
          </w:tcPr>
          <w:p>
            <w:pPr>
              <w:spacing w:after="0"/>
            </w:pPr>
            <w:r/>
            <w:r>
              <w:rPr>
                <w:b w:val="0"/>
                <w:sz w:val="15"/>
              </w:rPr>
              <w:t>NFR-T-001</w:t>
            </w:r>
          </w:p>
        </w:tc>
        <w:tc>
          <w:tcPr>
            <w:tcW w:type="dxa" w:w="3360"/>
            <w:vAlign w:val="center"/>
          </w:tcPr>
          <w:p>
            <w:pPr>
              <w:spacing w:after="0"/>
            </w:pPr>
            <w:r/>
            <w:r>
              <w:rPr>
                <w:b w:val="0"/>
                <w:sz w:val="15"/>
              </w:rPr>
              <w:t>Dashboard performance</w:t>
            </w:r>
          </w:p>
        </w:tc>
        <w:tc>
          <w:tcPr>
            <w:tcW w:type="dxa" w:w="3360"/>
            <w:vAlign w:val="center"/>
          </w:tcPr>
          <w:p>
            <w:pPr>
              <w:spacing w:after="0"/>
            </w:pPr>
            <w:r/>
            <w:r>
              <w:rPr>
                <w:b w:val="0"/>
                <w:sz w:val="15"/>
              </w:rPr>
              <w:t>Proposed useful initial view ≤4 s at p75 under a defined low-bandwidth profile; benchmark and finalize before pilot.</w:t>
            </w:r>
          </w:p>
        </w:tc>
      </w:tr>
      <w:tr>
        <w:tc>
          <w:tcPr>
            <w:tcW w:type="dxa" w:w="3360"/>
            <w:vAlign w:val="center"/>
            <w:shd w:fill="F2F6F8"/>
          </w:tcPr>
          <w:p>
            <w:pPr>
              <w:spacing w:after="0"/>
            </w:pPr>
            <w:r/>
            <w:r>
              <w:rPr>
                <w:b w:val="0"/>
                <w:sz w:val="15"/>
              </w:rPr>
              <w:t>NFR-T-002</w:t>
            </w:r>
          </w:p>
        </w:tc>
        <w:tc>
          <w:tcPr>
            <w:tcW w:type="dxa" w:w="3360"/>
            <w:vAlign w:val="center"/>
            <w:shd w:fill="F2F6F8"/>
          </w:tcPr>
          <w:p>
            <w:pPr>
              <w:spacing w:after="0"/>
            </w:pPr>
            <w:r/>
            <w:r>
              <w:rPr>
                <w:b w:val="0"/>
                <w:sz w:val="15"/>
              </w:rPr>
              <w:t>API performance</w:t>
            </w:r>
          </w:p>
        </w:tc>
        <w:tc>
          <w:tcPr>
            <w:tcW w:type="dxa" w:w="3360"/>
            <w:vAlign w:val="center"/>
            <w:shd w:fill="F2F6F8"/>
          </w:tcPr>
          <w:p>
            <w:pPr>
              <w:spacing w:after="0"/>
            </w:pPr>
            <w:r/>
            <w:r>
              <w:rPr>
                <w:b w:val="0"/>
                <w:sz w:val="15"/>
              </w:rPr>
              <w:t>Set endpoint-specific latency budgets after query prototypes; map summary and time-series queries must be paginated/cached where safe.</w:t>
            </w:r>
          </w:p>
        </w:tc>
      </w:tr>
      <w:tr>
        <w:tc>
          <w:tcPr>
            <w:tcW w:type="dxa" w:w="3360"/>
            <w:vAlign w:val="center"/>
          </w:tcPr>
          <w:p>
            <w:pPr>
              <w:spacing w:after="0"/>
            </w:pPr>
            <w:r/>
            <w:r>
              <w:rPr>
                <w:b w:val="0"/>
                <w:sz w:val="15"/>
              </w:rPr>
              <w:t>NFR-T-003</w:t>
            </w:r>
          </w:p>
        </w:tc>
        <w:tc>
          <w:tcPr>
            <w:tcW w:type="dxa" w:w="3360"/>
            <w:vAlign w:val="center"/>
          </w:tcPr>
          <w:p>
            <w:pPr>
              <w:spacing w:after="0"/>
            </w:pPr>
            <w:r/>
            <w:r>
              <w:rPr>
                <w:b w:val="0"/>
                <w:sz w:val="15"/>
              </w:rPr>
              <w:t>Availability</w:t>
            </w:r>
          </w:p>
        </w:tc>
        <w:tc>
          <w:tcPr>
            <w:tcW w:type="dxa" w:w="3360"/>
            <w:vAlign w:val="center"/>
          </w:tcPr>
          <w:p>
            <w:pPr>
              <w:spacing w:after="0"/>
            </w:pPr>
            <w:r/>
            <w:r>
              <w:rPr>
                <w:b w:val="0"/>
                <w:sz w:val="15"/>
              </w:rPr>
              <w:t>Proposed pilot monthly availability ≥99.5% excluding agreed maintenance; define measurement boundary.</w:t>
            </w:r>
          </w:p>
        </w:tc>
      </w:tr>
      <w:tr>
        <w:tc>
          <w:tcPr>
            <w:tcW w:type="dxa" w:w="3360"/>
            <w:vAlign w:val="center"/>
            <w:shd w:fill="F2F6F8"/>
          </w:tcPr>
          <w:p>
            <w:pPr>
              <w:spacing w:after="0"/>
            </w:pPr>
            <w:r/>
            <w:r>
              <w:rPr>
                <w:b w:val="0"/>
                <w:sz w:val="15"/>
              </w:rPr>
              <w:t>NFR-T-004</w:t>
            </w:r>
          </w:p>
        </w:tc>
        <w:tc>
          <w:tcPr>
            <w:tcW w:type="dxa" w:w="3360"/>
            <w:vAlign w:val="center"/>
            <w:shd w:fill="F2F6F8"/>
          </w:tcPr>
          <w:p>
            <w:pPr>
              <w:spacing w:after="0"/>
            </w:pPr>
            <w:r/>
            <w:r>
              <w:rPr>
                <w:b w:val="0"/>
                <w:sz w:val="15"/>
              </w:rPr>
              <w:t>Batch processing</w:t>
            </w:r>
          </w:p>
        </w:tc>
        <w:tc>
          <w:tcPr>
            <w:tcW w:type="dxa" w:w="3360"/>
            <w:vAlign w:val="center"/>
            <w:shd w:fill="F2F6F8"/>
          </w:tcPr>
          <w:p>
            <w:pPr>
              <w:spacing w:after="0"/>
            </w:pPr>
            <w:r/>
            <w:r>
              <w:rPr>
                <w:b w:val="0"/>
                <w:sz w:val="15"/>
              </w:rPr>
              <w:t>Complete scheduled ingestion/QA/aggregation within the source cadence and approved processing window.</w:t>
            </w:r>
          </w:p>
        </w:tc>
      </w:tr>
      <w:tr>
        <w:tc>
          <w:tcPr>
            <w:tcW w:type="dxa" w:w="3360"/>
            <w:vAlign w:val="center"/>
          </w:tcPr>
          <w:p>
            <w:pPr>
              <w:spacing w:after="0"/>
            </w:pPr>
            <w:r/>
            <w:r>
              <w:rPr>
                <w:b w:val="0"/>
                <w:sz w:val="15"/>
              </w:rPr>
              <w:t>NFR-T-005</w:t>
            </w:r>
          </w:p>
        </w:tc>
        <w:tc>
          <w:tcPr>
            <w:tcW w:type="dxa" w:w="3360"/>
            <w:vAlign w:val="center"/>
          </w:tcPr>
          <w:p>
            <w:pPr>
              <w:spacing w:after="0"/>
            </w:pPr>
            <w:r/>
            <w:r>
              <w:rPr>
                <w:b w:val="0"/>
                <w:sz w:val="15"/>
              </w:rPr>
              <w:t>Recovery</w:t>
            </w:r>
          </w:p>
        </w:tc>
        <w:tc>
          <w:tcPr>
            <w:tcW w:type="dxa" w:w="3360"/>
            <w:vAlign w:val="center"/>
          </w:tcPr>
          <w:p>
            <w:pPr>
              <w:spacing w:after="0"/>
            </w:pPr>
            <w:r/>
            <w:r>
              <w:rPr>
                <w:b w:val="0"/>
                <w:sz w:val="15"/>
              </w:rPr>
              <w:t>Define RPO/RTO based on operational needs; verify backup restoration before production.</w:t>
            </w:r>
          </w:p>
        </w:tc>
      </w:tr>
      <w:tr>
        <w:tc>
          <w:tcPr>
            <w:tcW w:type="dxa" w:w="3360"/>
            <w:vAlign w:val="center"/>
            <w:shd w:fill="F2F6F8"/>
          </w:tcPr>
          <w:p>
            <w:pPr>
              <w:spacing w:after="0"/>
            </w:pPr>
            <w:r/>
            <w:r>
              <w:rPr>
                <w:b w:val="0"/>
                <w:sz w:val="15"/>
              </w:rPr>
              <w:t>NFR-T-006</w:t>
            </w:r>
          </w:p>
        </w:tc>
        <w:tc>
          <w:tcPr>
            <w:tcW w:type="dxa" w:w="3360"/>
            <w:vAlign w:val="center"/>
            <w:shd w:fill="F2F6F8"/>
          </w:tcPr>
          <w:p>
            <w:pPr>
              <w:spacing w:after="0"/>
            </w:pPr>
            <w:r/>
            <w:r>
              <w:rPr>
                <w:b w:val="0"/>
                <w:sz w:val="15"/>
              </w:rPr>
              <w:t>Scale</w:t>
            </w:r>
          </w:p>
        </w:tc>
        <w:tc>
          <w:tcPr>
            <w:tcW w:type="dxa" w:w="3360"/>
            <w:vAlign w:val="center"/>
            <w:shd w:fill="F2F6F8"/>
          </w:tcPr>
          <w:p>
            <w:pPr>
              <w:spacing w:after="0"/>
            </w:pPr>
            <w:r/>
            <w:r>
              <w:rPr>
                <w:b w:val="0"/>
                <w:sz w:val="15"/>
              </w:rPr>
              <w:t>Load-test projected statewide geometry/data volume and concurrency before rollout; do not assume zero marginal cost.</w:t>
            </w:r>
          </w:p>
        </w:tc>
      </w:tr>
      <w:tr>
        <w:tc>
          <w:tcPr>
            <w:tcW w:type="dxa" w:w="3360"/>
            <w:vAlign w:val="center"/>
          </w:tcPr>
          <w:p>
            <w:pPr>
              <w:spacing w:after="0"/>
            </w:pPr>
            <w:r/>
            <w:r>
              <w:rPr>
                <w:b w:val="0"/>
                <w:sz w:val="15"/>
              </w:rPr>
              <w:t>NFR-T-007</w:t>
            </w:r>
          </w:p>
        </w:tc>
        <w:tc>
          <w:tcPr>
            <w:tcW w:type="dxa" w:w="3360"/>
            <w:vAlign w:val="center"/>
          </w:tcPr>
          <w:p>
            <w:pPr>
              <w:spacing w:after="0"/>
            </w:pPr>
            <w:r/>
            <w:r>
              <w:rPr>
                <w:b w:val="0"/>
                <w:sz w:val="15"/>
              </w:rPr>
              <w:t>Maintainability</w:t>
            </w:r>
          </w:p>
        </w:tc>
        <w:tc>
          <w:tcPr>
            <w:tcW w:type="dxa" w:w="3360"/>
            <w:vAlign w:val="center"/>
          </w:tcPr>
          <w:p>
            <w:pPr>
              <w:spacing w:after="0"/>
            </w:pPr>
            <w:r/>
            <w:r>
              <w:rPr>
                <w:b w:val="0"/>
                <w:sz w:val="15"/>
              </w:rPr>
              <w:t>Automated tests, versioned migrations, dependency locks, runbooks and named owners.</w:t>
            </w:r>
          </w:p>
        </w:tc>
      </w:tr>
      <w:tr>
        <w:tc>
          <w:tcPr>
            <w:tcW w:type="dxa" w:w="3360"/>
            <w:vAlign w:val="center"/>
            <w:shd w:fill="F2F6F8"/>
          </w:tcPr>
          <w:p>
            <w:pPr>
              <w:spacing w:after="0"/>
            </w:pPr>
            <w:r/>
            <w:r>
              <w:rPr>
                <w:b w:val="0"/>
                <w:sz w:val="15"/>
              </w:rPr>
              <w:t>NFR-T-008</w:t>
            </w:r>
          </w:p>
        </w:tc>
        <w:tc>
          <w:tcPr>
            <w:tcW w:type="dxa" w:w="3360"/>
            <w:vAlign w:val="center"/>
            <w:shd w:fill="F2F6F8"/>
          </w:tcPr>
          <w:p>
            <w:pPr>
              <w:spacing w:after="0"/>
            </w:pPr>
            <w:r/>
            <w:r>
              <w:rPr>
                <w:b w:val="0"/>
                <w:sz w:val="15"/>
              </w:rPr>
              <w:t>Accessibility</w:t>
            </w:r>
          </w:p>
        </w:tc>
        <w:tc>
          <w:tcPr>
            <w:tcW w:type="dxa" w:w="3360"/>
            <w:vAlign w:val="center"/>
            <w:shd w:fill="F2F6F8"/>
          </w:tcPr>
          <w:p>
            <w:pPr>
              <w:spacing w:after="0"/>
            </w:pPr>
            <w:r/>
            <w:r>
              <w:rPr>
                <w:b w:val="0"/>
                <w:sz w:val="15"/>
              </w:rPr>
              <w:t>Keyboard navigation, visible focus, readable Hindi, non-color status cues and responsive layouts.</w:t>
            </w:r>
          </w:p>
        </w:tc>
      </w:tr>
      <w:tr>
        <w:tc>
          <w:tcPr>
            <w:tcW w:type="dxa" w:w="3360"/>
            <w:vAlign w:val="center"/>
          </w:tcPr>
          <w:p>
            <w:pPr>
              <w:spacing w:after="0"/>
            </w:pPr>
            <w:r/>
            <w:r>
              <w:rPr>
                <w:b w:val="0"/>
                <w:sz w:val="15"/>
              </w:rPr>
              <w:t>NFR-T-009</w:t>
            </w:r>
          </w:p>
        </w:tc>
        <w:tc>
          <w:tcPr>
            <w:tcW w:type="dxa" w:w="3360"/>
            <w:vAlign w:val="center"/>
          </w:tcPr>
          <w:p>
            <w:pPr>
              <w:spacing w:after="0"/>
            </w:pPr>
            <w:r/>
            <w:r>
              <w:rPr>
                <w:b w:val="0"/>
                <w:sz w:val="15"/>
              </w:rPr>
              <w:t>Reproducibility</w:t>
            </w:r>
          </w:p>
        </w:tc>
        <w:tc>
          <w:tcPr>
            <w:tcW w:type="dxa" w:w="3360"/>
            <w:vAlign w:val="center"/>
          </w:tcPr>
          <w:p>
            <w:pPr>
              <w:spacing w:after="0"/>
            </w:pPr>
            <w:r/>
            <w:r>
              <w:rPr>
                <w:b w:val="0"/>
                <w:sz w:val="15"/>
              </w:rPr>
              <w:t>A pinned input snapshot and pipeline/model version reproduce output within defined tolerance.</w:t>
            </w:r>
          </w:p>
        </w:tc>
      </w:tr>
      <w:tr>
        <w:tc>
          <w:tcPr>
            <w:tcW w:type="dxa" w:w="3360"/>
            <w:vAlign w:val="center"/>
            <w:shd w:fill="F2F6F8"/>
          </w:tcPr>
          <w:p>
            <w:pPr>
              <w:spacing w:after="0"/>
            </w:pPr>
            <w:r/>
            <w:r>
              <w:rPr>
                <w:b w:val="0"/>
                <w:sz w:val="15"/>
              </w:rPr>
              <w:t>NFR-T-010</w:t>
            </w:r>
          </w:p>
        </w:tc>
        <w:tc>
          <w:tcPr>
            <w:tcW w:type="dxa" w:w="3360"/>
            <w:vAlign w:val="center"/>
            <w:shd w:fill="F2F6F8"/>
          </w:tcPr>
          <w:p>
            <w:pPr>
              <w:spacing w:after="0"/>
            </w:pPr>
            <w:r/>
            <w:r>
              <w:rPr>
                <w:b w:val="0"/>
                <w:sz w:val="15"/>
              </w:rPr>
              <w:t>Cost</w:t>
            </w:r>
          </w:p>
        </w:tc>
        <w:tc>
          <w:tcPr>
            <w:tcW w:type="dxa" w:w="3360"/>
            <w:vAlign w:val="center"/>
            <w:shd w:fill="F2F6F8"/>
          </w:tcPr>
          <w:p>
            <w:pPr>
              <w:spacing w:after="0"/>
            </w:pPr>
            <w:r/>
            <w:r>
              <w:rPr>
                <w:b w:val="0"/>
                <w:sz w:val="15"/>
              </w:rPr>
              <w:t>Monthly cost tracking for compute, storage, geospatial processing, messaging, support and data transfer.</w:t>
            </w:r>
          </w:p>
        </w:tc>
      </w:tr>
    </w:tbl>
    <w:p/>
    <w:p>
      <w:r>
        <w:t>Targets are proposed engineering baselines and require sign-off. Source-provider quotas, data cadence and hosting constraints may require adjustments.</w:t>
      </w:r>
    </w:p>
    <w:p>
      <w:pPr>
        <w:pStyle w:val="Heading1"/>
        <w:keepNext/>
      </w:pPr>
      <w:r>
        <w:t>15. Testing Strategy &amp; Acceptance</w:t>
      </w:r>
    </w:p>
    <w:p>
      <w:pPr>
        <w:pStyle w:val="Heading2"/>
        <w:keepNext/>
      </w:pPr>
      <w:r>
        <w:t>15.1 Test layers</w:t>
      </w:r>
    </w:p>
    <w:p>
      <w:pPr>
        <w:pStyle w:val="ListBullet"/>
        <w:spacing w:after="40"/>
      </w:pPr>
      <w:r>
        <w:t>Unit tests: transformations, units, score gates, date windows, schema validation, alert template rendering and authorization policy helpers.</w:t>
      </w:r>
    </w:p>
    <w:p>
      <w:pPr>
        <w:pStyle w:val="ListBullet"/>
        <w:spacing w:after="40"/>
      </w:pPr>
      <w:r>
        <w:t>Contract tests: source adapters, API schemas, provider sandbox, database migrations and message status callbacks.</w:t>
      </w:r>
    </w:p>
    <w:p>
      <w:pPr>
        <w:pStyle w:val="ListBullet"/>
        <w:spacing w:after="40"/>
      </w:pPr>
      <w:r>
        <w:t>Integration tests: source-to-curated pipeline, curated-to-dashboard, approved review-to-message and acknowledgement-to-action log.</w:t>
      </w:r>
    </w:p>
    <w:p>
      <w:pPr>
        <w:pStyle w:val="ListBullet"/>
        <w:spacing w:after="40"/>
      </w:pPr>
      <w:r>
        <w:t>Geospatial tests: CRS transformation, geometry validity, multipolygon handling, area-weighted aggregation, boundary versioning and missing spatial joins.</w:t>
      </w:r>
    </w:p>
    <w:p>
      <w:pPr>
        <w:pStyle w:val="ListBullet"/>
        <w:spacing w:after="40"/>
      </w:pPr>
      <w:r>
        <w:t>Scientific tests: leakage checks, temporal/geographic holdouts, baselines, calibration, error slices and uncertainty evaluation.</w:t>
      </w:r>
    </w:p>
    <w:p>
      <w:pPr>
        <w:pStyle w:val="ListBullet"/>
        <w:spacing w:after="40"/>
      </w:pPr>
      <w:r>
        <w:t>Security tests: role-scope access, export restrictions, secret scans, dependency scans, injection/input validation and audit events.</w:t>
      </w:r>
    </w:p>
    <w:p>
      <w:pPr>
        <w:pStyle w:val="ListBullet"/>
        <w:spacing w:after="40"/>
      </w:pPr>
      <w:r>
        <w:t>Resilience tests: source outage, quota limit, queue outage, database restart, worker restart, duplicate task replay and provider callback delays.</w:t>
      </w:r>
    </w:p>
    <w:p>
      <w:pPr>
        <w:pStyle w:val="ListBullet"/>
        <w:spacing w:after="40"/>
      </w:pPr>
      <w:r>
        <w:t>Performance tests: map queries, concurrent users, large time windows, batch scoring and notification bursts.</w:t>
      </w:r>
    </w:p>
    <w:p>
      <w:pPr>
        <w:pStyle w:val="ListBullet"/>
        <w:spacing w:after="40"/>
      </w:pPr>
      <w:r>
        <w:t>Localization tests: Hindi Unicode, template length, readability, terminology and user comprehension.</w:t>
      </w:r>
    </w:p>
    <w:p>
      <w:pPr>
        <w:pStyle w:val="Heading2"/>
        <w:keepNext/>
      </w:pPr>
      <w:r>
        <w:t>15.2 Critical acceptance tests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23B5D"/>
          </w:tcPr>
          <w:p>
            <w:pPr>
              <w:spacing w:after="0"/>
            </w:pPr>
            <w:r/>
            <w:r>
              <w:rPr>
                <w:b/>
                <w:color w:val="FFFFFF"/>
                <w:sz w:val="16"/>
              </w:rPr>
              <w:t>Test ID</w:t>
            </w:r>
          </w:p>
        </w:tc>
        <w:tc>
          <w:tcPr>
            <w:tcW w:type="dxa" w:w="3360"/>
            <w:vAlign w:val="center"/>
            <w:shd w:fill="123B5D"/>
          </w:tcPr>
          <w:p>
            <w:pPr>
              <w:spacing w:after="0"/>
            </w:pPr>
            <w:r/>
            <w:r>
              <w:rPr>
                <w:b/>
                <w:color w:val="FFFFFF"/>
                <w:sz w:val="16"/>
              </w:rPr>
              <w:t>Scenario</w:t>
            </w:r>
          </w:p>
        </w:tc>
        <w:tc>
          <w:tcPr>
            <w:tcW w:type="dxa" w:w="3360"/>
            <w:vAlign w:val="center"/>
            <w:shd w:fill="123B5D"/>
          </w:tcPr>
          <w:p>
            <w:pPr>
              <w:spacing w:after="0"/>
            </w:pPr>
            <w:r/>
            <w:r>
              <w:rPr>
                <w:b/>
                <w:color w:val="FFFFFF"/>
                <w:sz w:val="16"/>
              </w:rPr>
              <w:t>Expected result</w:t>
            </w:r>
          </w:p>
        </w:tc>
      </w:tr>
      <w:tr>
        <w:tc>
          <w:tcPr>
            <w:tcW w:type="dxa" w:w="3360"/>
            <w:vAlign w:val="center"/>
          </w:tcPr>
          <w:p>
            <w:pPr>
              <w:spacing w:after="0"/>
            </w:pPr>
            <w:r/>
            <w:r>
              <w:rPr>
                <w:b w:val="0"/>
                <w:sz w:val="15"/>
              </w:rPr>
              <w:t>AT-001</w:t>
            </w:r>
          </w:p>
        </w:tc>
        <w:tc>
          <w:tcPr>
            <w:tcW w:type="dxa" w:w="3360"/>
            <w:vAlign w:val="center"/>
          </w:tcPr>
          <w:p>
            <w:pPr>
              <w:spacing w:after="0"/>
            </w:pPr>
            <w:r/>
            <w:r>
              <w:rPr>
                <w:b w:val="0"/>
                <w:sz w:val="15"/>
              </w:rPr>
              <w:t>GRACE native grid is coarser than block geometry</w:t>
            </w:r>
          </w:p>
        </w:tc>
        <w:tc>
          <w:tcPr>
            <w:tcW w:type="dxa" w:w="3360"/>
            <w:vAlign w:val="center"/>
          </w:tcPr>
          <w:p>
            <w:pPr>
              <w:spacing w:after="0"/>
            </w:pPr>
            <w:r/>
            <w:r>
              <w:rPr>
                <w:b w:val="0"/>
                <w:sz w:val="15"/>
              </w:rPr>
              <w:t>UI identifies native spatial support and does not imply direct block groundwater measurement</w:t>
            </w:r>
          </w:p>
        </w:tc>
      </w:tr>
      <w:tr>
        <w:tc>
          <w:tcPr>
            <w:tcW w:type="dxa" w:w="3360"/>
            <w:vAlign w:val="center"/>
            <w:shd w:fill="F2F6F8"/>
          </w:tcPr>
          <w:p>
            <w:pPr>
              <w:spacing w:after="0"/>
            </w:pPr>
            <w:r/>
            <w:r>
              <w:rPr>
                <w:b w:val="0"/>
                <w:sz w:val="15"/>
              </w:rPr>
              <w:t>AT-002</w:t>
            </w:r>
          </w:p>
        </w:tc>
        <w:tc>
          <w:tcPr>
            <w:tcW w:type="dxa" w:w="3360"/>
            <w:vAlign w:val="center"/>
            <w:shd w:fill="F2F6F8"/>
          </w:tcPr>
          <w:p>
            <w:pPr>
              <w:spacing w:after="0"/>
            </w:pPr>
            <w:r/>
            <w:r>
              <w:rPr>
                <w:b w:val="0"/>
                <w:sz w:val="15"/>
              </w:rPr>
              <w:t>Required well data absent for a block</w:t>
            </w:r>
          </w:p>
        </w:tc>
        <w:tc>
          <w:tcPr>
            <w:tcW w:type="dxa" w:w="3360"/>
            <w:vAlign w:val="center"/>
            <w:shd w:fill="F2F6F8"/>
          </w:tcPr>
          <w:p>
            <w:pPr>
              <w:spacing w:after="0"/>
            </w:pPr>
            <w:r/>
            <w:r>
              <w:rPr>
                <w:b w:val="0"/>
                <w:sz w:val="15"/>
              </w:rPr>
              <w:t>Predictive output is suppressed or marked insufficient evidence</w:t>
            </w:r>
          </w:p>
        </w:tc>
      </w:tr>
      <w:tr>
        <w:tc>
          <w:tcPr>
            <w:tcW w:type="dxa" w:w="3360"/>
            <w:vAlign w:val="center"/>
          </w:tcPr>
          <w:p>
            <w:pPr>
              <w:spacing w:after="0"/>
            </w:pPr>
            <w:r/>
            <w:r>
              <w:rPr>
                <w:b w:val="0"/>
                <w:sz w:val="15"/>
              </w:rPr>
              <w:t>AT-003</w:t>
            </w:r>
          </w:p>
        </w:tc>
        <w:tc>
          <w:tcPr>
            <w:tcW w:type="dxa" w:w="3360"/>
            <w:vAlign w:val="center"/>
          </w:tcPr>
          <w:p>
            <w:pPr>
              <w:spacing w:after="0"/>
            </w:pPr>
            <w:r/>
            <w:r>
              <w:rPr>
                <w:b w:val="0"/>
                <w:sz w:val="15"/>
              </w:rPr>
              <w:t>Input source is stale</w:t>
            </w:r>
          </w:p>
        </w:tc>
        <w:tc>
          <w:tcPr>
            <w:tcW w:type="dxa" w:w="3360"/>
            <w:vAlign w:val="center"/>
          </w:tcPr>
          <w:p>
            <w:pPr>
              <w:spacing w:after="0"/>
            </w:pPr>
            <w:r/>
            <w:r>
              <w:rPr>
                <w:b w:val="0"/>
                <w:sz w:val="15"/>
              </w:rPr>
              <w:t>Downstream operational risk candidate is suppressed according to source policy</w:t>
            </w:r>
          </w:p>
        </w:tc>
      </w:tr>
      <w:tr>
        <w:tc>
          <w:tcPr>
            <w:tcW w:type="dxa" w:w="3360"/>
            <w:vAlign w:val="center"/>
            <w:shd w:fill="F2F6F8"/>
          </w:tcPr>
          <w:p>
            <w:pPr>
              <w:spacing w:after="0"/>
            </w:pPr>
            <w:r/>
            <w:r>
              <w:rPr>
                <w:b w:val="0"/>
                <w:sz w:val="15"/>
              </w:rPr>
              <w:t>AT-004</w:t>
            </w:r>
          </w:p>
        </w:tc>
        <w:tc>
          <w:tcPr>
            <w:tcW w:type="dxa" w:w="3360"/>
            <w:vAlign w:val="center"/>
            <w:shd w:fill="F2F6F8"/>
          </w:tcPr>
          <w:p>
            <w:pPr>
              <w:spacing w:after="0"/>
            </w:pPr>
            <w:r/>
            <w:r>
              <w:rPr>
                <w:b w:val="0"/>
                <w:sz w:val="15"/>
              </w:rPr>
              <w:t>Pipeline receives null raster values</w:t>
            </w:r>
          </w:p>
        </w:tc>
        <w:tc>
          <w:tcPr>
            <w:tcW w:type="dxa" w:w="3360"/>
            <w:vAlign w:val="center"/>
            <w:shd w:fill="F2F6F8"/>
          </w:tcPr>
          <w:p>
            <w:pPr>
              <w:spacing w:after="0"/>
            </w:pPr>
            <w:r/>
            <w:r>
              <w:rPr>
                <w:b w:val="0"/>
                <w:sz w:val="15"/>
              </w:rPr>
              <w:t>Null/QA state persists; no arbitrary default silently enters prediction</w:t>
            </w:r>
          </w:p>
        </w:tc>
      </w:tr>
      <w:tr>
        <w:tc>
          <w:tcPr>
            <w:tcW w:type="dxa" w:w="3360"/>
            <w:vAlign w:val="center"/>
          </w:tcPr>
          <w:p>
            <w:pPr>
              <w:spacing w:after="0"/>
            </w:pPr>
            <w:r/>
            <w:r>
              <w:rPr>
                <w:b w:val="0"/>
                <w:sz w:val="15"/>
              </w:rPr>
              <w:t>AT-005</w:t>
            </w:r>
          </w:p>
        </w:tc>
        <w:tc>
          <w:tcPr>
            <w:tcW w:type="dxa" w:w="3360"/>
            <w:vAlign w:val="center"/>
          </w:tcPr>
          <w:p>
            <w:pPr>
              <w:spacing w:after="0"/>
            </w:pPr>
            <w:r/>
            <w:r>
              <w:rPr>
                <w:b w:val="0"/>
                <w:sz w:val="15"/>
              </w:rPr>
              <w:t>Model version is experimental/unapproved</w:t>
            </w:r>
          </w:p>
        </w:tc>
        <w:tc>
          <w:tcPr>
            <w:tcW w:type="dxa" w:w="3360"/>
            <w:vAlign w:val="center"/>
          </w:tcPr>
          <w:p>
            <w:pPr>
              <w:spacing w:after="0"/>
            </w:pPr>
            <w:r/>
            <w:r>
              <w:rPr>
                <w:b w:val="0"/>
                <w:sz w:val="15"/>
              </w:rPr>
              <w:t>Cannot appear as approved operational prediction or dispatch alert</w:t>
            </w:r>
          </w:p>
        </w:tc>
      </w:tr>
      <w:tr>
        <w:tc>
          <w:tcPr>
            <w:tcW w:type="dxa" w:w="3360"/>
            <w:vAlign w:val="center"/>
            <w:shd w:fill="F2F6F8"/>
          </w:tcPr>
          <w:p>
            <w:pPr>
              <w:spacing w:after="0"/>
            </w:pPr>
            <w:r/>
            <w:r>
              <w:rPr>
                <w:b w:val="0"/>
                <w:sz w:val="15"/>
              </w:rPr>
              <w:t>AT-006</w:t>
            </w:r>
          </w:p>
        </w:tc>
        <w:tc>
          <w:tcPr>
            <w:tcW w:type="dxa" w:w="3360"/>
            <w:vAlign w:val="center"/>
            <w:shd w:fill="F2F6F8"/>
          </w:tcPr>
          <w:p>
            <w:pPr>
              <w:spacing w:after="0"/>
            </w:pPr>
            <w:r/>
            <w:r>
              <w:rPr>
                <w:b w:val="0"/>
                <w:sz w:val="15"/>
              </w:rPr>
              <w:t>Unapproved scheme mapping is selected</w:t>
            </w:r>
          </w:p>
        </w:tc>
        <w:tc>
          <w:tcPr>
            <w:tcW w:type="dxa" w:w="3360"/>
            <w:vAlign w:val="center"/>
            <w:shd w:fill="F2F6F8"/>
          </w:tcPr>
          <w:p>
            <w:pPr>
              <w:spacing w:after="0"/>
            </w:pPr>
            <w:r/>
            <w:r>
              <w:rPr>
                <w:b w:val="0"/>
                <w:sz w:val="15"/>
              </w:rPr>
              <w:t>Recommendation is blocked or marked requiring official verification</w:t>
            </w:r>
          </w:p>
        </w:tc>
      </w:tr>
      <w:tr>
        <w:tc>
          <w:tcPr>
            <w:tcW w:type="dxa" w:w="3360"/>
            <w:vAlign w:val="center"/>
          </w:tcPr>
          <w:p>
            <w:pPr>
              <w:spacing w:after="0"/>
            </w:pPr>
            <w:r/>
            <w:r>
              <w:rPr>
                <w:b w:val="0"/>
                <w:sz w:val="15"/>
              </w:rPr>
              <w:t>AT-007</w:t>
            </w:r>
          </w:p>
        </w:tc>
        <w:tc>
          <w:tcPr>
            <w:tcW w:type="dxa" w:w="3360"/>
            <w:vAlign w:val="center"/>
          </w:tcPr>
          <w:p>
            <w:pPr>
              <w:spacing w:after="0"/>
            </w:pPr>
            <w:r/>
            <w:r>
              <w:rPr>
                <w:b w:val="0"/>
                <w:sz w:val="15"/>
              </w:rPr>
              <w:t>Duplicate alert task is replayed</w:t>
            </w:r>
          </w:p>
        </w:tc>
        <w:tc>
          <w:tcPr>
            <w:tcW w:type="dxa" w:w="3360"/>
            <w:vAlign w:val="center"/>
          </w:tcPr>
          <w:p>
            <w:pPr>
              <w:spacing w:after="0"/>
            </w:pPr>
            <w:r/>
            <w:r>
              <w:rPr>
                <w:b w:val="0"/>
                <w:sz w:val="15"/>
              </w:rPr>
              <w:t>Idempotency key prevents duplicate dispatch</w:t>
            </w:r>
          </w:p>
        </w:tc>
      </w:tr>
      <w:tr>
        <w:tc>
          <w:tcPr>
            <w:tcW w:type="dxa" w:w="3360"/>
            <w:vAlign w:val="center"/>
            <w:shd w:fill="F2F6F8"/>
          </w:tcPr>
          <w:p>
            <w:pPr>
              <w:spacing w:after="0"/>
            </w:pPr>
            <w:r/>
            <w:r>
              <w:rPr>
                <w:b w:val="0"/>
                <w:sz w:val="15"/>
              </w:rPr>
              <w:t>AT-008</w:t>
            </w:r>
          </w:p>
        </w:tc>
        <w:tc>
          <w:tcPr>
            <w:tcW w:type="dxa" w:w="3360"/>
            <w:vAlign w:val="center"/>
            <w:shd w:fill="F2F6F8"/>
          </w:tcPr>
          <w:p>
            <w:pPr>
              <w:spacing w:after="0"/>
            </w:pPr>
            <w:r/>
            <w:r>
              <w:rPr>
                <w:b w:val="0"/>
                <w:sz w:val="15"/>
              </w:rPr>
              <w:t>Recipient inactive or outside user jurisdiction</w:t>
            </w:r>
          </w:p>
        </w:tc>
        <w:tc>
          <w:tcPr>
            <w:tcW w:type="dxa" w:w="3360"/>
            <w:vAlign w:val="center"/>
            <w:shd w:fill="F2F6F8"/>
          </w:tcPr>
          <w:p>
            <w:pPr>
              <w:spacing w:after="0"/>
            </w:pPr>
            <w:r/>
            <w:r>
              <w:rPr>
                <w:b w:val="0"/>
                <w:sz w:val="15"/>
              </w:rPr>
              <w:t>Dispatch is rejected and audited</w:t>
            </w:r>
          </w:p>
        </w:tc>
      </w:tr>
      <w:tr>
        <w:tc>
          <w:tcPr>
            <w:tcW w:type="dxa" w:w="3360"/>
            <w:vAlign w:val="center"/>
          </w:tcPr>
          <w:p>
            <w:pPr>
              <w:spacing w:after="0"/>
            </w:pPr>
            <w:r/>
            <w:r>
              <w:rPr>
                <w:b w:val="0"/>
                <w:sz w:val="15"/>
              </w:rPr>
              <w:t>AT-009</w:t>
            </w:r>
          </w:p>
        </w:tc>
        <w:tc>
          <w:tcPr>
            <w:tcW w:type="dxa" w:w="3360"/>
            <w:vAlign w:val="center"/>
          </w:tcPr>
          <w:p>
            <w:pPr>
              <w:spacing w:after="0"/>
            </w:pPr>
            <w:r/>
            <w:r>
              <w:rPr>
                <w:b w:val="0"/>
                <w:sz w:val="15"/>
              </w:rPr>
              <w:t>Provider accepts but does not confirm delivery</w:t>
            </w:r>
          </w:p>
        </w:tc>
        <w:tc>
          <w:tcPr>
            <w:tcW w:type="dxa" w:w="3360"/>
            <w:vAlign w:val="center"/>
          </w:tcPr>
          <w:p>
            <w:pPr>
              <w:spacing w:after="0"/>
            </w:pPr>
            <w:r/>
            <w:r>
              <w:rPr>
                <w:b w:val="0"/>
                <w:sz w:val="15"/>
              </w:rPr>
              <w:t>UI shows submitted/unknown status, not delivered or acknowledged</w:t>
            </w:r>
          </w:p>
        </w:tc>
      </w:tr>
      <w:tr>
        <w:tc>
          <w:tcPr>
            <w:tcW w:type="dxa" w:w="3360"/>
            <w:vAlign w:val="center"/>
            <w:shd w:fill="F2F6F8"/>
          </w:tcPr>
          <w:p>
            <w:pPr>
              <w:spacing w:after="0"/>
            </w:pPr>
            <w:r/>
            <w:r>
              <w:rPr>
                <w:b w:val="0"/>
                <w:sz w:val="15"/>
              </w:rPr>
              <w:t>AT-010</w:t>
            </w:r>
          </w:p>
        </w:tc>
        <w:tc>
          <w:tcPr>
            <w:tcW w:type="dxa" w:w="3360"/>
            <w:vAlign w:val="center"/>
            <w:shd w:fill="F2F6F8"/>
          </w:tcPr>
          <w:p>
            <w:pPr>
              <w:spacing w:after="0"/>
            </w:pPr>
            <w:r/>
            <w:r>
              <w:rPr>
                <w:b w:val="0"/>
                <w:sz w:val="15"/>
              </w:rPr>
              <w:t>Unauthorized user requests audit/contact data</w:t>
            </w:r>
          </w:p>
        </w:tc>
        <w:tc>
          <w:tcPr>
            <w:tcW w:type="dxa" w:w="3360"/>
            <w:vAlign w:val="center"/>
            <w:shd w:fill="F2F6F8"/>
          </w:tcPr>
          <w:p>
            <w:pPr>
              <w:spacing w:after="0"/>
            </w:pPr>
            <w:r/>
            <w:r>
              <w:rPr>
                <w:b w:val="0"/>
                <w:sz w:val="15"/>
              </w:rPr>
              <w:t>Request is denied and security event logged</w:t>
            </w:r>
          </w:p>
        </w:tc>
      </w:tr>
      <w:tr>
        <w:tc>
          <w:tcPr>
            <w:tcW w:type="dxa" w:w="3360"/>
            <w:vAlign w:val="center"/>
          </w:tcPr>
          <w:p>
            <w:pPr>
              <w:spacing w:after="0"/>
            </w:pPr>
            <w:r/>
            <w:r>
              <w:rPr>
                <w:b w:val="0"/>
                <w:sz w:val="15"/>
              </w:rPr>
              <w:t>AT-011</w:t>
            </w:r>
          </w:p>
        </w:tc>
        <w:tc>
          <w:tcPr>
            <w:tcW w:type="dxa" w:w="3360"/>
            <w:vAlign w:val="center"/>
          </w:tcPr>
          <w:p>
            <w:pPr>
              <w:spacing w:after="0"/>
            </w:pPr>
            <w:r/>
            <w:r>
              <w:rPr>
                <w:b w:val="0"/>
                <w:sz w:val="15"/>
              </w:rPr>
              <w:t>Boundary version changes</w:t>
            </w:r>
          </w:p>
        </w:tc>
        <w:tc>
          <w:tcPr>
            <w:tcW w:type="dxa" w:w="3360"/>
            <w:vAlign w:val="center"/>
          </w:tcPr>
          <w:p>
            <w:pPr>
              <w:spacing w:after="0"/>
            </w:pPr>
            <w:r/>
            <w:r>
              <w:rPr>
                <w:b w:val="0"/>
                <w:sz w:val="15"/>
              </w:rPr>
              <w:t>Reaggregation is versioned and historical comparability is flagged</w:t>
            </w:r>
          </w:p>
        </w:tc>
      </w:tr>
      <w:tr>
        <w:tc>
          <w:tcPr>
            <w:tcW w:type="dxa" w:w="3360"/>
            <w:vAlign w:val="center"/>
            <w:shd w:fill="F2F6F8"/>
          </w:tcPr>
          <w:p>
            <w:pPr>
              <w:spacing w:after="0"/>
            </w:pPr>
            <w:r/>
            <w:r>
              <w:rPr>
                <w:b w:val="0"/>
                <w:sz w:val="15"/>
              </w:rPr>
              <w:t>AT-012</w:t>
            </w:r>
          </w:p>
        </w:tc>
        <w:tc>
          <w:tcPr>
            <w:tcW w:type="dxa" w:w="3360"/>
            <w:vAlign w:val="center"/>
            <w:shd w:fill="F2F6F8"/>
          </w:tcPr>
          <w:p>
            <w:pPr>
              <w:spacing w:after="0"/>
            </w:pPr>
            <w:r/>
            <w:r>
              <w:rPr>
                <w:b w:val="0"/>
                <w:sz w:val="15"/>
              </w:rPr>
              <w:t>New model fails baseline gate</w:t>
            </w:r>
          </w:p>
        </w:tc>
        <w:tc>
          <w:tcPr>
            <w:tcW w:type="dxa" w:w="3360"/>
            <w:vAlign w:val="center"/>
            <w:shd w:fill="F2F6F8"/>
          </w:tcPr>
          <w:p>
            <w:pPr>
              <w:spacing w:after="0"/>
            </w:pPr>
            <w:r/>
            <w:r>
              <w:rPr>
                <w:b w:val="0"/>
                <w:sz w:val="15"/>
              </w:rPr>
              <w:t>Release remains disabled and prior approved model or descriptive-only mode remains active</w:t>
            </w:r>
          </w:p>
        </w:tc>
      </w:tr>
    </w:tbl>
    <w:p/>
    <w:p>
      <w:pPr>
        <w:pStyle w:val="Heading1"/>
        <w:keepNext/>
      </w:pPr>
      <w:r>
        <w:t>16. Backup, Recovery &amp; Business Continuity</w:t>
      </w:r>
    </w:p>
    <w:p>
      <w:pPr>
        <w:pStyle w:val="ListBullet"/>
        <w:spacing w:after="40"/>
      </w:pPr>
      <w:r>
        <w:t>Define recovery point objective (RPO) and recovery time objective (RTO) with the pilot sponsor; do not invent these values without operational input.</w:t>
      </w:r>
    </w:p>
    <w:p>
      <w:pPr>
        <w:pStyle w:val="ListBullet"/>
        <w:spacing w:after="40"/>
      </w:pPr>
      <w:r>
        <w:t>Back up database, configuration, schema migrations, model registry metadata, approved artifacts and permitted source snapshots/references.</w:t>
      </w:r>
    </w:p>
    <w:p>
      <w:pPr>
        <w:pStyle w:val="ListBullet"/>
        <w:spacing w:after="40"/>
      </w:pPr>
      <w:r>
        <w:t>Encrypt backups and restrict restore permissions; retain copies according to approved policy.</w:t>
      </w:r>
    </w:p>
    <w:p>
      <w:pPr>
        <w:pStyle w:val="ListBullet"/>
        <w:spacing w:after="40"/>
      </w:pPr>
      <w:r>
        <w:t>Run periodic restore tests and document achieved recovery time/data loss.</w:t>
      </w:r>
    </w:p>
    <w:p>
      <w:pPr>
        <w:pStyle w:val="ListBullet"/>
        <w:spacing w:after="40"/>
      </w:pPr>
      <w:r>
        <w:t>Ensure queues can be replayed safely without duplicate alerts; notification idempotency must survive worker restarts.</w:t>
      </w:r>
    </w:p>
    <w:p>
      <w:pPr>
        <w:pStyle w:val="ListBullet"/>
        <w:spacing w:after="40"/>
      </w:pPr>
      <w:r>
        <w:t>Document degraded mode: if source data or prediction services fail, show last update and suppress unsupported alerts rather than showing stale values as current.</w:t>
      </w:r>
    </w:p>
    <w:p>
      <w:pPr>
        <w:pStyle w:val="ListBullet"/>
        <w:spacing w:after="40"/>
      </w:pPr>
      <w:r>
        <w:t>Maintain an incident contact tree and authority to disable all notifications quickly.</w:t>
      </w:r>
    </w:p>
    <w:p>
      <w:pPr>
        <w:pStyle w:val="Heading1"/>
        <w:keepNext/>
      </w:pPr>
      <w:r>
        <w:t>17. Cost &amp; Capacity Planning</w:t>
      </w:r>
    </w:p>
    <w:p>
      <w:r>
        <w:t>A 'zero-hardware' design means no dedicated field sensors are required by the concept; it does not mean zero operating cost. Hosting, storage, raster processing, Earth Engine/API quotas, map serving, database backups, message fees, security, field validation and support must be budgeted.</w:t>
      </w:r>
    </w:p>
    <w:p>
      <w:pPr>
        <w:pStyle w:val="ListBullet"/>
        <w:spacing w:after="40"/>
      </w:pPr>
      <w:r>
        <w:t>Estimate monthly cost by environment and pilot size, then extrapolate statewide with explicit assumptions.</w:t>
      </w:r>
    </w:p>
    <w:p>
      <w:pPr>
        <w:pStyle w:val="ListBullet"/>
        <w:spacing w:after="40"/>
      </w:pPr>
      <w:r>
        <w:t>Track actual processing time and data transfer per source and per unit; avoid per-block synchronous calls when batch processing is possible.</w:t>
      </w:r>
    </w:p>
    <w:p>
      <w:pPr>
        <w:pStyle w:val="ListBullet"/>
        <w:spacing w:after="40"/>
      </w:pPr>
      <w:r>
        <w:t>Use caching for stable boundary geometry and approved summaries, with explicit invalidation/versioning.</w:t>
      </w:r>
    </w:p>
    <w:p>
      <w:pPr>
        <w:pStyle w:val="ListBullet"/>
        <w:spacing w:after="40"/>
      </w:pPr>
      <w:r>
        <w:t>Apply retention policies to raw intermediates and logs where permitted.</w:t>
      </w:r>
    </w:p>
    <w:p>
      <w:pPr>
        <w:pStyle w:val="ListBullet"/>
        <w:spacing w:after="40"/>
      </w:pPr>
      <w:r>
        <w:t>Set budget alerts and quota limits; prevent accidental full-history reprocessing or notification storms.</w:t>
      </w:r>
    </w:p>
    <w:p>
      <w:pPr>
        <w:pStyle w:val="ListBullet"/>
        <w:spacing w:after="40"/>
      </w:pPr>
      <w:r>
        <w:t>Do not promise statewide operation at zero incremental cost until a measured capacity and cost model supports it.</w:t>
      </w:r>
    </w:p>
    <w:p>
      <w:pPr>
        <w:pStyle w:val="Heading1"/>
        <w:keepNext/>
      </w:pPr>
      <w:r>
        <w:t>18. Threat Model &amp; Abuse Cases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23B5D"/>
          </w:tcPr>
          <w:p>
            <w:pPr>
              <w:spacing w:after="0"/>
            </w:pPr>
            <w:r/>
            <w:r>
              <w:rPr>
                <w:b/>
                <w:color w:val="FFFFFF"/>
                <w:sz w:val="16"/>
              </w:rPr>
              <w:t>Threat / failure</w:t>
            </w:r>
          </w:p>
        </w:tc>
        <w:tc>
          <w:tcPr>
            <w:tcW w:type="dxa" w:w="3360"/>
            <w:vAlign w:val="center"/>
            <w:shd w:fill="123B5D"/>
          </w:tcPr>
          <w:p>
            <w:pPr>
              <w:spacing w:after="0"/>
            </w:pPr>
            <w:r/>
            <w:r>
              <w:rPr>
                <w:b/>
                <w:color w:val="FFFFFF"/>
                <w:sz w:val="16"/>
              </w:rPr>
              <w:t>Potential impact</w:t>
            </w:r>
          </w:p>
        </w:tc>
        <w:tc>
          <w:tcPr>
            <w:tcW w:type="dxa" w:w="3360"/>
            <w:vAlign w:val="center"/>
            <w:shd w:fill="123B5D"/>
          </w:tcPr>
          <w:p>
            <w:pPr>
              <w:spacing w:after="0"/>
            </w:pPr>
            <w:r/>
            <w:r>
              <w:rPr>
                <w:b/>
                <w:color w:val="FFFFFF"/>
                <w:sz w:val="16"/>
              </w:rPr>
              <w:t>Control</w:t>
            </w:r>
          </w:p>
        </w:tc>
      </w:tr>
      <w:tr>
        <w:tc>
          <w:tcPr>
            <w:tcW w:type="dxa" w:w="3360"/>
            <w:vAlign w:val="center"/>
          </w:tcPr>
          <w:p>
            <w:pPr>
              <w:spacing w:after="0"/>
            </w:pPr>
            <w:r/>
            <w:r>
              <w:rPr>
                <w:b w:val="0"/>
                <w:sz w:val="15"/>
              </w:rPr>
              <w:t>Compromised API key</w:t>
            </w:r>
          </w:p>
        </w:tc>
        <w:tc>
          <w:tcPr>
            <w:tcW w:type="dxa" w:w="3360"/>
            <w:vAlign w:val="center"/>
          </w:tcPr>
          <w:p>
            <w:pPr>
              <w:spacing w:after="0"/>
            </w:pPr>
            <w:r/>
            <w:r>
              <w:rPr>
                <w:b w:val="0"/>
                <w:sz w:val="15"/>
              </w:rPr>
              <w:t>Unauthorized data access or provider cost</w:t>
            </w:r>
          </w:p>
        </w:tc>
        <w:tc>
          <w:tcPr>
            <w:tcW w:type="dxa" w:w="3360"/>
            <w:vAlign w:val="center"/>
          </w:tcPr>
          <w:p>
            <w:pPr>
              <w:spacing w:after="0"/>
            </w:pPr>
            <w:r/>
            <w:r>
              <w:rPr>
                <w:b w:val="0"/>
                <w:sz w:val="15"/>
              </w:rPr>
              <w:t>Secret manager, least privilege, rotation, usage limits</w:t>
            </w:r>
          </w:p>
        </w:tc>
      </w:tr>
      <w:tr>
        <w:tc>
          <w:tcPr>
            <w:tcW w:type="dxa" w:w="3360"/>
            <w:vAlign w:val="center"/>
            <w:shd w:fill="F2F6F8"/>
          </w:tcPr>
          <w:p>
            <w:pPr>
              <w:spacing w:after="0"/>
            </w:pPr>
            <w:r/>
            <w:r>
              <w:rPr>
                <w:b w:val="0"/>
                <w:sz w:val="15"/>
              </w:rPr>
              <w:t>Incorrect source/schema change</w:t>
            </w:r>
          </w:p>
        </w:tc>
        <w:tc>
          <w:tcPr>
            <w:tcW w:type="dxa" w:w="3360"/>
            <w:vAlign w:val="center"/>
            <w:shd w:fill="F2F6F8"/>
          </w:tcPr>
          <w:p>
            <w:pPr>
              <w:spacing w:after="0"/>
            </w:pPr>
            <w:r/>
            <w:r>
              <w:rPr>
                <w:b w:val="0"/>
                <w:sz w:val="15"/>
              </w:rPr>
              <w:t>Misleading indicators or failed pipeline</w:t>
            </w:r>
          </w:p>
        </w:tc>
        <w:tc>
          <w:tcPr>
            <w:tcW w:type="dxa" w:w="3360"/>
            <w:vAlign w:val="center"/>
            <w:shd w:fill="F2F6F8"/>
          </w:tcPr>
          <w:p>
            <w:pPr>
              <w:spacing w:after="0"/>
            </w:pPr>
            <w:r/>
            <w:r>
              <w:rPr>
                <w:b w:val="0"/>
                <w:sz w:val="15"/>
              </w:rPr>
              <w:t>Contract tests, quarantine, source status alerts</w:t>
            </w:r>
          </w:p>
        </w:tc>
      </w:tr>
      <w:tr>
        <w:tc>
          <w:tcPr>
            <w:tcW w:type="dxa" w:w="3360"/>
            <w:vAlign w:val="center"/>
          </w:tcPr>
          <w:p>
            <w:pPr>
              <w:spacing w:after="0"/>
            </w:pPr>
            <w:r/>
            <w:r>
              <w:rPr>
                <w:b w:val="0"/>
                <w:sz w:val="15"/>
              </w:rPr>
              <w:t>Malicious or malformed input</w:t>
            </w:r>
          </w:p>
        </w:tc>
        <w:tc>
          <w:tcPr>
            <w:tcW w:type="dxa" w:w="3360"/>
            <w:vAlign w:val="center"/>
          </w:tcPr>
          <w:p>
            <w:pPr>
              <w:spacing w:after="0"/>
            </w:pPr>
            <w:r/>
            <w:r>
              <w:rPr>
                <w:b w:val="0"/>
                <w:sz w:val="15"/>
              </w:rPr>
              <w:t>Pipeline crash or data corruption</w:t>
            </w:r>
          </w:p>
        </w:tc>
        <w:tc>
          <w:tcPr>
            <w:tcW w:type="dxa" w:w="3360"/>
            <w:vAlign w:val="center"/>
          </w:tcPr>
          <w:p>
            <w:pPr>
              <w:spacing w:after="0"/>
            </w:pPr>
            <w:r/>
            <w:r>
              <w:rPr>
                <w:b w:val="0"/>
                <w:sz w:val="15"/>
              </w:rPr>
              <w:t>Schema/range validation, sandboxed parsing, dependency updates</w:t>
            </w:r>
          </w:p>
        </w:tc>
      </w:tr>
      <w:tr>
        <w:tc>
          <w:tcPr>
            <w:tcW w:type="dxa" w:w="3360"/>
            <w:vAlign w:val="center"/>
            <w:shd w:fill="F2F6F8"/>
          </w:tcPr>
          <w:p>
            <w:pPr>
              <w:spacing w:after="0"/>
            </w:pPr>
            <w:r/>
            <w:r>
              <w:rPr>
                <w:b w:val="0"/>
                <w:sz w:val="15"/>
              </w:rPr>
              <w:t>Unauthorized recipient export</w:t>
            </w:r>
          </w:p>
        </w:tc>
        <w:tc>
          <w:tcPr>
            <w:tcW w:type="dxa" w:w="3360"/>
            <w:vAlign w:val="center"/>
            <w:shd w:fill="F2F6F8"/>
          </w:tcPr>
          <w:p>
            <w:pPr>
              <w:spacing w:after="0"/>
            </w:pPr>
            <w:r/>
            <w:r>
              <w:rPr>
                <w:b w:val="0"/>
                <w:sz w:val="15"/>
              </w:rPr>
              <w:t>Privacy incident</w:t>
            </w:r>
          </w:p>
        </w:tc>
        <w:tc>
          <w:tcPr>
            <w:tcW w:type="dxa" w:w="3360"/>
            <w:vAlign w:val="center"/>
            <w:shd w:fill="F2F6F8"/>
          </w:tcPr>
          <w:p>
            <w:pPr>
              <w:spacing w:after="0"/>
            </w:pPr>
            <w:r/>
            <w:r>
              <w:rPr>
                <w:b w:val="0"/>
                <w:sz w:val="15"/>
              </w:rPr>
              <w:t>RBAC, scoped exports, audit and redaction</w:t>
            </w:r>
          </w:p>
        </w:tc>
      </w:tr>
      <w:tr>
        <w:tc>
          <w:tcPr>
            <w:tcW w:type="dxa" w:w="3360"/>
            <w:vAlign w:val="center"/>
          </w:tcPr>
          <w:p>
            <w:pPr>
              <w:spacing w:after="0"/>
            </w:pPr>
            <w:r/>
            <w:r>
              <w:rPr>
                <w:b w:val="0"/>
                <w:sz w:val="15"/>
              </w:rPr>
              <w:t>Duplicate/replayed queue task</w:t>
            </w:r>
          </w:p>
        </w:tc>
        <w:tc>
          <w:tcPr>
            <w:tcW w:type="dxa" w:w="3360"/>
            <w:vAlign w:val="center"/>
          </w:tcPr>
          <w:p>
            <w:pPr>
              <w:spacing w:after="0"/>
            </w:pPr>
            <w:r/>
            <w:r>
              <w:rPr>
                <w:b w:val="0"/>
                <w:sz w:val="15"/>
              </w:rPr>
              <w:t>Alert spam and loss of trust</w:t>
            </w:r>
          </w:p>
        </w:tc>
        <w:tc>
          <w:tcPr>
            <w:tcW w:type="dxa" w:w="3360"/>
            <w:vAlign w:val="center"/>
          </w:tcPr>
          <w:p>
            <w:pPr>
              <w:spacing w:after="0"/>
            </w:pPr>
            <w:r/>
            <w:r>
              <w:rPr>
                <w:b w:val="0"/>
                <w:sz w:val="15"/>
              </w:rPr>
              <w:t>Idempotency keys, durable dispatch state and rate limits</w:t>
            </w:r>
          </w:p>
        </w:tc>
      </w:tr>
      <w:tr>
        <w:tc>
          <w:tcPr>
            <w:tcW w:type="dxa" w:w="3360"/>
            <w:vAlign w:val="center"/>
            <w:shd w:fill="F2F6F8"/>
          </w:tcPr>
          <w:p>
            <w:pPr>
              <w:spacing w:after="0"/>
            </w:pPr>
            <w:r/>
            <w:r>
              <w:rPr>
                <w:b w:val="0"/>
                <w:sz w:val="15"/>
              </w:rPr>
              <w:t>Model drift or leakage</w:t>
            </w:r>
          </w:p>
        </w:tc>
        <w:tc>
          <w:tcPr>
            <w:tcW w:type="dxa" w:w="3360"/>
            <w:vAlign w:val="center"/>
            <w:shd w:fill="F2F6F8"/>
          </w:tcPr>
          <w:p>
            <w:pPr>
              <w:spacing w:after="0"/>
            </w:pPr>
            <w:r/>
            <w:r>
              <w:rPr>
                <w:b w:val="0"/>
                <w:sz w:val="15"/>
              </w:rPr>
              <w:t>False reassurance or false alarms</w:t>
            </w:r>
          </w:p>
        </w:tc>
        <w:tc>
          <w:tcPr>
            <w:tcW w:type="dxa" w:w="3360"/>
            <w:vAlign w:val="center"/>
            <w:shd w:fill="F2F6F8"/>
          </w:tcPr>
          <w:p>
            <w:pPr>
              <w:spacing w:after="0"/>
            </w:pPr>
            <w:r/>
            <w:r>
              <w:rPr>
                <w:b w:val="0"/>
                <w:sz w:val="15"/>
              </w:rPr>
              <w:t>Held-out evaluation, monitoring, review gate and rollback</w:t>
            </w:r>
          </w:p>
        </w:tc>
      </w:tr>
      <w:tr>
        <w:tc>
          <w:tcPr>
            <w:tcW w:type="dxa" w:w="3360"/>
            <w:vAlign w:val="center"/>
          </w:tcPr>
          <w:p>
            <w:pPr>
              <w:spacing w:after="0"/>
            </w:pPr>
            <w:r/>
            <w:r>
              <w:rPr>
                <w:b w:val="0"/>
                <w:sz w:val="15"/>
              </w:rPr>
              <w:t>Unverified scheme rule</w:t>
            </w:r>
          </w:p>
        </w:tc>
        <w:tc>
          <w:tcPr>
            <w:tcW w:type="dxa" w:w="3360"/>
            <w:vAlign w:val="center"/>
          </w:tcPr>
          <w:p>
            <w:pPr>
              <w:spacing w:after="0"/>
            </w:pPr>
            <w:r/>
            <w:r>
              <w:rPr>
                <w:b w:val="0"/>
                <w:sz w:val="15"/>
              </w:rPr>
              <w:t>Improper recommendation or public commitment</w:t>
            </w:r>
          </w:p>
        </w:tc>
        <w:tc>
          <w:tcPr>
            <w:tcW w:type="dxa" w:w="3360"/>
            <w:vAlign w:val="center"/>
          </w:tcPr>
          <w:p>
            <w:pPr>
              <w:spacing w:after="0"/>
            </w:pPr>
            <w:r/>
            <w:r>
              <w:rPr>
                <w:b w:val="0"/>
                <w:sz w:val="15"/>
              </w:rPr>
              <w:t>Official-source catalogue, effective dates and human approval</w:t>
            </w:r>
          </w:p>
        </w:tc>
      </w:tr>
      <w:tr>
        <w:tc>
          <w:tcPr>
            <w:tcW w:type="dxa" w:w="3360"/>
            <w:vAlign w:val="center"/>
            <w:shd w:fill="F2F6F8"/>
          </w:tcPr>
          <w:p>
            <w:pPr>
              <w:spacing w:after="0"/>
            </w:pPr>
            <w:r/>
            <w:r>
              <w:rPr>
                <w:b w:val="0"/>
                <w:sz w:val="15"/>
              </w:rPr>
              <w:t>Stale output shown as current</w:t>
            </w:r>
          </w:p>
        </w:tc>
        <w:tc>
          <w:tcPr>
            <w:tcW w:type="dxa" w:w="3360"/>
            <w:vAlign w:val="center"/>
            <w:shd w:fill="F2F6F8"/>
          </w:tcPr>
          <w:p>
            <w:pPr>
              <w:spacing w:after="0"/>
            </w:pPr>
            <w:r/>
            <w:r>
              <w:rPr>
                <w:b w:val="0"/>
                <w:sz w:val="15"/>
              </w:rPr>
              <w:t>Bad administrative decisions</w:t>
            </w:r>
          </w:p>
        </w:tc>
        <w:tc>
          <w:tcPr>
            <w:tcW w:type="dxa" w:w="3360"/>
            <w:vAlign w:val="center"/>
            <w:shd w:fill="F2F6F8"/>
          </w:tcPr>
          <w:p>
            <w:pPr>
              <w:spacing w:after="0"/>
            </w:pPr>
            <w:r/>
            <w:r>
              <w:rPr>
                <w:b w:val="0"/>
                <w:sz w:val="15"/>
              </w:rPr>
              <w:t>Freshness banners, automatic suppression and source health status</w:t>
            </w:r>
          </w:p>
        </w:tc>
      </w:tr>
      <w:tr>
        <w:tc>
          <w:tcPr>
            <w:tcW w:type="dxa" w:w="3360"/>
            <w:vAlign w:val="center"/>
          </w:tcPr>
          <w:p>
            <w:pPr>
              <w:spacing w:after="0"/>
            </w:pPr>
            <w:r/>
            <w:r>
              <w:rPr>
                <w:b w:val="0"/>
                <w:sz w:val="15"/>
              </w:rPr>
              <w:t>Prompt/templating injection via free text</w:t>
            </w:r>
          </w:p>
        </w:tc>
        <w:tc>
          <w:tcPr>
            <w:tcW w:type="dxa" w:w="3360"/>
            <w:vAlign w:val="center"/>
          </w:tcPr>
          <w:p>
            <w:pPr>
              <w:spacing w:after="0"/>
            </w:pPr>
            <w:r/>
            <w:r>
              <w:rPr>
                <w:b w:val="0"/>
                <w:sz w:val="15"/>
              </w:rPr>
              <w:t>Unsafe alert content or data leakage</w:t>
            </w:r>
          </w:p>
        </w:tc>
        <w:tc>
          <w:tcPr>
            <w:tcW w:type="dxa" w:w="3360"/>
            <w:vAlign w:val="center"/>
          </w:tcPr>
          <w:p>
            <w:pPr>
              <w:spacing w:after="0"/>
            </w:pPr>
            <w:r/>
            <w:r>
              <w:rPr>
                <w:b w:val="0"/>
                <w:sz w:val="15"/>
              </w:rPr>
              <w:t>Template allow-list, escaping, constrained fields and reviewer preview</w:t>
            </w:r>
          </w:p>
        </w:tc>
      </w:tr>
      <w:tr>
        <w:tc>
          <w:tcPr>
            <w:tcW w:type="dxa" w:w="3360"/>
            <w:vAlign w:val="center"/>
            <w:shd w:fill="F2F6F8"/>
          </w:tcPr>
          <w:p>
            <w:pPr>
              <w:spacing w:after="0"/>
            </w:pPr>
            <w:r/>
            <w:r>
              <w:rPr>
                <w:b w:val="0"/>
                <w:sz w:val="15"/>
              </w:rPr>
              <w:t>Insider misuse</w:t>
            </w:r>
          </w:p>
        </w:tc>
        <w:tc>
          <w:tcPr>
            <w:tcW w:type="dxa" w:w="3360"/>
            <w:vAlign w:val="center"/>
            <w:shd w:fill="F2F6F8"/>
          </w:tcPr>
          <w:p>
            <w:pPr>
              <w:spacing w:after="0"/>
            </w:pPr>
            <w:r/>
            <w:r>
              <w:rPr>
                <w:b w:val="0"/>
                <w:sz w:val="15"/>
              </w:rPr>
              <w:t>Unauthorized edits or access</w:t>
            </w:r>
          </w:p>
        </w:tc>
        <w:tc>
          <w:tcPr>
            <w:tcW w:type="dxa" w:w="3360"/>
            <w:vAlign w:val="center"/>
            <w:shd w:fill="F2F6F8"/>
          </w:tcPr>
          <w:p>
            <w:pPr>
              <w:spacing w:after="0"/>
            </w:pPr>
            <w:r/>
            <w:r>
              <w:rPr>
                <w:b w:val="0"/>
                <w:sz w:val="15"/>
              </w:rPr>
              <w:t>Role separation, audit, periodic access review and incident process</w:t>
            </w:r>
          </w:p>
        </w:tc>
      </w:tr>
    </w:tbl>
    <w:p/>
    <w:p>
      <w:pPr>
        <w:pStyle w:val="Heading1"/>
        <w:keepNext/>
      </w:pPr>
      <w:r>
        <w:t>19. Operational Runbooks</w:t>
      </w:r>
    </w:p>
    <w:tbl>
      <w:tblPr>
        <w:tblStyle w:val="TableGrid"/>
        <w:tblW w:type="auto" w:w="0"/>
        <w:tblLook w:firstColumn="1" w:firstRow="1" w:lastColumn="0" w:lastRow="0" w:noHBand="0" w:noVBand="1" w:val="04A0"/>
      </w:tblPr>
      <w:tblGrid>
        <w:gridCol w:w="5040"/>
        <w:gridCol w:w="5040"/>
      </w:tblGrid>
      <w:tr>
        <w:tc>
          <w:tcPr>
            <w:tcW w:type="dxa" w:w="5040"/>
            <w:vAlign w:val="center"/>
            <w:shd w:fill="123B5D"/>
          </w:tcPr>
          <w:p>
            <w:pPr>
              <w:spacing w:after="0"/>
            </w:pPr>
            <w:r/>
            <w:r>
              <w:rPr>
                <w:b/>
                <w:color w:val="FFFFFF"/>
                <w:sz w:val="16"/>
              </w:rPr>
              <w:t>Runbook</w:t>
            </w:r>
          </w:p>
        </w:tc>
        <w:tc>
          <w:tcPr>
            <w:tcW w:type="dxa" w:w="5040"/>
            <w:vAlign w:val="center"/>
            <w:shd w:fill="123B5D"/>
          </w:tcPr>
          <w:p>
            <w:pPr>
              <w:spacing w:after="0"/>
            </w:pPr>
            <w:r/>
            <w:r>
              <w:rPr>
                <w:b/>
                <w:color w:val="FFFFFF"/>
                <w:sz w:val="16"/>
              </w:rPr>
              <w:t>Minimum steps</w:t>
            </w:r>
          </w:p>
        </w:tc>
      </w:tr>
      <w:tr>
        <w:tc>
          <w:tcPr>
            <w:tcW w:type="dxa" w:w="5040"/>
            <w:vAlign w:val="center"/>
          </w:tcPr>
          <w:p>
            <w:pPr>
              <w:spacing w:after="0"/>
            </w:pPr>
            <w:r/>
            <w:r>
              <w:rPr>
                <w:b w:val="0"/>
                <w:sz w:val="15"/>
              </w:rPr>
              <w:t>Source ingestion failure</w:t>
            </w:r>
          </w:p>
        </w:tc>
        <w:tc>
          <w:tcPr>
            <w:tcW w:type="dxa" w:w="5040"/>
            <w:vAlign w:val="center"/>
          </w:tcPr>
          <w:p>
            <w:pPr>
              <w:spacing w:after="0"/>
            </w:pPr>
            <w:r/>
            <w:r>
              <w:rPr>
                <w:b w:val="0"/>
                <w:sz w:val="15"/>
              </w:rPr>
              <w:t>Identify source/run; classify auth/quota/network/schema; pause dependent outputs if stale; retry safely; notify owner; record resolution.</w:t>
            </w:r>
          </w:p>
        </w:tc>
      </w:tr>
      <w:tr>
        <w:tc>
          <w:tcPr>
            <w:tcW w:type="dxa" w:w="5040"/>
            <w:vAlign w:val="center"/>
            <w:shd w:fill="F2F6F8"/>
          </w:tcPr>
          <w:p>
            <w:pPr>
              <w:spacing w:after="0"/>
            </w:pPr>
            <w:r/>
            <w:r>
              <w:rPr>
                <w:b w:val="0"/>
                <w:sz w:val="15"/>
              </w:rPr>
              <w:t>Data quality anomaly</w:t>
            </w:r>
          </w:p>
        </w:tc>
        <w:tc>
          <w:tcPr>
            <w:tcW w:type="dxa" w:w="5040"/>
            <w:vAlign w:val="center"/>
            <w:shd w:fill="F2F6F8"/>
          </w:tcPr>
          <w:p>
            <w:pPr>
              <w:spacing w:after="0"/>
            </w:pPr>
            <w:r/>
            <w:r>
              <w:rPr>
                <w:b w:val="0"/>
                <w:sz w:val="15"/>
              </w:rPr>
              <w:t>Quarantine affected batch; compare to source; inspect units/QA/geometry; suppress downstream predictions; correct through versioned rerun.</w:t>
            </w:r>
          </w:p>
        </w:tc>
      </w:tr>
      <w:tr>
        <w:tc>
          <w:tcPr>
            <w:tcW w:type="dxa" w:w="5040"/>
            <w:vAlign w:val="center"/>
          </w:tcPr>
          <w:p>
            <w:pPr>
              <w:spacing w:after="0"/>
            </w:pPr>
            <w:r/>
            <w:r>
              <w:rPr>
                <w:b w:val="0"/>
                <w:sz w:val="15"/>
              </w:rPr>
              <w:t>Prediction/model failure</w:t>
            </w:r>
          </w:p>
        </w:tc>
        <w:tc>
          <w:tcPr>
            <w:tcW w:type="dxa" w:w="5040"/>
            <w:vAlign w:val="center"/>
          </w:tcPr>
          <w:p>
            <w:pPr>
              <w:spacing w:after="0"/>
            </w:pPr>
            <w:r/>
            <w:r>
              <w:rPr>
                <w:b w:val="0"/>
                <w:sz w:val="15"/>
              </w:rPr>
              <w:t>Mark prediction unavailable; retain descriptive indicators; inspect input coverage/model version; rollback or disable feature flag; notify science owner.</w:t>
            </w:r>
          </w:p>
        </w:tc>
      </w:tr>
      <w:tr>
        <w:tc>
          <w:tcPr>
            <w:tcW w:type="dxa" w:w="5040"/>
            <w:vAlign w:val="center"/>
            <w:shd w:fill="F2F6F8"/>
          </w:tcPr>
          <w:p>
            <w:pPr>
              <w:spacing w:after="0"/>
            </w:pPr>
            <w:r/>
            <w:r>
              <w:rPr>
                <w:b w:val="0"/>
                <w:sz w:val="15"/>
              </w:rPr>
              <w:t>Erroneous alert</w:t>
            </w:r>
          </w:p>
        </w:tc>
        <w:tc>
          <w:tcPr>
            <w:tcW w:type="dxa" w:w="5040"/>
            <w:vAlign w:val="center"/>
            <w:shd w:fill="F2F6F8"/>
          </w:tcPr>
          <w:p>
            <w:pPr>
              <w:spacing w:after="0"/>
            </w:pPr>
            <w:r/>
            <w:r>
              <w:rPr>
                <w:b w:val="0"/>
                <w:sz w:val="15"/>
              </w:rPr>
              <w:t>Stop further dispatch; identify candidate, template, recipient scope and evidence; inform accountable authority; issue correction if approved; record incident and root cause.</w:t>
            </w:r>
          </w:p>
        </w:tc>
      </w:tr>
      <w:tr>
        <w:tc>
          <w:tcPr>
            <w:tcW w:type="dxa" w:w="5040"/>
            <w:vAlign w:val="center"/>
          </w:tcPr>
          <w:p>
            <w:pPr>
              <w:spacing w:after="0"/>
            </w:pPr>
            <w:r/>
            <w:r>
              <w:rPr>
                <w:b w:val="0"/>
                <w:sz w:val="15"/>
              </w:rPr>
              <w:t>Messaging provider outage</w:t>
            </w:r>
          </w:p>
        </w:tc>
        <w:tc>
          <w:tcPr>
            <w:tcW w:type="dxa" w:w="5040"/>
            <w:vAlign w:val="center"/>
          </w:tcPr>
          <w:p>
            <w:pPr>
              <w:spacing w:after="0"/>
            </w:pPr>
            <w:r/>
            <w:r>
              <w:rPr>
                <w:b w:val="0"/>
                <w:sz w:val="15"/>
              </w:rPr>
              <w:t>Pause or queue safely; avoid uncontrolled retries; monitor backlog; verify provider status; resume with idempotency checks.</w:t>
            </w:r>
          </w:p>
        </w:tc>
      </w:tr>
      <w:tr>
        <w:tc>
          <w:tcPr>
            <w:tcW w:type="dxa" w:w="5040"/>
            <w:vAlign w:val="center"/>
            <w:shd w:fill="F2F6F8"/>
          </w:tcPr>
          <w:p>
            <w:pPr>
              <w:spacing w:after="0"/>
            </w:pPr>
            <w:r/>
            <w:r>
              <w:rPr>
                <w:b w:val="0"/>
                <w:sz w:val="15"/>
              </w:rPr>
              <w:t>Security/privacy incident</w:t>
            </w:r>
          </w:p>
        </w:tc>
        <w:tc>
          <w:tcPr>
            <w:tcW w:type="dxa" w:w="5040"/>
            <w:vAlign w:val="center"/>
            <w:shd w:fill="F2F6F8"/>
          </w:tcPr>
          <w:p>
            <w:pPr>
              <w:spacing w:after="0"/>
            </w:pPr>
            <w:r/>
            <w:r>
              <w:rPr>
                <w:b w:val="0"/>
                <w:sz w:val="15"/>
              </w:rPr>
              <w:t>Contain access; rotate credentials; preserve logs; notify designated owner; follow approved legal/regulatory process; document remediation.</w:t>
            </w:r>
          </w:p>
        </w:tc>
      </w:tr>
      <w:tr>
        <w:tc>
          <w:tcPr>
            <w:tcW w:type="dxa" w:w="5040"/>
            <w:vAlign w:val="center"/>
          </w:tcPr>
          <w:p>
            <w:pPr>
              <w:spacing w:after="0"/>
            </w:pPr>
            <w:r/>
            <w:r>
              <w:rPr>
                <w:b w:val="0"/>
                <w:sz w:val="15"/>
              </w:rPr>
              <w:t>Database/restore incident</w:t>
            </w:r>
          </w:p>
        </w:tc>
        <w:tc>
          <w:tcPr>
            <w:tcW w:type="dxa" w:w="5040"/>
            <w:vAlign w:val="center"/>
          </w:tcPr>
          <w:p>
            <w:pPr>
              <w:spacing w:after="0"/>
            </w:pPr>
            <w:r/>
            <w:r>
              <w:rPr>
                <w:b w:val="0"/>
                <w:sz w:val="15"/>
              </w:rPr>
              <w:t>Switch to documented recovery plan; restore verified backup; validate data consistency; reconcile queue/alert state; communicate service status.</w:t>
            </w:r>
          </w:p>
        </w:tc>
      </w:tr>
      <w:tr>
        <w:tc>
          <w:tcPr>
            <w:tcW w:type="dxa" w:w="5040"/>
            <w:vAlign w:val="center"/>
            <w:shd w:fill="F2F6F8"/>
          </w:tcPr>
          <w:p>
            <w:pPr>
              <w:spacing w:after="0"/>
            </w:pPr>
            <w:r/>
            <w:r>
              <w:rPr>
                <w:b w:val="0"/>
                <w:sz w:val="15"/>
              </w:rPr>
              <w:t>Cost/quota incident</w:t>
            </w:r>
          </w:p>
        </w:tc>
        <w:tc>
          <w:tcPr>
            <w:tcW w:type="dxa" w:w="5040"/>
            <w:vAlign w:val="center"/>
            <w:shd w:fill="F2F6F8"/>
          </w:tcPr>
          <w:p>
            <w:pPr>
              <w:spacing w:after="0"/>
            </w:pPr>
            <w:r/>
            <w:r>
              <w:rPr>
                <w:b w:val="0"/>
                <w:sz w:val="15"/>
              </w:rPr>
              <w:t>Throttle or disable expensive jobs; inspect usage; preserve core monitoring; notify owner; resume after budget/quota review.</w:t>
            </w:r>
          </w:p>
        </w:tc>
      </w:tr>
    </w:tbl>
    <w:p/>
    <w:p>
      <w:pPr>
        <w:pStyle w:val="Heading1"/>
        <w:keepNext/>
      </w:pPr>
      <w:r>
        <w:t>20. Implementation Sequence &amp; Definition of Done</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23B5D"/>
          </w:tcPr>
          <w:p>
            <w:pPr>
              <w:spacing w:after="0"/>
            </w:pPr>
            <w:r/>
            <w:r>
              <w:rPr>
                <w:b/>
                <w:color w:val="FFFFFF"/>
                <w:sz w:val="16"/>
              </w:rPr>
              <w:t>Workstream</w:t>
            </w:r>
          </w:p>
        </w:tc>
        <w:tc>
          <w:tcPr>
            <w:tcW w:type="dxa" w:w="3360"/>
            <w:vAlign w:val="center"/>
            <w:shd w:fill="123B5D"/>
          </w:tcPr>
          <w:p>
            <w:pPr>
              <w:spacing w:after="0"/>
            </w:pPr>
            <w:r/>
            <w:r>
              <w:rPr>
                <w:b/>
                <w:color w:val="FFFFFF"/>
                <w:sz w:val="16"/>
              </w:rPr>
              <w:t>Deliverables</w:t>
            </w:r>
          </w:p>
        </w:tc>
        <w:tc>
          <w:tcPr>
            <w:tcW w:type="dxa" w:w="3360"/>
            <w:vAlign w:val="center"/>
            <w:shd w:fill="123B5D"/>
          </w:tcPr>
          <w:p>
            <w:pPr>
              <w:spacing w:after="0"/>
            </w:pPr>
            <w:r/>
            <w:r>
              <w:rPr>
                <w:b/>
                <w:color w:val="FFFFFF"/>
                <w:sz w:val="16"/>
              </w:rPr>
              <w:t>Definition of done</w:t>
            </w:r>
          </w:p>
        </w:tc>
      </w:tr>
      <w:tr>
        <w:tc>
          <w:tcPr>
            <w:tcW w:type="dxa" w:w="3360"/>
            <w:vAlign w:val="center"/>
          </w:tcPr>
          <w:p>
            <w:pPr>
              <w:spacing w:after="0"/>
            </w:pPr>
            <w:r/>
            <w:r>
              <w:rPr>
                <w:b w:val="0"/>
                <w:sz w:val="15"/>
              </w:rPr>
              <w:t>T0: Foundations</w:t>
            </w:r>
          </w:p>
        </w:tc>
        <w:tc>
          <w:tcPr>
            <w:tcW w:type="dxa" w:w="3360"/>
            <w:vAlign w:val="center"/>
          </w:tcPr>
          <w:p>
            <w:pPr>
              <w:spacing w:after="0"/>
            </w:pPr>
            <w:r/>
            <w:r>
              <w:rPr>
                <w:b w:val="0"/>
                <w:sz w:val="15"/>
              </w:rPr>
              <w:t>Repo, dependency lock, configuration, CI, environments, secrets and basic observability</w:t>
            </w:r>
          </w:p>
        </w:tc>
        <w:tc>
          <w:tcPr>
            <w:tcW w:type="dxa" w:w="3360"/>
            <w:vAlign w:val="center"/>
          </w:tcPr>
          <w:p>
            <w:pPr>
              <w:spacing w:after="0"/>
            </w:pPr>
            <w:r/>
            <w:r>
              <w:rPr>
                <w:b w:val="0"/>
                <w:sz w:val="15"/>
              </w:rPr>
              <w:t>Reproducible build; no secrets in repo; tests and deployment path pass</w:t>
            </w:r>
          </w:p>
        </w:tc>
      </w:tr>
      <w:tr>
        <w:tc>
          <w:tcPr>
            <w:tcW w:type="dxa" w:w="3360"/>
            <w:vAlign w:val="center"/>
            <w:shd w:fill="F2F6F8"/>
          </w:tcPr>
          <w:p>
            <w:pPr>
              <w:spacing w:after="0"/>
            </w:pPr>
            <w:r/>
            <w:r>
              <w:rPr>
                <w:b w:val="0"/>
                <w:sz w:val="15"/>
              </w:rPr>
              <w:t>T1: Data contracts</w:t>
            </w:r>
          </w:p>
        </w:tc>
        <w:tc>
          <w:tcPr>
            <w:tcW w:type="dxa" w:w="3360"/>
            <w:vAlign w:val="center"/>
            <w:shd w:fill="F2F6F8"/>
          </w:tcPr>
          <w:p>
            <w:pPr>
              <w:spacing w:after="0"/>
            </w:pPr>
            <w:r/>
            <w:r>
              <w:rPr>
                <w:b w:val="0"/>
                <w:sz w:val="15"/>
              </w:rPr>
              <w:t>Source registry, adapter interface, data catalogue and source access proof</w:t>
            </w:r>
          </w:p>
        </w:tc>
        <w:tc>
          <w:tcPr>
            <w:tcW w:type="dxa" w:w="3360"/>
            <w:vAlign w:val="center"/>
            <w:shd w:fill="F2F6F8"/>
          </w:tcPr>
          <w:p>
            <w:pPr>
              <w:spacing w:after="0"/>
            </w:pPr>
            <w:r/>
            <w:r>
              <w:rPr>
                <w:b w:val="0"/>
                <w:sz w:val="15"/>
              </w:rPr>
              <w:t>Each enabled source has tested contract and terms review</w:t>
            </w:r>
          </w:p>
        </w:tc>
      </w:tr>
      <w:tr>
        <w:tc>
          <w:tcPr>
            <w:tcW w:type="dxa" w:w="3360"/>
            <w:vAlign w:val="center"/>
          </w:tcPr>
          <w:p>
            <w:pPr>
              <w:spacing w:after="0"/>
            </w:pPr>
            <w:r/>
            <w:r>
              <w:rPr>
                <w:b w:val="0"/>
                <w:sz w:val="15"/>
              </w:rPr>
              <w:t>T2: Geospatial data</w:t>
            </w:r>
          </w:p>
        </w:tc>
        <w:tc>
          <w:tcPr>
            <w:tcW w:type="dxa" w:w="3360"/>
            <w:vAlign w:val="center"/>
          </w:tcPr>
          <w:p>
            <w:pPr>
              <w:spacing w:after="0"/>
            </w:pPr>
            <w:r/>
            <w:r>
              <w:rPr>
                <w:b w:val="0"/>
                <w:sz w:val="15"/>
              </w:rPr>
              <w:t>Boundary master, geometry QA, spatial processing and lineage</w:t>
            </w:r>
          </w:p>
        </w:tc>
        <w:tc>
          <w:tcPr>
            <w:tcW w:type="dxa" w:w="3360"/>
            <w:vAlign w:val="center"/>
          </w:tcPr>
          <w:p>
            <w:pPr>
              <w:spacing w:after="0"/>
            </w:pPr>
            <w:r/>
            <w:r>
              <w:rPr>
                <w:b w:val="0"/>
                <w:sz w:val="15"/>
              </w:rPr>
              <w:t>Spatial joins and aggregation tests pass; resolution caveats visible</w:t>
            </w:r>
          </w:p>
        </w:tc>
      </w:tr>
      <w:tr>
        <w:tc>
          <w:tcPr>
            <w:tcW w:type="dxa" w:w="3360"/>
            <w:vAlign w:val="center"/>
            <w:shd w:fill="F2F6F8"/>
          </w:tcPr>
          <w:p>
            <w:pPr>
              <w:spacing w:after="0"/>
            </w:pPr>
            <w:r/>
            <w:r>
              <w:rPr>
                <w:b w:val="0"/>
                <w:sz w:val="15"/>
              </w:rPr>
              <w:t>T3: Curated storage</w:t>
            </w:r>
          </w:p>
        </w:tc>
        <w:tc>
          <w:tcPr>
            <w:tcW w:type="dxa" w:w="3360"/>
            <w:vAlign w:val="center"/>
            <w:shd w:fill="F2F6F8"/>
          </w:tcPr>
          <w:p>
            <w:pPr>
              <w:spacing w:after="0"/>
            </w:pPr>
            <w:r/>
            <w:r>
              <w:rPr>
                <w:b w:val="0"/>
                <w:sz w:val="15"/>
              </w:rPr>
              <w:t>Migrations, schema constraints, indexes, backups</w:t>
            </w:r>
          </w:p>
        </w:tc>
        <w:tc>
          <w:tcPr>
            <w:tcW w:type="dxa" w:w="3360"/>
            <w:vAlign w:val="center"/>
            <w:shd w:fill="F2F6F8"/>
          </w:tcPr>
          <w:p>
            <w:pPr>
              <w:spacing w:after="0"/>
            </w:pPr>
            <w:r/>
            <w:r>
              <w:rPr>
                <w:b w:val="0"/>
                <w:sz w:val="15"/>
              </w:rPr>
              <w:t>Migration/restore tests pass; measured query plan reviewed</w:t>
            </w:r>
          </w:p>
        </w:tc>
      </w:tr>
      <w:tr>
        <w:tc>
          <w:tcPr>
            <w:tcW w:type="dxa" w:w="3360"/>
            <w:vAlign w:val="center"/>
          </w:tcPr>
          <w:p>
            <w:pPr>
              <w:spacing w:after="0"/>
            </w:pPr>
            <w:r/>
            <w:r>
              <w:rPr>
                <w:b w:val="0"/>
                <w:sz w:val="15"/>
              </w:rPr>
              <w:t>T4: Monitoring UI/API</w:t>
            </w:r>
          </w:p>
        </w:tc>
        <w:tc>
          <w:tcPr>
            <w:tcW w:type="dxa" w:w="3360"/>
            <w:vAlign w:val="center"/>
          </w:tcPr>
          <w:p>
            <w:pPr>
              <w:spacing w:after="0"/>
            </w:pPr>
            <w:r/>
            <w:r>
              <w:rPr>
                <w:b w:val="0"/>
                <w:sz w:val="15"/>
              </w:rPr>
              <w:t>Map, block detail, historical indicators, source freshness and quality states</w:t>
            </w:r>
          </w:p>
        </w:tc>
        <w:tc>
          <w:tcPr>
            <w:tcW w:type="dxa" w:w="3360"/>
            <w:vAlign w:val="center"/>
          </w:tcPr>
          <w:p>
            <w:pPr>
              <w:spacing w:after="0"/>
            </w:pPr>
            <w:r/>
            <w:r>
              <w:rPr>
                <w:b w:val="0"/>
                <w:sz w:val="15"/>
              </w:rPr>
              <w:t>Users can inspect source, period, unit, caveat and data gaps</w:t>
            </w:r>
          </w:p>
        </w:tc>
      </w:tr>
      <w:tr>
        <w:tc>
          <w:tcPr>
            <w:tcW w:type="dxa" w:w="3360"/>
            <w:vAlign w:val="center"/>
            <w:shd w:fill="F2F6F8"/>
          </w:tcPr>
          <w:p>
            <w:pPr>
              <w:spacing w:after="0"/>
            </w:pPr>
            <w:r/>
            <w:r>
              <w:rPr>
                <w:b w:val="0"/>
                <w:sz w:val="15"/>
              </w:rPr>
              <w:t>T5: Science evaluation</w:t>
            </w:r>
          </w:p>
        </w:tc>
        <w:tc>
          <w:tcPr>
            <w:tcW w:type="dxa" w:w="3360"/>
            <w:vAlign w:val="center"/>
            <w:shd w:fill="F2F6F8"/>
          </w:tcPr>
          <w:p>
            <w:pPr>
              <w:spacing w:after="0"/>
            </w:pPr>
            <w:r/>
            <w:r>
              <w:rPr>
                <w:b w:val="0"/>
                <w:sz w:val="15"/>
              </w:rPr>
              <w:t>Target definition, baselines, validation pipeline, model card</w:t>
            </w:r>
          </w:p>
        </w:tc>
        <w:tc>
          <w:tcPr>
            <w:tcW w:type="dxa" w:w="3360"/>
            <w:vAlign w:val="center"/>
            <w:shd w:fill="F2F6F8"/>
          </w:tcPr>
          <w:p>
            <w:pPr>
              <w:spacing w:after="0"/>
            </w:pPr>
            <w:r/>
            <w:r>
              <w:rPr>
                <w:b w:val="0"/>
                <w:sz w:val="15"/>
              </w:rPr>
              <w:t>Independent review completed; no prediction enabled without passing gate</w:t>
            </w:r>
          </w:p>
        </w:tc>
      </w:tr>
      <w:tr>
        <w:tc>
          <w:tcPr>
            <w:tcW w:type="dxa" w:w="3360"/>
            <w:vAlign w:val="center"/>
          </w:tcPr>
          <w:p>
            <w:pPr>
              <w:spacing w:after="0"/>
            </w:pPr>
            <w:r/>
            <w:r>
              <w:rPr>
                <w:b w:val="0"/>
                <w:sz w:val="15"/>
              </w:rPr>
              <w:t>T6: Review and scheme catalogue</w:t>
            </w:r>
          </w:p>
        </w:tc>
        <w:tc>
          <w:tcPr>
            <w:tcW w:type="dxa" w:w="3360"/>
            <w:vAlign w:val="center"/>
          </w:tcPr>
          <w:p>
            <w:pPr>
              <w:spacing w:after="0"/>
            </w:pPr>
            <w:r/>
            <w:r>
              <w:rPr>
                <w:b w:val="0"/>
                <w:sz w:val="15"/>
              </w:rPr>
              <w:t>Reviewer queue, audit, official-source catalogue and effective dates</w:t>
            </w:r>
          </w:p>
        </w:tc>
        <w:tc>
          <w:tcPr>
            <w:tcW w:type="dxa" w:w="3360"/>
            <w:vAlign w:val="center"/>
          </w:tcPr>
          <w:p>
            <w:pPr>
              <w:spacing w:after="0"/>
            </w:pPr>
            <w:r/>
            <w:r>
              <w:rPr>
                <w:b w:val="0"/>
                <w:sz w:val="15"/>
              </w:rPr>
              <w:t>No automatic scheme approval; every recommendation traceable</w:t>
            </w:r>
          </w:p>
        </w:tc>
      </w:tr>
      <w:tr>
        <w:tc>
          <w:tcPr>
            <w:tcW w:type="dxa" w:w="3360"/>
            <w:vAlign w:val="center"/>
            <w:shd w:fill="F2F6F8"/>
          </w:tcPr>
          <w:p>
            <w:pPr>
              <w:spacing w:after="0"/>
            </w:pPr>
            <w:r/>
            <w:r>
              <w:rPr>
                <w:b w:val="0"/>
                <w:sz w:val="15"/>
              </w:rPr>
              <w:t>T7: Messaging sandbox</w:t>
            </w:r>
          </w:p>
        </w:tc>
        <w:tc>
          <w:tcPr>
            <w:tcW w:type="dxa" w:w="3360"/>
            <w:vAlign w:val="center"/>
            <w:shd w:fill="F2F6F8"/>
          </w:tcPr>
          <w:p>
            <w:pPr>
              <w:spacing w:after="0"/>
            </w:pPr>
            <w:r/>
            <w:r>
              <w:rPr>
                <w:b w:val="0"/>
                <w:sz w:val="15"/>
              </w:rPr>
              <w:t>Template rendering, provider integration, status callbacks, idempotency</w:t>
            </w:r>
          </w:p>
        </w:tc>
        <w:tc>
          <w:tcPr>
            <w:tcW w:type="dxa" w:w="3360"/>
            <w:vAlign w:val="center"/>
            <w:shd w:fill="F2F6F8"/>
          </w:tcPr>
          <w:p>
            <w:pPr>
              <w:spacing w:after="0"/>
            </w:pPr>
            <w:r/>
            <w:r>
              <w:rPr>
                <w:b w:val="0"/>
                <w:sz w:val="15"/>
              </w:rPr>
              <w:t>End-to-end tests pass using test recipients only</w:t>
            </w:r>
          </w:p>
        </w:tc>
      </w:tr>
      <w:tr>
        <w:tc>
          <w:tcPr>
            <w:tcW w:type="dxa" w:w="3360"/>
            <w:vAlign w:val="center"/>
          </w:tcPr>
          <w:p>
            <w:pPr>
              <w:spacing w:after="0"/>
            </w:pPr>
            <w:r/>
            <w:r>
              <w:rPr>
                <w:b w:val="0"/>
                <w:sz w:val="15"/>
              </w:rPr>
              <w:t>T8: Shadow pilot</w:t>
            </w:r>
          </w:p>
        </w:tc>
        <w:tc>
          <w:tcPr>
            <w:tcW w:type="dxa" w:w="3360"/>
            <w:vAlign w:val="center"/>
          </w:tcPr>
          <w:p>
            <w:pPr>
              <w:spacing w:after="0"/>
            </w:pPr>
            <w:r/>
            <w:r>
              <w:rPr>
                <w:b w:val="0"/>
                <w:sz w:val="15"/>
              </w:rPr>
              <w:t>Candidate signals, review workload and field feedback</w:t>
            </w:r>
          </w:p>
        </w:tc>
        <w:tc>
          <w:tcPr>
            <w:tcW w:type="dxa" w:w="3360"/>
            <w:vAlign w:val="center"/>
          </w:tcPr>
          <w:p>
            <w:pPr>
              <w:spacing w:after="0"/>
            </w:pPr>
            <w:r/>
            <w:r>
              <w:rPr>
                <w:b w:val="0"/>
                <w:sz w:val="15"/>
              </w:rPr>
              <w:t>Predefined scientific and operational metrics reviewed</w:t>
            </w:r>
          </w:p>
        </w:tc>
      </w:tr>
      <w:tr>
        <w:tc>
          <w:tcPr>
            <w:tcW w:type="dxa" w:w="3360"/>
            <w:vAlign w:val="center"/>
            <w:shd w:fill="F2F6F8"/>
          </w:tcPr>
          <w:p>
            <w:pPr>
              <w:spacing w:after="0"/>
            </w:pPr>
            <w:r/>
            <w:r>
              <w:rPr>
                <w:b w:val="0"/>
                <w:sz w:val="15"/>
              </w:rPr>
              <w:t>T9: Controlled production pilot</w:t>
            </w:r>
          </w:p>
        </w:tc>
        <w:tc>
          <w:tcPr>
            <w:tcW w:type="dxa" w:w="3360"/>
            <w:vAlign w:val="center"/>
            <w:shd w:fill="F2F6F8"/>
          </w:tcPr>
          <w:p>
            <w:pPr>
              <w:spacing w:after="0"/>
            </w:pPr>
            <w:r/>
            <w:r>
              <w:rPr>
                <w:b w:val="0"/>
                <w:sz w:val="15"/>
              </w:rPr>
              <w:t>Approved recipients, runbooks, incident response and cost reporting</w:t>
            </w:r>
          </w:p>
        </w:tc>
        <w:tc>
          <w:tcPr>
            <w:tcW w:type="dxa" w:w="3360"/>
            <w:vAlign w:val="center"/>
            <w:shd w:fill="F2F6F8"/>
          </w:tcPr>
          <w:p>
            <w:pPr>
              <w:spacing w:after="0"/>
            </w:pPr>
            <w:r/>
            <w:r>
              <w:rPr>
                <w:b w:val="0"/>
                <w:sz w:val="15"/>
              </w:rPr>
              <w:t>Go-live sign-off; rollback and kill switch verified</w:t>
            </w:r>
          </w:p>
        </w:tc>
      </w:tr>
    </w:tbl>
    <w:p/>
    <w:p>
      <w:pPr>
        <w:pStyle w:val="Heading1"/>
        <w:keepNext/>
      </w:pPr>
      <w:r>
        <w:t>21. Open Technical Decisions</w:t>
      </w:r>
    </w:p>
    <w:p>
      <w:pPr>
        <w:pStyle w:val="ListNumber"/>
        <w:spacing w:after="40"/>
      </w:pPr>
      <w:r>
        <w:t>Which exact pilot blocks and official boundary dataset/version will be used?</w:t>
      </w:r>
    </w:p>
    <w:p>
      <w:pPr>
        <w:pStyle w:val="ListNumber"/>
        <w:spacing w:after="40"/>
      </w:pPr>
      <w:r>
        <w:t>Which GRACE/GRACE-FO product and exact IMD rainfall product are approved and accessible?</w:t>
      </w:r>
    </w:p>
    <w:p>
      <w:pPr>
        <w:pStyle w:val="ListNumber"/>
        <w:spacing w:after="40"/>
      </w:pPr>
      <w:r>
        <w:t>What historical CGWB/state groundwater observations are available, at what cadence, and with what sharing conditions?</w:t>
      </w:r>
    </w:p>
    <w:p>
      <w:pPr>
        <w:pStyle w:val="ListNumber"/>
        <w:spacing w:after="40"/>
      </w:pPr>
      <w:r>
        <w:t>Which hosting environment, residency, security controls and procurement requirements apply?</w:t>
      </w:r>
    </w:p>
    <w:p>
      <w:pPr>
        <w:pStyle w:val="ListNumber"/>
        <w:spacing w:after="40"/>
      </w:pPr>
      <w:r>
        <w:t>Will the initial UI remain Streamlit or require a production web/API architecture from the start?</w:t>
      </w:r>
    </w:p>
    <w:p>
      <w:pPr>
        <w:pStyle w:val="ListNumber"/>
        <w:spacing w:after="40"/>
      </w:pPr>
      <w:r>
        <w:t>What target variable and forecast horizon could be validated with available observations?</w:t>
      </w:r>
    </w:p>
    <w:p>
      <w:pPr>
        <w:pStyle w:val="ListNumber"/>
        <w:spacing w:after="40"/>
      </w:pPr>
      <w:r>
        <w:t>What spatial resolution/aggregation is defensible for each published indicator?</w:t>
      </w:r>
    </w:p>
    <w:p>
      <w:pPr>
        <w:pStyle w:val="ListNumber"/>
        <w:spacing w:after="40"/>
      </w:pPr>
      <w:r>
        <w:t>What operational thresholds, review roles and false-alert budget will the pilot governance group approve?</w:t>
      </w:r>
    </w:p>
    <w:p>
      <w:pPr>
        <w:pStyle w:val="ListNumber"/>
        <w:spacing w:after="40"/>
      </w:pPr>
      <w:r>
        <w:t>Which messaging provider, sender, template approval process, cost and recipient authorization model apply?</w:t>
      </w:r>
    </w:p>
    <w:p>
      <w:pPr>
        <w:pStyle w:val="ListNumber"/>
        <w:spacing w:after="40"/>
      </w:pPr>
      <w:r>
        <w:t>What RPO/RTO, retention, concurrency, availability and budget targets are required?</w:t>
      </w:r>
    </w:p>
    <w:p>
      <w:pPr>
        <w:pStyle w:val="ListNumber"/>
        <w:spacing w:after="40"/>
      </w:pPr>
      <w:r>
        <w:t>Who owns data quality, scientific sign-off, scheme catalogue maintenance, alert approval and incident response?</w:t>
      </w:r>
    </w:p>
    <w:p>
      <w:pPr>
        <w:pStyle w:val="Heading1"/>
        <w:keepNext/>
      </w:pPr>
      <w:r>
        <w:t>22. Traceability to Product Requirements</w:t>
      </w:r>
    </w:p>
    <w:tbl>
      <w:tblPr>
        <w:tblStyle w:val="TableGrid"/>
        <w:tblW w:type="auto" w:w="0"/>
        <w:tblLook w:firstColumn="1" w:firstRow="1" w:lastColumn="0" w:lastRow="0" w:noHBand="0" w:noVBand="1" w:val="04A0"/>
      </w:tblPr>
      <w:tblGrid>
        <w:gridCol w:w="5040"/>
        <w:gridCol w:w="5040"/>
      </w:tblGrid>
      <w:tr>
        <w:tc>
          <w:tcPr>
            <w:tcW w:type="dxa" w:w="5040"/>
            <w:vAlign w:val="center"/>
            <w:shd w:fill="123B5D"/>
          </w:tcPr>
          <w:p>
            <w:pPr>
              <w:spacing w:after="0"/>
            </w:pPr>
            <w:r/>
            <w:r>
              <w:rPr>
                <w:b/>
                <w:color w:val="FFFFFF"/>
                <w:sz w:val="16"/>
              </w:rPr>
              <w:t>PRD area</w:t>
            </w:r>
          </w:p>
        </w:tc>
        <w:tc>
          <w:tcPr>
            <w:tcW w:type="dxa" w:w="5040"/>
            <w:vAlign w:val="center"/>
            <w:shd w:fill="123B5D"/>
          </w:tcPr>
          <w:p>
            <w:pPr>
              <w:spacing w:after="0"/>
            </w:pPr>
            <w:r/>
            <w:r>
              <w:rPr>
                <w:b/>
                <w:color w:val="FFFFFF"/>
                <w:sz w:val="16"/>
              </w:rPr>
              <w:t>TRD coverage</w:t>
            </w:r>
          </w:p>
        </w:tc>
      </w:tr>
      <w:tr>
        <w:tc>
          <w:tcPr>
            <w:tcW w:type="dxa" w:w="5040"/>
            <w:vAlign w:val="center"/>
          </w:tcPr>
          <w:p>
            <w:pPr>
              <w:spacing w:after="0"/>
            </w:pPr>
            <w:r/>
            <w:r>
              <w:rPr>
                <w:b w:val="0"/>
                <w:sz w:val="15"/>
              </w:rPr>
              <w:t>Interactive GIS dashboard</w:t>
            </w:r>
          </w:p>
        </w:tc>
        <w:tc>
          <w:tcPr>
            <w:tcW w:type="dxa" w:w="5040"/>
            <w:vAlign w:val="center"/>
          </w:tcPr>
          <w:p>
            <w:pPr>
              <w:spacing w:after="0"/>
            </w:pPr>
            <w:r/>
            <w:r>
              <w:rPr>
                <w:b w:val="0"/>
                <w:sz w:val="15"/>
              </w:rPr>
              <w:t>Sections 5, 8, 13, 14, 15</w:t>
            </w:r>
          </w:p>
        </w:tc>
      </w:tr>
      <w:tr>
        <w:tc>
          <w:tcPr>
            <w:tcW w:type="dxa" w:w="5040"/>
            <w:vAlign w:val="center"/>
            <w:shd w:fill="F2F6F8"/>
          </w:tcPr>
          <w:p>
            <w:pPr>
              <w:spacing w:after="0"/>
            </w:pPr>
            <w:r/>
            <w:r>
              <w:rPr>
                <w:b w:val="0"/>
                <w:sz w:val="15"/>
              </w:rPr>
              <w:t>Data ingestion and quality</w:t>
            </w:r>
          </w:p>
        </w:tc>
        <w:tc>
          <w:tcPr>
            <w:tcW w:type="dxa" w:w="5040"/>
            <w:vAlign w:val="center"/>
            <w:shd w:fill="F2F6F8"/>
          </w:tcPr>
          <w:p>
            <w:pPr>
              <w:spacing w:after="0"/>
            </w:pPr>
            <w:r/>
            <w:r>
              <w:rPr>
                <w:b w:val="0"/>
                <w:sz w:val="15"/>
              </w:rPr>
              <w:t>Sections 4, 5, 6, 13, 15</w:t>
            </w:r>
          </w:p>
        </w:tc>
      </w:tr>
      <w:tr>
        <w:tc>
          <w:tcPr>
            <w:tcW w:type="dxa" w:w="5040"/>
            <w:vAlign w:val="center"/>
          </w:tcPr>
          <w:p>
            <w:pPr>
              <w:spacing w:after="0"/>
            </w:pPr>
            <w:r/>
            <w:r>
              <w:rPr>
                <w:b w:val="0"/>
                <w:sz w:val="15"/>
              </w:rPr>
              <w:t>Groundwater indicators and predictive engine</w:t>
            </w:r>
          </w:p>
        </w:tc>
        <w:tc>
          <w:tcPr>
            <w:tcW w:type="dxa" w:w="5040"/>
            <w:vAlign w:val="center"/>
          </w:tcPr>
          <w:p>
            <w:pPr>
              <w:spacing w:after="0"/>
            </w:pPr>
            <w:r/>
            <w:r>
              <w:rPr>
                <w:b w:val="0"/>
                <w:sz w:val="15"/>
              </w:rPr>
              <w:t>Sections 5, 7, 15</w:t>
            </w:r>
          </w:p>
        </w:tc>
      </w:tr>
      <w:tr>
        <w:tc>
          <w:tcPr>
            <w:tcW w:type="dxa" w:w="5040"/>
            <w:vAlign w:val="center"/>
            <w:shd w:fill="F2F6F8"/>
          </w:tcPr>
          <w:p>
            <w:pPr>
              <w:spacing w:after="0"/>
            </w:pPr>
            <w:r/>
            <w:r>
              <w:rPr>
                <w:b w:val="0"/>
                <w:sz w:val="15"/>
              </w:rPr>
              <w:t>GSS/days-to-crisis governance</w:t>
            </w:r>
          </w:p>
        </w:tc>
        <w:tc>
          <w:tcPr>
            <w:tcW w:type="dxa" w:w="5040"/>
            <w:vAlign w:val="center"/>
            <w:shd w:fill="F2F6F8"/>
          </w:tcPr>
          <w:p>
            <w:pPr>
              <w:spacing w:after="0"/>
            </w:pPr>
            <w:r/>
            <w:r>
              <w:rPr>
                <w:b w:val="0"/>
                <w:sz w:val="15"/>
              </w:rPr>
              <w:t>Sections 7, 15, 18</w:t>
            </w:r>
          </w:p>
        </w:tc>
      </w:tr>
      <w:tr>
        <w:tc>
          <w:tcPr>
            <w:tcW w:type="dxa" w:w="5040"/>
            <w:vAlign w:val="center"/>
          </w:tcPr>
          <w:p>
            <w:pPr>
              <w:spacing w:after="0"/>
            </w:pPr>
            <w:r/>
            <w:r>
              <w:rPr>
                <w:b w:val="0"/>
                <w:sz w:val="15"/>
              </w:rPr>
              <w:t>Scheme recommendations</w:t>
            </w:r>
          </w:p>
        </w:tc>
        <w:tc>
          <w:tcPr>
            <w:tcW w:type="dxa" w:w="5040"/>
            <w:vAlign w:val="center"/>
          </w:tcPr>
          <w:p>
            <w:pPr>
              <w:spacing w:after="0"/>
            </w:pPr>
            <w:r/>
            <w:r>
              <w:rPr>
                <w:b w:val="0"/>
                <w:sz w:val="15"/>
              </w:rPr>
              <w:t>Sections 8, 9, 18</w:t>
            </w:r>
          </w:p>
        </w:tc>
      </w:tr>
      <w:tr>
        <w:tc>
          <w:tcPr>
            <w:tcW w:type="dxa" w:w="5040"/>
            <w:vAlign w:val="center"/>
            <w:shd w:fill="F2F6F8"/>
          </w:tcPr>
          <w:p>
            <w:pPr>
              <w:spacing w:after="0"/>
            </w:pPr>
            <w:r/>
            <w:r>
              <w:rPr>
                <w:b w:val="0"/>
                <w:sz w:val="15"/>
              </w:rPr>
              <w:t>Hindi WhatsApp/SMS alerts</w:t>
            </w:r>
          </w:p>
        </w:tc>
        <w:tc>
          <w:tcPr>
            <w:tcW w:type="dxa" w:w="5040"/>
            <w:vAlign w:val="center"/>
            <w:shd w:fill="F2F6F8"/>
          </w:tcPr>
          <w:p>
            <w:pPr>
              <w:spacing w:after="0"/>
            </w:pPr>
            <w:r/>
            <w:r>
              <w:rPr>
                <w:b w:val="0"/>
                <w:sz w:val="15"/>
              </w:rPr>
              <w:t>Section 9</w:t>
            </w:r>
          </w:p>
        </w:tc>
      </w:tr>
      <w:tr>
        <w:tc>
          <w:tcPr>
            <w:tcW w:type="dxa" w:w="5040"/>
            <w:vAlign w:val="center"/>
          </w:tcPr>
          <w:p>
            <w:pPr>
              <w:spacing w:after="0"/>
            </w:pPr>
            <w:r/>
            <w:r>
              <w:rPr>
                <w:b w:val="0"/>
                <w:sz w:val="15"/>
              </w:rPr>
              <w:t>Security/privacy/DPDP considerations</w:t>
            </w:r>
          </w:p>
        </w:tc>
        <w:tc>
          <w:tcPr>
            <w:tcW w:type="dxa" w:w="5040"/>
            <w:vAlign w:val="center"/>
          </w:tcPr>
          <w:p>
            <w:pPr>
              <w:spacing w:after="0"/>
            </w:pPr>
            <w:r/>
            <w:r>
              <w:rPr>
                <w:b w:val="0"/>
                <w:sz w:val="15"/>
              </w:rPr>
              <w:t>Sections 10, 11, 18</w:t>
            </w:r>
          </w:p>
        </w:tc>
      </w:tr>
      <w:tr>
        <w:tc>
          <w:tcPr>
            <w:tcW w:type="dxa" w:w="5040"/>
            <w:vAlign w:val="center"/>
            <w:shd w:fill="F2F6F8"/>
          </w:tcPr>
          <w:p>
            <w:pPr>
              <w:spacing w:after="0"/>
            </w:pPr>
            <w:r/>
            <w:r>
              <w:rPr>
                <w:b w:val="0"/>
                <w:sz w:val="15"/>
              </w:rPr>
              <w:t>Performance, scalability and reliability</w:t>
            </w:r>
          </w:p>
        </w:tc>
        <w:tc>
          <w:tcPr>
            <w:tcW w:type="dxa" w:w="5040"/>
            <w:vAlign w:val="center"/>
            <w:shd w:fill="F2F6F8"/>
          </w:tcPr>
          <w:p>
            <w:pPr>
              <w:spacing w:after="0"/>
            </w:pPr>
            <w:r/>
            <w:r>
              <w:rPr>
                <w:b w:val="0"/>
                <w:sz w:val="15"/>
              </w:rPr>
              <w:t>Sections 11, 13, 14, 16, 17</w:t>
            </w:r>
          </w:p>
        </w:tc>
      </w:tr>
      <w:tr>
        <w:tc>
          <w:tcPr>
            <w:tcW w:type="dxa" w:w="5040"/>
            <w:vAlign w:val="center"/>
          </w:tcPr>
          <w:p>
            <w:pPr>
              <w:spacing w:after="0"/>
            </w:pPr>
            <w:r/>
            <w:r>
              <w:rPr>
                <w:b w:val="0"/>
                <w:sz w:val="15"/>
              </w:rPr>
              <w:t>Pilot, rollout and acceptance</w:t>
            </w:r>
          </w:p>
        </w:tc>
        <w:tc>
          <w:tcPr>
            <w:tcW w:type="dxa" w:w="5040"/>
            <w:vAlign w:val="center"/>
          </w:tcPr>
          <w:p>
            <w:pPr>
              <w:spacing w:after="0"/>
            </w:pPr>
            <w:r/>
            <w:r>
              <w:rPr>
                <w:b w:val="0"/>
                <w:sz w:val="15"/>
              </w:rPr>
              <w:t>Sections 15, 19, 20</w:t>
            </w:r>
          </w:p>
        </w:tc>
      </w:tr>
    </w:tbl>
    <w:p/>
    <w:p>
      <w:pPr>
        <w:pStyle w:val="Heading1"/>
        <w:keepNext/>
      </w:pPr>
      <w:r>
        <w:t>23. Final Technical Recommendation</w:t>
      </w:r>
    </w:p>
    <w:p>
      <w:r>
        <w:t>Implement a reliable data-quality and monitoring platform first. Treat the ML model, GSS and countdown as experiments until independent observations establish that they are meaningful, calibrated and useful for the intended decisions. Prefer the simplest model that passes validation. Keep source data, derived indicators, model outputs, human review and dispatched alerts as distinct, traceable states.</w:t>
      </w:r>
    </w:p>
    <w:p>
      <w:r>
        <w:t>Do not ship the sample spatial-downscaling equation or countdown formula as production logic. Do not allow missing satellite data to be silently replaced by constants. Do not send automated emergency messages based on an unapproved score. The technical definition of done includes scientific validity, source terms/access, operational governance, safe failure behavior and tested rollback—not just a working dashboard.</w:t>
      </w:r>
    </w:p>
    <w:p>
      <w:pPr>
        <w:pStyle w:val="Heading1"/>
        <w:keepNext/>
      </w:pPr>
      <w:r>
        <w:t>Appendix A — Configuration Inventory</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123B5D"/>
          </w:tcPr>
          <w:p>
            <w:pPr>
              <w:spacing w:after="0"/>
            </w:pPr>
            <w:r/>
            <w:r>
              <w:rPr>
                <w:b/>
                <w:color w:val="FFFFFF"/>
                <w:sz w:val="16"/>
              </w:rPr>
              <w:t>Config key (illustrative)</w:t>
            </w:r>
          </w:p>
        </w:tc>
        <w:tc>
          <w:tcPr>
            <w:tcW w:type="dxa" w:w="3360"/>
            <w:vAlign w:val="center"/>
            <w:shd w:fill="123B5D"/>
          </w:tcPr>
          <w:p>
            <w:pPr>
              <w:spacing w:after="0"/>
            </w:pPr>
            <w:r/>
            <w:r>
              <w:rPr>
                <w:b/>
                <w:color w:val="FFFFFF"/>
                <w:sz w:val="16"/>
              </w:rPr>
              <w:t>Purpose</w:t>
            </w:r>
          </w:p>
        </w:tc>
        <w:tc>
          <w:tcPr>
            <w:tcW w:type="dxa" w:w="3360"/>
            <w:vAlign w:val="center"/>
            <w:shd w:fill="123B5D"/>
          </w:tcPr>
          <w:p>
            <w:pPr>
              <w:spacing w:after="0"/>
            </w:pPr>
            <w:r/>
            <w:r>
              <w:rPr>
                <w:b/>
                <w:color w:val="FFFFFF"/>
                <w:sz w:val="16"/>
              </w:rPr>
              <w:t>Security/operational note</w:t>
            </w:r>
          </w:p>
        </w:tc>
      </w:tr>
      <w:tr>
        <w:tc>
          <w:tcPr>
            <w:tcW w:type="dxa" w:w="3360"/>
            <w:vAlign w:val="center"/>
          </w:tcPr>
          <w:p>
            <w:pPr>
              <w:spacing w:after="0"/>
            </w:pPr>
            <w:r/>
            <w:r>
              <w:rPr>
                <w:b w:val="0"/>
                <w:sz w:val="15"/>
              </w:rPr>
              <w:t>DATABASE_URL</w:t>
            </w:r>
          </w:p>
        </w:tc>
        <w:tc>
          <w:tcPr>
            <w:tcW w:type="dxa" w:w="3360"/>
            <w:vAlign w:val="center"/>
          </w:tcPr>
          <w:p>
            <w:pPr>
              <w:spacing w:after="0"/>
            </w:pPr>
            <w:r/>
            <w:r>
              <w:rPr>
                <w:b w:val="0"/>
                <w:sz w:val="15"/>
              </w:rPr>
              <w:t>Database connection</w:t>
            </w:r>
          </w:p>
        </w:tc>
        <w:tc>
          <w:tcPr>
            <w:tcW w:type="dxa" w:w="3360"/>
            <w:vAlign w:val="center"/>
          </w:tcPr>
          <w:p>
            <w:pPr>
              <w:spacing w:after="0"/>
            </w:pPr>
            <w:r/>
            <w:r>
              <w:rPr>
                <w:b w:val="0"/>
                <w:sz w:val="15"/>
              </w:rPr>
              <w:t>Secret; inject at runtime</w:t>
            </w:r>
          </w:p>
        </w:tc>
      </w:tr>
      <w:tr>
        <w:tc>
          <w:tcPr>
            <w:tcW w:type="dxa" w:w="3360"/>
            <w:vAlign w:val="center"/>
            <w:shd w:fill="F2F6F8"/>
          </w:tcPr>
          <w:p>
            <w:pPr>
              <w:spacing w:after="0"/>
            </w:pPr>
            <w:r/>
            <w:r>
              <w:rPr>
                <w:b w:val="0"/>
                <w:sz w:val="15"/>
              </w:rPr>
              <w:t>REDIS_URL / QUEUE_URL</w:t>
            </w:r>
          </w:p>
        </w:tc>
        <w:tc>
          <w:tcPr>
            <w:tcW w:type="dxa" w:w="3360"/>
            <w:vAlign w:val="center"/>
            <w:shd w:fill="F2F6F8"/>
          </w:tcPr>
          <w:p>
            <w:pPr>
              <w:spacing w:after="0"/>
            </w:pPr>
            <w:r/>
            <w:r>
              <w:rPr>
                <w:b w:val="0"/>
                <w:sz w:val="15"/>
              </w:rPr>
              <w:t>Job queue connection</w:t>
            </w:r>
          </w:p>
        </w:tc>
        <w:tc>
          <w:tcPr>
            <w:tcW w:type="dxa" w:w="3360"/>
            <w:vAlign w:val="center"/>
            <w:shd w:fill="F2F6F8"/>
          </w:tcPr>
          <w:p>
            <w:pPr>
              <w:spacing w:after="0"/>
            </w:pPr>
            <w:r/>
            <w:r>
              <w:rPr>
                <w:b w:val="0"/>
                <w:sz w:val="15"/>
              </w:rPr>
              <w:t>Secret/secure config; separate environments</w:t>
            </w:r>
          </w:p>
        </w:tc>
      </w:tr>
      <w:tr>
        <w:tc>
          <w:tcPr>
            <w:tcW w:type="dxa" w:w="3360"/>
            <w:vAlign w:val="center"/>
          </w:tcPr>
          <w:p>
            <w:pPr>
              <w:spacing w:after="0"/>
            </w:pPr>
            <w:r/>
            <w:r>
              <w:rPr>
                <w:b w:val="0"/>
                <w:sz w:val="15"/>
              </w:rPr>
              <w:t>EARTH_ENGINE_PROJECT / credentials</w:t>
            </w:r>
          </w:p>
        </w:tc>
        <w:tc>
          <w:tcPr>
            <w:tcW w:type="dxa" w:w="3360"/>
            <w:vAlign w:val="center"/>
          </w:tcPr>
          <w:p>
            <w:pPr>
              <w:spacing w:after="0"/>
            </w:pPr>
            <w:r/>
            <w:r>
              <w:rPr>
                <w:b w:val="0"/>
                <w:sz w:val="15"/>
              </w:rPr>
              <w:t>Approved Earth Engine project/access</w:t>
            </w:r>
          </w:p>
        </w:tc>
        <w:tc>
          <w:tcPr>
            <w:tcW w:type="dxa" w:w="3360"/>
            <w:vAlign w:val="center"/>
          </w:tcPr>
          <w:p>
            <w:pPr>
              <w:spacing w:after="0"/>
            </w:pPr>
            <w:r/>
            <w:r>
              <w:rPr>
                <w:b w:val="0"/>
                <w:sz w:val="15"/>
              </w:rPr>
              <w:t>Confirm access and terms; never commit credentials</w:t>
            </w:r>
          </w:p>
        </w:tc>
      </w:tr>
      <w:tr>
        <w:tc>
          <w:tcPr>
            <w:tcW w:type="dxa" w:w="3360"/>
            <w:vAlign w:val="center"/>
            <w:shd w:fill="F2F6F8"/>
          </w:tcPr>
          <w:p>
            <w:pPr>
              <w:spacing w:after="0"/>
            </w:pPr>
            <w:r/>
            <w:r>
              <w:rPr>
                <w:b w:val="0"/>
                <w:sz w:val="15"/>
              </w:rPr>
              <w:t>SOURCE_REFRESH_POLICY</w:t>
            </w:r>
          </w:p>
        </w:tc>
        <w:tc>
          <w:tcPr>
            <w:tcW w:type="dxa" w:w="3360"/>
            <w:vAlign w:val="center"/>
            <w:shd w:fill="F2F6F8"/>
          </w:tcPr>
          <w:p>
            <w:pPr>
              <w:spacing w:after="0"/>
            </w:pPr>
            <w:r/>
            <w:r>
              <w:rPr>
                <w:b w:val="0"/>
                <w:sz w:val="15"/>
              </w:rPr>
              <w:t>Per-source cadence and freshness thresholds</w:t>
            </w:r>
          </w:p>
        </w:tc>
        <w:tc>
          <w:tcPr>
            <w:tcW w:type="dxa" w:w="3360"/>
            <w:vAlign w:val="center"/>
            <w:shd w:fill="F2F6F8"/>
          </w:tcPr>
          <w:p>
            <w:pPr>
              <w:spacing w:after="0"/>
            </w:pPr>
            <w:r/>
            <w:r>
              <w:rPr>
                <w:b w:val="0"/>
                <w:sz w:val="15"/>
              </w:rPr>
              <w:t>Version and review per dataset</w:t>
            </w:r>
          </w:p>
        </w:tc>
      </w:tr>
      <w:tr>
        <w:tc>
          <w:tcPr>
            <w:tcW w:type="dxa" w:w="3360"/>
            <w:vAlign w:val="center"/>
          </w:tcPr>
          <w:p>
            <w:pPr>
              <w:spacing w:after="0"/>
            </w:pPr>
            <w:r/>
            <w:r>
              <w:rPr>
                <w:b w:val="0"/>
                <w:sz w:val="15"/>
              </w:rPr>
              <w:t>MODEL_ACTIVE_VERSION</w:t>
            </w:r>
          </w:p>
        </w:tc>
        <w:tc>
          <w:tcPr>
            <w:tcW w:type="dxa" w:w="3360"/>
            <w:vAlign w:val="center"/>
          </w:tcPr>
          <w:p>
            <w:pPr>
              <w:spacing w:after="0"/>
            </w:pPr>
            <w:r/>
            <w:r>
              <w:rPr>
                <w:b w:val="0"/>
                <w:sz w:val="15"/>
              </w:rPr>
              <w:t>Approved model version</w:t>
            </w:r>
          </w:p>
        </w:tc>
        <w:tc>
          <w:tcPr>
            <w:tcW w:type="dxa" w:w="3360"/>
            <w:vAlign w:val="center"/>
          </w:tcPr>
          <w:p>
            <w:pPr>
              <w:spacing w:after="0"/>
            </w:pPr>
            <w:r/>
            <w:r>
              <w:rPr>
                <w:b w:val="0"/>
                <w:sz w:val="15"/>
              </w:rPr>
              <w:t>Must reference registry-approved artifact</w:t>
            </w:r>
          </w:p>
        </w:tc>
      </w:tr>
      <w:tr>
        <w:tc>
          <w:tcPr>
            <w:tcW w:type="dxa" w:w="3360"/>
            <w:vAlign w:val="center"/>
            <w:shd w:fill="F2F6F8"/>
          </w:tcPr>
          <w:p>
            <w:pPr>
              <w:spacing w:after="0"/>
            </w:pPr>
            <w:r/>
            <w:r>
              <w:rPr>
                <w:b w:val="0"/>
                <w:sz w:val="15"/>
              </w:rPr>
              <w:t>PREDICTION_FEATURE_ENABLED</w:t>
            </w:r>
          </w:p>
        </w:tc>
        <w:tc>
          <w:tcPr>
            <w:tcW w:type="dxa" w:w="3360"/>
            <w:vAlign w:val="center"/>
            <w:shd w:fill="F2F6F8"/>
          </w:tcPr>
          <w:p>
            <w:pPr>
              <w:spacing w:after="0"/>
            </w:pPr>
            <w:r/>
            <w:r>
              <w:rPr>
                <w:b w:val="0"/>
                <w:sz w:val="15"/>
              </w:rPr>
              <w:t>Enable/disable predictions</w:t>
            </w:r>
          </w:p>
        </w:tc>
        <w:tc>
          <w:tcPr>
            <w:tcW w:type="dxa" w:w="3360"/>
            <w:vAlign w:val="center"/>
            <w:shd w:fill="F2F6F8"/>
          </w:tcPr>
          <w:p>
            <w:pPr>
              <w:spacing w:after="0"/>
            </w:pPr>
            <w:r/>
            <w:r>
              <w:rPr>
                <w:b w:val="0"/>
                <w:sz w:val="15"/>
              </w:rPr>
              <w:t>Default off until validation gate passes</w:t>
            </w:r>
          </w:p>
        </w:tc>
      </w:tr>
      <w:tr>
        <w:tc>
          <w:tcPr>
            <w:tcW w:type="dxa" w:w="3360"/>
            <w:vAlign w:val="center"/>
          </w:tcPr>
          <w:p>
            <w:pPr>
              <w:spacing w:after="0"/>
            </w:pPr>
            <w:r/>
            <w:r>
              <w:rPr>
                <w:b w:val="0"/>
                <w:sz w:val="15"/>
              </w:rPr>
              <w:t>ALERT_DISPATCH_ENABLED</w:t>
            </w:r>
          </w:p>
        </w:tc>
        <w:tc>
          <w:tcPr>
            <w:tcW w:type="dxa" w:w="3360"/>
            <w:vAlign w:val="center"/>
          </w:tcPr>
          <w:p>
            <w:pPr>
              <w:spacing w:after="0"/>
            </w:pPr>
            <w:r/>
            <w:r>
              <w:rPr>
                <w:b w:val="0"/>
                <w:sz w:val="15"/>
              </w:rPr>
              <w:t>Enable/disable live sends</w:t>
            </w:r>
          </w:p>
        </w:tc>
        <w:tc>
          <w:tcPr>
            <w:tcW w:type="dxa" w:w="3360"/>
            <w:vAlign w:val="center"/>
          </w:tcPr>
          <w:p>
            <w:pPr>
              <w:spacing w:after="0"/>
            </w:pPr>
            <w:r/>
            <w:r>
              <w:rPr>
                <w:b w:val="0"/>
                <w:sz w:val="15"/>
              </w:rPr>
              <w:t>Default off in dev/staging/shadow; global kill switch</w:t>
            </w:r>
          </w:p>
        </w:tc>
      </w:tr>
      <w:tr>
        <w:tc>
          <w:tcPr>
            <w:tcW w:type="dxa" w:w="3360"/>
            <w:vAlign w:val="center"/>
            <w:shd w:fill="F2F6F8"/>
          </w:tcPr>
          <w:p>
            <w:pPr>
              <w:spacing w:after="0"/>
            </w:pPr>
            <w:r/>
            <w:r>
              <w:rPr>
                <w:b w:val="0"/>
                <w:sz w:val="15"/>
              </w:rPr>
              <w:t>ALERT_COOLDOWN</w:t>
            </w:r>
          </w:p>
        </w:tc>
        <w:tc>
          <w:tcPr>
            <w:tcW w:type="dxa" w:w="3360"/>
            <w:vAlign w:val="center"/>
            <w:shd w:fill="F2F6F8"/>
          </w:tcPr>
          <w:p>
            <w:pPr>
              <w:spacing w:after="0"/>
            </w:pPr>
            <w:r/>
            <w:r>
              <w:rPr>
                <w:b w:val="0"/>
                <w:sz w:val="15"/>
              </w:rPr>
              <w:t>Deduplication/cooldown policy</w:t>
            </w:r>
          </w:p>
        </w:tc>
        <w:tc>
          <w:tcPr>
            <w:tcW w:type="dxa" w:w="3360"/>
            <w:vAlign w:val="center"/>
            <w:shd w:fill="F2F6F8"/>
          </w:tcPr>
          <w:p>
            <w:pPr>
              <w:spacing w:after="0"/>
            </w:pPr>
            <w:r/>
            <w:r>
              <w:rPr>
                <w:b w:val="0"/>
                <w:sz w:val="15"/>
              </w:rPr>
              <w:t>Approved and versioned</w:t>
            </w:r>
          </w:p>
        </w:tc>
      </w:tr>
      <w:tr>
        <w:tc>
          <w:tcPr>
            <w:tcW w:type="dxa" w:w="3360"/>
            <w:vAlign w:val="center"/>
          </w:tcPr>
          <w:p>
            <w:pPr>
              <w:spacing w:after="0"/>
            </w:pPr>
            <w:r/>
            <w:r>
              <w:rPr>
                <w:b w:val="0"/>
                <w:sz w:val="15"/>
              </w:rPr>
              <w:t>SCHEME_CATALOGUE_VERSION</w:t>
            </w:r>
          </w:p>
        </w:tc>
        <w:tc>
          <w:tcPr>
            <w:tcW w:type="dxa" w:w="3360"/>
            <w:vAlign w:val="center"/>
          </w:tcPr>
          <w:p>
            <w:pPr>
              <w:spacing w:after="0"/>
            </w:pPr>
            <w:r/>
            <w:r>
              <w:rPr>
                <w:b w:val="0"/>
                <w:sz w:val="15"/>
              </w:rPr>
              <w:t>Active rule catalogue</w:t>
            </w:r>
          </w:p>
        </w:tc>
        <w:tc>
          <w:tcPr>
            <w:tcW w:type="dxa" w:w="3360"/>
            <w:vAlign w:val="center"/>
          </w:tcPr>
          <w:p>
            <w:pPr>
              <w:spacing w:after="0"/>
            </w:pPr>
            <w:r/>
            <w:r>
              <w:rPr>
                <w:b w:val="0"/>
                <w:sz w:val="15"/>
              </w:rPr>
              <w:t>Must be current and source-verified</w:t>
            </w:r>
          </w:p>
        </w:tc>
      </w:tr>
      <w:tr>
        <w:tc>
          <w:tcPr>
            <w:tcW w:type="dxa" w:w="3360"/>
            <w:vAlign w:val="center"/>
            <w:shd w:fill="F2F6F8"/>
          </w:tcPr>
          <w:p>
            <w:pPr>
              <w:spacing w:after="0"/>
            </w:pPr>
            <w:r/>
            <w:r>
              <w:rPr>
                <w:b w:val="0"/>
                <w:sz w:val="15"/>
              </w:rPr>
              <w:t>RETENTION_POLICY_VERSION</w:t>
            </w:r>
          </w:p>
        </w:tc>
        <w:tc>
          <w:tcPr>
            <w:tcW w:type="dxa" w:w="3360"/>
            <w:vAlign w:val="center"/>
            <w:shd w:fill="F2F6F8"/>
          </w:tcPr>
          <w:p>
            <w:pPr>
              <w:spacing w:after="0"/>
            </w:pPr>
            <w:r/>
            <w:r>
              <w:rPr>
                <w:b w:val="0"/>
                <w:sz w:val="15"/>
              </w:rPr>
              <w:t>Data retention configuration</w:t>
            </w:r>
          </w:p>
        </w:tc>
        <w:tc>
          <w:tcPr>
            <w:tcW w:type="dxa" w:w="3360"/>
            <w:vAlign w:val="center"/>
            <w:shd w:fill="F2F6F8"/>
          </w:tcPr>
          <w:p>
            <w:pPr>
              <w:spacing w:after="0"/>
            </w:pPr>
            <w:r/>
            <w:r>
              <w:rPr>
                <w:b w:val="0"/>
                <w:sz w:val="15"/>
              </w:rPr>
              <w:t>Legal/privacy review required</w:t>
            </w:r>
          </w:p>
        </w:tc>
      </w:tr>
      <w:tr>
        <w:tc>
          <w:tcPr>
            <w:tcW w:type="dxa" w:w="3360"/>
            <w:vAlign w:val="center"/>
          </w:tcPr>
          <w:p>
            <w:pPr>
              <w:spacing w:after="0"/>
            </w:pPr>
            <w:r/>
            <w:r>
              <w:rPr>
                <w:b w:val="0"/>
                <w:sz w:val="15"/>
              </w:rPr>
              <w:t>LOG_LEVEL / REDACTION_POLICY</w:t>
            </w:r>
          </w:p>
        </w:tc>
        <w:tc>
          <w:tcPr>
            <w:tcW w:type="dxa" w:w="3360"/>
            <w:vAlign w:val="center"/>
          </w:tcPr>
          <w:p>
            <w:pPr>
              <w:spacing w:after="0"/>
            </w:pPr>
            <w:r/>
            <w:r>
              <w:rPr>
                <w:b w:val="0"/>
                <w:sz w:val="15"/>
              </w:rPr>
              <w:t>Observability settings</w:t>
            </w:r>
          </w:p>
        </w:tc>
        <w:tc>
          <w:tcPr>
            <w:tcW w:type="dxa" w:w="3360"/>
            <w:vAlign w:val="center"/>
          </w:tcPr>
          <w:p>
            <w:pPr>
              <w:spacing w:after="0"/>
            </w:pPr>
            <w:r/>
            <w:r>
              <w:rPr>
                <w:b w:val="0"/>
                <w:sz w:val="15"/>
              </w:rPr>
              <w:t>Never expose secrets or unnecessary PII</w:t>
            </w:r>
          </w:p>
        </w:tc>
      </w:tr>
    </w:tbl>
    <w:p/>
    <w:p>
      <w:pPr>
        <w:pStyle w:val="Heading1"/>
        <w:keepNext/>
      </w:pPr>
      <w:r>
        <w:t>Appendix B — Minimum Model Card</w:t>
      </w:r>
    </w:p>
    <w:p>
      <w:pPr>
        <w:pStyle w:val="ListBullet"/>
        <w:spacing w:after="40"/>
      </w:pPr>
      <w:r>
        <w:t>Model/indicator name, version, owner and approval status.</w:t>
      </w:r>
    </w:p>
    <w:p>
      <w:pPr>
        <w:pStyle w:val="ListBullet"/>
        <w:spacing w:after="40"/>
      </w:pPr>
      <w:r>
        <w:t>Intended use, prohibited use and target variable.</w:t>
      </w:r>
    </w:p>
    <w:p>
      <w:pPr>
        <w:pStyle w:val="ListBullet"/>
        <w:spacing w:after="40"/>
      </w:pPr>
      <w:r>
        <w:t>Spatial unit, temporal frequency and prediction horizon.</w:t>
      </w:r>
    </w:p>
    <w:p>
      <w:pPr>
        <w:pStyle w:val="ListBullet"/>
        <w:spacing w:after="40"/>
      </w:pPr>
      <w:r>
        <w:t>Input datasets, feature definitions, source periods, QA and missing-data treatment.</w:t>
      </w:r>
    </w:p>
    <w:p>
      <w:pPr>
        <w:pStyle w:val="ListBullet"/>
        <w:spacing w:after="40"/>
      </w:pPr>
      <w:r>
        <w:t>Training/validation/test split method and geography/season coverage.</w:t>
      </w:r>
    </w:p>
    <w:p>
      <w:pPr>
        <w:pStyle w:val="ListBullet"/>
        <w:spacing w:after="40"/>
      </w:pPr>
      <w:r>
        <w:t>Baseline models and performance metrics with uncertainty.</w:t>
      </w:r>
    </w:p>
    <w:p>
      <w:pPr>
        <w:pStyle w:val="ListBullet"/>
        <w:spacing w:after="40"/>
      </w:pPr>
      <w:r>
        <w:t>Calibration and threshold-selection method, if applicable.</w:t>
      </w:r>
    </w:p>
    <w:p>
      <w:pPr>
        <w:pStyle w:val="ListBullet"/>
        <w:spacing w:after="40"/>
      </w:pPr>
      <w:r>
        <w:t>Performance slices, failure modes, out-of-distribution behavior and known limitations.</w:t>
      </w:r>
    </w:p>
    <w:p>
      <w:pPr>
        <w:pStyle w:val="ListBullet"/>
        <w:spacing w:after="40"/>
      </w:pPr>
      <w:r>
        <w:t>Human review policy, monitoring plan, rollback trigger and next review date.</w:t>
      </w:r>
    </w:p>
    <w:p>
      <w:pPr>
        <w:pStyle w:val="Heading1"/>
        <w:keepNext/>
      </w:pPr>
      <w:r>
        <w:t>Appendix C — Glossary</w:t>
      </w:r>
    </w:p>
    <w:tbl>
      <w:tblPr>
        <w:tblStyle w:val="TableGrid"/>
        <w:tblW w:type="auto" w:w="0"/>
        <w:tblLook w:firstColumn="1" w:firstRow="1" w:lastColumn="0" w:lastRow="0" w:noHBand="0" w:noVBand="1" w:val="04A0"/>
      </w:tblPr>
      <w:tblGrid>
        <w:gridCol w:w="5040"/>
        <w:gridCol w:w="5040"/>
      </w:tblGrid>
      <w:tr>
        <w:tc>
          <w:tcPr>
            <w:tcW w:type="dxa" w:w="5040"/>
            <w:vAlign w:val="center"/>
            <w:shd w:fill="123B5D"/>
          </w:tcPr>
          <w:p>
            <w:pPr>
              <w:spacing w:after="0"/>
            </w:pPr>
            <w:r/>
            <w:r>
              <w:rPr>
                <w:b/>
                <w:color w:val="FFFFFF"/>
                <w:sz w:val="16"/>
              </w:rPr>
              <w:t>Term</w:t>
            </w:r>
          </w:p>
        </w:tc>
        <w:tc>
          <w:tcPr>
            <w:tcW w:type="dxa" w:w="5040"/>
            <w:vAlign w:val="center"/>
            <w:shd w:fill="123B5D"/>
          </w:tcPr>
          <w:p>
            <w:pPr>
              <w:spacing w:after="0"/>
            </w:pPr>
            <w:r/>
            <w:r>
              <w:rPr>
                <w:b/>
                <w:color w:val="FFFFFF"/>
                <w:sz w:val="16"/>
              </w:rPr>
              <w:t>Meaning</w:t>
            </w:r>
          </w:p>
        </w:tc>
      </w:tr>
      <w:tr>
        <w:tc>
          <w:tcPr>
            <w:tcW w:type="dxa" w:w="5040"/>
            <w:vAlign w:val="center"/>
          </w:tcPr>
          <w:p>
            <w:pPr>
              <w:spacing w:after="0"/>
            </w:pPr>
            <w:r/>
            <w:r>
              <w:rPr>
                <w:b w:val="0"/>
                <w:sz w:val="15"/>
              </w:rPr>
              <w:t>TWSA</w:t>
            </w:r>
          </w:p>
        </w:tc>
        <w:tc>
          <w:tcPr>
            <w:tcW w:type="dxa" w:w="5040"/>
            <w:vAlign w:val="center"/>
          </w:tcPr>
          <w:p>
            <w:pPr>
              <w:spacing w:after="0"/>
            </w:pPr>
            <w:r/>
            <w:r>
              <w:rPr>
                <w:b w:val="0"/>
                <w:sz w:val="15"/>
              </w:rPr>
              <w:t>Terrestrial Water Storage Anomaly; not synonymous with groundwater depth.</w:t>
            </w:r>
          </w:p>
        </w:tc>
      </w:tr>
      <w:tr>
        <w:tc>
          <w:tcPr>
            <w:tcW w:type="dxa" w:w="5040"/>
            <w:vAlign w:val="center"/>
            <w:shd w:fill="F2F6F8"/>
          </w:tcPr>
          <w:p>
            <w:pPr>
              <w:spacing w:after="0"/>
            </w:pPr>
            <w:r/>
            <w:r>
              <w:rPr>
                <w:b w:val="0"/>
                <w:sz w:val="15"/>
              </w:rPr>
              <w:t>CRS</w:t>
            </w:r>
          </w:p>
        </w:tc>
        <w:tc>
          <w:tcPr>
            <w:tcW w:type="dxa" w:w="5040"/>
            <w:vAlign w:val="center"/>
            <w:shd w:fill="F2F6F8"/>
          </w:tcPr>
          <w:p>
            <w:pPr>
              <w:spacing w:after="0"/>
            </w:pPr>
            <w:r/>
            <w:r>
              <w:rPr>
                <w:b w:val="0"/>
                <w:sz w:val="15"/>
              </w:rPr>
              <w:t>Coordinate Reference System.</w:t>
            </w:r>
          </w:p>
        </w:tc>
      </w:tr>
      <w:tr>
        <w:tc>
          <w:tcPr>
            <w:tcW w:type="dxa" w:w="5040"/>
            <w:vAlign w:val="center"/>
          </w:tcPr>
          <w:p>
            <w:pPr>
              <w:spacing w:after="0"/>
            </w:pPr>
            <w:r/>
            <w:r>
              <w:rPr>
                <w:b w:val="0"/>
                <w:sz w:val="15"/>
              </w:rPr>
              <w:t>QA</w:t>
            </w:r>
          </w:p>
        </w:tc>
        <w:tc>
          <w:tcPr>
            <w:tcW w:type="dxa" w:w="5040"/>
            <w:vAlign w:val="center"/>
          </w:tcPr>
          <w:p>
            <w:pPr>
              <w:spacing w:after="0"/>
            </w:pPr>
            <w:r/>
            <w:r>
              <w:rPr>
                <w:b w:val="0"/>
                <w:sz w:val="15"/>
              </w:rPr>
              <w:t>Quality assurance/quality flag supplied by a dataset or processing stage.</w:t>
            </w:r>
          </w:p>
        </w:tc>
      </w:tr>
      <w:tr>
        <w:tc>
          <w:tcPr>
            <w:tcW w:type="dxa" w:w="5040"/>
            <w:vAlign w:val="center"/>
            <w:shd w:fill="F2F6F8"/>
          </w:tcPr>
          <w:p>
            <w:pPr>
              <w:spacing w:after="0"/>
            </w:pPr>
            <w:r/>
            <w:r>
              <w:rPr>
                <w:b w:val="0"/>
                <w:sz w:val="15"/>
              </w:rPr>
              <w:t>Lineage</w:t>
            </w:r>
          </w:p>
        </w:tc>
        <w:tc>
          <w:tcPr>
            <w:tcW w:type="dxa" w:w="5040"/>
            <w:vAlign w:val="center"/>
            <w:shd w:fill="F2F6F8"/>
          </w:tcPr>
          <w:p>
            <w:pPr>
              <w:spacing w:after="0"/>
            </w:pPr>
            <w:r/>
            <w:r>
              <w:rPr>
                <w:b w:val="0"/>
                <w:sz w:val="15"/>
              </w:rPr>
              <w:t>Traceable record of source data and transformations.</w:t>
            </w:r>
          </w:p>
        </w:tc>
      </w:tr>
      <w:tr>
        <w:tc>
          <w:tcPr>
            <w:tcW w:type="dxa" w:w="5040"/>
            <w:vAlign w:val="center"/>
          </w:tcPr>
          <w:p>
            <w:pPr>
              <w:spacing w:after="0"/>
            </w:pPr>
            <w:r/>
            <w:r>
              <w:rPr>
                <w:b w:val="0"/>
                <w:sz w:val="15"/>
              </w:rPr>
              <w:t>Idempotency</w:t>
            </w:r>
          </w:p>
        </w:tc>
        <w:tc>
          <w:tcPr>
            <w:tcW w:type="dxa" w:w="5040"/>
            <w:vAlign w:val="center"/>
          </w:tcPr>
          <w:p>
            <w:pPr>
              <w:spacing w:after="0"/>
            </w:pPr>
            <w:r/>
            <w:r>
              <w:rPr>
                <w:b w:val="0"/>
                <w:sz w:val="15"/>
              </w:rPr>
              <w:t>Repeating a job or request does not create unintended duplicate effects.</w:t>
            </w:r>
          </w:p>
        </w:tc>
      </w:tr>
      <w:tr>
        <w:tc>
          <w:tcPr>
            <w:tcW w:type="dxa" w:w="5040"/>
            <w:vAlign w:val="center"/>
            <w:shd w:fill="F2F6F8"/>
          </w:tcPr>
          <w:p>
            <w:pPr>
              <w:spacing w:after="0"/>
            </w:pPr>
            <w:r/>
            <w:r>
              <w:rPr>
                <w:b w:val="0"/>
                <w:sz w:val="15"/>
              </w:rPr>
              <w:t>Shadow mode</w:t>
            </w:r>
          </w:p>
        </w:tc>
        <w:tc>
          <w:tcPr>
            <w:tcW w:type="dxa" w:w="5040"/>
            <w:vAlign w:val="center"/>
            <w:shd w:fill="F2F6F8"/>
          </w:tcPr>
          <w:p>
            <w:pPr>
              <w:spacing w:after="0"/>
            </w:pPr>
            <w:r/>
            <w:r>
              <w:rPr>
                <w:b w:val="0"/>
                <w:sz w:val="15"/>
              </w:rPr>
              <w:t>Generate candidate outputs for evaluation without operational dispatch.</w:t>
            </w:r>
          </w:p>
        </w:tc>
      </w:tr>
      <w:tr>
        <w:tc>
          <w:tcPr>
            <w:tcW w:type="dxa" w:w="5040"/>
            <w:vAlign w:val="center"/>
          </w:tcPr>
          <w:p>
            <w:pPr>
              <w:spacing w:after="0"/>
            </w:pPr>
            <w:r/>
            <w:r>
              <w:rPr>
                <w:b w:val="0"/>
                <w:sz w:val="15"/>
              </w:rPr>
              <w:t>RPO</w:t>
            </w:r>
          </w:p>
        </w:tc>
        <w:tc>
          <w:tcPr>
            <w:tcW w:type="dxa" w:w="5040"/>
            <w:vAlign w:val="center"/>
          </w:tcPr>
          <w:p>
            <w:pPr>
              <w:spacing w:after="0"/>
            </w:pPr>
            <w:r/>
            <w:r>
              <w:rPr>
                <w:b w:val="0"/>
                <w:sz w:val="15"/>
              </w:rPr>
              <w:t>Recovery Point Objective: acceptable data loss measured in time.</w:t>
            </w:r>
          </w:p>
        </w:tc>
      </w:tr>
      <w:tr>
        <w:tc>
          <w:tcPr>
            <w:tcW w:type="dxa" w:w="5040"/>
            <w:vAlign w:val="center"/>
            <w:shd w:fill="F2F6F8"/>
          </w:tcPr>
          <w:p>
            <w:pPr>
              <w:spacing w:after="0"/>
            </w:pPr>
            <w:r/>
            <w:r>
              <w:rPr>
                <w:b w:val="0"/>
                <w:sz w:val="15"/>
              </w:rPr>
              <w:t>RTO</w:t>
            </w:r>
          </w:p>
        </w:tc>
        <w:tc>
          <w:tcPr>
            <w:tcW w:type="dxa" w:w="5040"/>
            <w:vAlign w:val="center"/>
            <w:shd w:fill="F2F6F8"/>
          </w:tcPr>
          <w:p>
            <w:pPr>
              <w:spacing w:after="0"/>
            </w:pPr>
            <w:r/>
            <w:r>
              <w:rPr>
                <w:b w:val="0"/>
                <w:sz w:val="15"/>
              </w:rPr>
              <w:t>Recovery Time Objective: target time to restore service.</w:t>
            </w:r>
          </w:p>
        </w:tc>
      </w:tr>
      <w:tr>
        <w:tc>
          <w:tcPr>
            <w:tcW w:type="dxa" w:w="5040"/>
            <w:vAlign w:val="center"/>
          </w:tcPr>
          <w:p>
            <w:pPr>
              <w:spacing w:after="0"/>
            </w:pPr>
            <w:r/>
            <w:r>
              <w:rPr>
                <w:b w:val="0"/>
                <w:sz w:val="15"/>
              </w:rPr>
              <w:t>Out-of-distribution</w:t>
            </w:r>
          </w:p>
        </w:tc>
        <w:tc>
          <w:tcPr>
            <w:tcW w:type="dxa" w:w="5040"/>
            <w:vAlign w:val="center"/>
          </w:tcPr>
          <w:p>
            <w:pPr>
              <w:spacing w:after="0"/>
            </w:pPr>
            <w:r/>
            <w:r>
              <w:rPr>
                <w:b w:val="0"/>
                <w:sz w:val="15"/>
              </w:rPr>
              <w:t>Input data materially outside the conditions represented by model validation.</w:t>
            </w:r>
          </w:p>
        </w:tc>
      </w:tr>
      <w:tr>
        <w:tc>
          <w:tcPr>
            <w:tcW w:type="dxa" w:w="5040"/>
            <w:vAlign w:val="center"/>
            <w:shd w:fill="F2F6F8"/>
          </w:tcPr>
          <w:p>
            <w:pPr>
              <w:spacing w:after="0"/>
            </w:pPr>
            <w:r/>
            <w:r>
              <w:rPr>
                <w:b w:val="0"/>
                <w:sz w:val="15"/>
              </w:rPr>
              <w:t>RBAC</w:t>
            </w:r>
          </w:p>
        </w:tc>
        <w:tc>
          <w:tcPr>
            <w:tcW w:type="dxa" w:w="5040"/>
            <w:vAlign w:val="center"/>
            <w:shd w:fill="F2F6F8"/>
          </w:tcPr>
          <w:p>
            <w:pPr>
              <w:spacing w:after="0"/>
            </w:pPr>
            <w:r/>
            <w:r>
              <w:rPr>
                <w:b w:val="0"/>
                <w:sz w:val="15"/>
              </w:rPr>
              <w:t>Role-Based Access Control.</w:t>
            </w:r>
          </w:p>
        </w:tc>
      </w:tr>
    </w:tbl>
    <w:p/>
    <w:sectPr w:rsidR="00FC693F" w:rsidRPr="0006063C" w:rsidSect="00034616">
      <w:headerReference w:type="default" r:id="rId9"/>
      <w:footerReference w:type="default" r:id="rId10"/>
      <w:pgSz w:w="12240" w:h="15840"/>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Technical working draft • Version 1.0 • 9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JALDRISHTI  |  TECHNICAL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B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6B8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B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JalDrishti — Exhaustive Technical Requirements Document</dc:title>
  <dc:subject>Technical architecture and engineering requirements for groundwater early-warning platform</dc:subject>
  <dc:creator>OpenAI</dc:creator>
  <cp:keywords>JalDrishti, TRD, groundwater, geospatial, remote sensing, ML, PostGIS</cp:keywords>
  <dc:description>generated by python-docx</dc:description>
  <cp:lastModifiedBy/>
  <cp:revision>1</cp:revision>
  <dcterms:created xsi:type="dcterms:W3CDTF">2013-12-23T23:15:00Z</dcterms:created>
  <dcterms:modified xsi:type="dcterms:W3CDTF">2013-12-23T23:15:00Z</dcterms:modified>
  <cp:category/>
</cp:coreProperties>
</file>