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D9457B" w:rsidP="0023500F">
      <w:pPr>
        <w:rPr>
          <w:lang w:val="en-GB"/>
        </w:rPr>
      </w:pPr>
      <w:r>
        <w:rPr>
          <w:noProof/>
        </w:rPr>
        <w:pict w14:anchorId="5A7D3BED">
          <v:group id="Group 19" o:spid="_x0000_s2050"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40C4366D"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w:t>
      </w:r>
      <w:r w:rsidR="00F479C5">
        <w:rPr>
          <w:iCs/>
        </w:rPr>
        <w:t>11</w:t>
      </w:r>
      <w:r w:rsidR="00B6128B">
        <w:rPr>
          <w:iCs/>
        </w:rPr>
        <w:t>]</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7FE90604" w14:textId="28F4195C" w:rsidR="00F21FEB" w:rsidRDefault="007E3541" w:rsidP="00CF2F15">
      <w:pPr>
        <w:pStyle w:val="Body"/>
        <w:rPr>
          <w:iCs/>
        </w:rPr>
      </w:pPr>
      <w:r>
        <w:rPr>
          <w:iCs/>
        </w:rPr>
        <w:t>Our COVID</w:t>
      </w:r>
      <w:r w:rsidR="006C7588">
        <w:rPr>
          <w:iCs/>
        </w:rPr>
        <w:t>-</w:t>
      </w:r>
      <w:r>
        <w:rPr>
          <w:iCs/>
        </w:rPr>
        <w:t>19 case data</w:t>
      </w:r>
      <w:r w:rsidR="0048763D">
        <w:rPr>
          <w:iCs/>
        </w:rPr>
        <w:t xml:space="preserve"> [2]</w:t>
      </w:r>
      <w:r>
        <w:rPr>
          <w:iCs/>
        </w:rPr>
        <w:t xml:space="preserve"> is at the local authority level (LTLA)</w:t>
      </w:r>
      <w:r w:rsidR="006C7588">
        <w:rPr>
          <w:iCs/>
        </w:rPr>
        <w:t xml:space="preserve"> from the </w:t>
      </w:r>
      <w:r w:rsidR="00A37484">
        <w:rPr>
          <w:iCs/>
        </w:rPr>
        <w:t xml:space="preserve">results of PCR tests and positive lateral flow tests (which are reported, from </w:t>
      </w:r>
      <w:r w:rsidR="00F21FEB">
        <w:rPr>
          <w:iCs/>
        </w:rPr>
        <w:t>21/10/20</w:t>
      </w:r>
      <w:r w:rsidR="00A37484">
        <w:rPr>
          <w:iCs/>
        </w:rPr>
        <w:t>)</w:t>
      </w:r>
      <w:r>
        <w:rPr>
          <w:iCs/>
        </w:rPr>
        <w:t xml:space="preserve">. </w:t>
      </w:r>
      <w:r w:rsidR="00F21FEB">
        <w:rPr>
          <w:iCs/>
        </w:rPr>
        <w:t xml:space="preserve">This data is collected from the various </w:t>
      </w:r>
      <w:r w:rsidR="0048763D">
        <w:rPr>
          <w:iCs/>
        </w:rPr>
        <w:t>local authorities and then checked and published by Public Health England. The data itself is 8 columns by 244,442 rows from 13/3/20 to 28/12/21</w:t>
      </w:r>
      <w:r w:rsidR="009C5474">
        <w:rPr>
          <w:iCs/>
        </w:rPr>
        <w:t>, with at least one row per day.</w:t>
      </w:r>
      <w:r w:rsidR="00185A50">
        <w:rPr>
          <w:iCs/>
        </w:rPr>
        <w:t xml:space="preserve"> There is an issue with the data for 1/7/20, which appears to be a correction for earlier data points. </w:t>
      </w:r>
      <w:r w:rsidR="00511296">
        <w:rPr>
          <w:iCs/>
        </w:rPr>
        <w:t>Generally,</w:t>
      </w:r>
      <w:r w:rsidR="00185A50">
        <w:rPr>
          <w:iCs/>
        </w:rPr>
        <w:t xml:space="preserve"> the aggregated local authority data matches the UK wide data, but does not face the same level of scrutiny as the UK wide data (being presented by the Prime Minister).</w:t>
      </w:r>
    </w:p>
    <w:p w14:paraId="575BF28B" w14:textId="0C4E3161" w:rsidR="00C46B6F" w:rsidRDefault="007E3541" w:rsidP="00CF2F15">
      <w:pPr>
        <w:pStyle w:val="Body"/>
        <w:rPr>
          <w:iCs/>
        </w:rPr>
      </w:pPr>
      <w:r>
        <w:rPr>
          <w:iCs/>
        </w:rPr>
        <w:t>The data we have from the census</w:t>
      </w:r>
      <w:r w:rsidR="00511296">
        <w:rPr>
          <w:iCs/>
        </w:rPr>
        <w:t xml:space="preserve"> [1]</w:t>
      </w:r>
      <w:r>
        <w:rPr>
          <w:iCs/>
        </w:rPr>
        <w:t xml:space="preserve">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r w:rsidR="00F21FEB">
        <w:rPr>
          <w:iCs/>
        </w:rPr>
        <w:t xml:space="preserve"> </w:t>
      </w:r>
      <w:r w:rsidR="00511296">
        <w:rPr>
          <w:iCs/>
        </w:rPr>
        <w:t xml:space="preserve">The census data was collected through questionnaires presented to every household in the UK. </w:t>
      </w:r>
      <w:r w:rsidR="00291E4B">
        <w:rPr>
          <w:iCs/>
        </w:rPr>
        <w:t>These were then aggregated by the Office of National Statistics.</w:t>
      </w:r>
      <w:r w:rsidR="00897319">
        <w:rPr>
          <w:iCs/>
        </w:rPr>
        <w:t xml:space="preserve"> This dataset has 95 columns and 343 rows.</w:t>
      </w:r>
    </w:p>
    <w:p w14:paraId="6A04D730" w14:textId="368CBA37" w:rsidR="00511296" w:rsidRDefault="00511296" w:rsidP="00CF2F15">
      <w:pPr>
        <w:pStyle w:val="Body"/>
        <w:rPr>
          <w:iCs/>
        </w:rPr>
      </w:pPr>
      <w:r>
        <w:rPr>
          <w:iCs/>
        </w:rPr>
        <w:t xml:space="preserve">Finally, we have the local authority boundary data for 2020 from </w:t>
      </w:r>
      <w:r w:rsidR="00F479C5">
        <w:rPr>
          <w:iCs/>
        </w:rPr>
        <w:t>[11], which is from the ONS</w:t>
      </w:r>
      <w:r w:rsidR="00897319">
        <w:rPr>
          <w:iCs/>
        </w:rPr>
        <w:t>. This dataset has the various local authorities and their geographic properties.</w:t>
      </w:r>
    </w:p>
    <w:p w14:paraId="4FD0A39A" w14:textId="69B901F6" w:rsidR="00244BFF" w:rsidRDefault="00244BFF" w:rsidP="00CF2F15">
      <w:pPr>
        <w:pStyle w:val="Body"/>
        <w:rPr>
          <w:iCs/>
        </w:rPr>
      </w:pPr>
      <w:r>
        <w:rPr>
          <w:iCs/>
        </w:rPr>
        <w:lastRenderedPageBreak/>
        <w:t>The three datasets are joined together by their geography code.</w:t>
      </w:r>
      <w:r w:rsidR="002C6A72">
        <w:rPr>
          <w:iCs/>
        </w:rPr>
        <w:t xml:space="preserve"> By plotting the cases</w:t>
      </w:r>
      <w:r w:rsidR="007D4D52">
        <w:rPr>
          <w:iCs/>
        </w:rPr>
        <w:t xml:space="preserve"> over time</w:t>
      </w:r>
      <w:r w:rsidR="0033298D">
        <w:rPr>
          <w:iCs/>
        </w:rPr>
        <w:t xml:space="preserve"> using Tableau [12]</w:t>
      </w:r>
      <w:r w:rsidR="007D4D52">
        <w:rPr>
          <w:iCs/>
        </w:rPr>
        <w:t>,</w:t>
      </w:r>
      <w:r w:rsidR="002C6A72">
        <w:rPr>
          <w:iCs/>
        </w:rPr>
        <w:t xml:space="preserve"> we could see any obvious anomalies in the case data</w:t>
      </w:r>
      <w:r w:rsidR="007D4D52">
        <w:rPr>
          <w:iCs/>
        </w:rPr>
        <w:t>, such as the giant peak on 1/7/20 which isn’t replicated in the UK wide data (plotted underneath the data</w:t>
      </w:r>
      <w:r w:rsidR="00A81E7D">
        <w:rPr>
          <w:iCs/>
        </w:rPr>
        <w:t>, in figure 1</w:t>
      </w:r>
      <w:r w:rsidR="007D4D52">
        <w:rPr>
          <w:iCs/>
        </w:rPr>
        <w:t>)</w:t>
      </w:r>
      <w:r w:rsidR="002C6A72">
        <w:rPr>
          <w:iCs/>
        </w:rPr>
        <w:t>.</w:t>
      </w:r>
    </w:p>
    <w:p w14:paraId="6C8DCFDF" w14:textId="77777777" w:rsidR="00A81E7D" w:rsidRDefault="00A81E7D" w:rsidP="00A81E7D">
      <w:pPr>
        <w:pStyle w:val="Body"/>
        <w:keepNext/>
      </w:pPr>
      <w:r>
        <w:rPr>
          <w:iCs/>
          <w:noProof/>
        </w:rPr>
        <w:drawing>
          <wp:inline distT="0" distB="0" distL="0" distR="0" wp14:anchorId="1C5CF6D1" wp14:editId="7A3BD4DC">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4003" cy="1640623"/>
                    </a:xfrm>
                    <a:prstGeom prst="rect">
                      <a:avLst/>
                    </a:prstGeom>
                  </pic:spPr>
                </pic:pic>
              </a:graphicData>
            </a:graphic>
          </wp:inline>
        </w:drawing>
      </w:r>
    </w:p>
    <w:p w14:paraId="5435CDA6" w14:textId="42214BDC" w:rsidR="00A81E7D" w:rsidRDefault="00A81E7D" w:rsidP="00A81E7D">
      <w:pPr>
        <w:pStyle w:val="Caption"/>
        <w:jc w:val="both"/>
      </w:pPr>
      <w:r>
        <w:t xml:space="preserve">Fig. </w:t>
      </w:r>
      <w:r w:rsidR="00D9457B">
        <w:fldChar w:fldCharType="begin"/>
      </w:r>
      <w:r w:rsidR="00D9457B">
        <w:instrText xml:space="preserve"> SEQ Figure \* ARABIC </w:instrText>
      </w:r>
      <w:r w:rsidR="00D9457B">
        <w:fldChar w:fldCharType="separate"/>
      </w:r>
      <w:r w:rsidR="00BA6193">
        <w:rPr>
          <w:noProof/>
        </w:rPr>
        <w:t>1</w:t>
      </w:r>
      <w:r w:rsidR="00D9457B">
        <w:rPr>
          <w:noProof/>
        </w:rPr>
        <w:fldChar w:fldCharType="end"/>
      </w:r>
      <w:r>
        <w:t>-District versus UK wide cases</w:t>
      </w:r>
    </w:p>
    <w:p w14:paraId="6D061ACE" w14:textId="1052AE71" w:rsidR="00F06A10" w:rsidRDefault="00F06A10" w:rsidP="00F06A10">
      <w:r>
        <w:t>On a similar plot</w:t>
      </w:r>
      <w:r w:rsidR="00BA6193">
        <w:t xml:space="preserve"> (fig 2)</w:t>
      </w:r>
      <w:r>
        <w:t xml:space="preserve"> we can see that some individual districts have anomalous spikes in cases (either due to not releasing figures over the weekend or reporting delays).</w:t>
      </w:r>
    </w:p>
    <w:p w14:paraId="13F18E9C" w14:textId="77777777" w:rsidR="00BA6193" w:rsidRDefault="00BA6193" w:rsidP="00BA6193">
      <w:pPr>
        <w:keepNext/>
      </w:pPr>
      <w:r>
        <w:rPr>
          <w:noProof/>
        </w:rPr>
        <w:drawing>
          <wp:inline distT="0" distB="0" distL="0" distR="0" wp14:anchorId="74CCB547" wp14:editId="7B469BE3">
            <wp:extent cx="3177540" cy="191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177540" cy="1917065"/>
                    </a:xfrm>
                    <a:prstGeom prst="rect">
                      <a:avLst/>
                    </a:prstGeom>
                  </pic:spPr>
                </pic:pic>
              </a:graphicData>
            </a:graphic>
          </wp:inline>
        </w:drawing>
      </w:r>
    </w:p>
    <w:p w14:paraId="7CFB4B4F" w14:textId="0E3AB1CA" w:rsidR="00BA6193" w:rsidRDefault="00BA6193" w:rsidP="00BA6193">
      <w:pPr>
        <w:pStyle w:val="Caption"/>
      </w:pPr>
      <w:r>
        <w:t xml:space="preserve">Fig. </w:t>
      </w:r>
      <w:r w:rsidR="00D9457B">
        <w:fldChar w:fldCharType="begin"/>
      </w:r>
      <w:r w:rsidR="00D9457B">
        <w:instrText xml:space="preserve"> SEQ Figure \* ARABIC </w:instrText>
      </w:r>
      <w:r w:rsidR="00D9457B">
        <w:fldChar w:fldCharType="separate"/>
      </w:r>
      <w:r>
        <w:rPr>
          <w:noProof/>
        </w:rPr>
        <w:t>2</w:t>
      </w:r>
      <w:r w:rsidR="00D9457B">
        <w:rPr>
          <w:noProof/>
        </w:rPr>
        <w:fldChar w:fldCharType="end"/>
      </w:r>
      <w:r>
        <w:t>- District cases</w:t>
      </w:r>
    </w:p>
    <w:p w14:paraId="7DD879F4" w14:textId="4FBCA3CE" w:rsidR="00075299" w:rsidRDefault="00075299" w:rsidP="00F06A10">
      <w:r>
        <w:t>By looking at the data in Excel we can see many days with zero cases for regions (27k in total) and other cells with null values.</w:t>
      </w:r>
    </w:p>
    <w:p w14:paraId="12E507BB" w14:textId="58FE0B87" w:rsidR="009A3D55" w:rsidRPr="00F06A10" w:rsidRDefault="009A3D55" w:rsidP="00F06A10">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0AD52FDB" w14:textId="77777777" w:rsidR="00073854" w:rsidRDefault="00DB7D28" w:rsidP="00CF2F15">
      <w:pPr>
        <w:pStyle w:val="Body"/>
        <w:rPr>
          <w:iCs/>
          <w:lang w:eastAsia="en-GB"/>
        </w:rPr>
      </w:pPr>
      <w:r>
        <w:rPr>
          <w:iCs/>
          <w:lang w:eastAsia="en-GB"/>
        </w:rPr>
        <w:t>To solve the problem of predicting COVID-19 cases at the district level we will start with getting the data and joining it together.</w:t>
      </w:r>
    </w:p>
    <w:p w14:paraId="25F2BC5E" w14:textId="1A8D2CC0" w:rsidR="00D435D4" w:rsidRDefault="00DB7D28" w:rsidP="00CF2F15">
      <w:pPr>
        <w:pStyle w:val="Body"/>
        <w:rPr>
          <w:iCs/>
          <w:lang w:eastAsia="en-GB"/>
        </w:rPr>
      </w:pPr>
      <w:r>
        <w:rPr>
          <w:iCs/>
          <w:lang w:eastAsia="en-GB"/>
        </w:rPr>
        <w:t>As the districts have changed between the dates of the COVID-19 data and the Census data human reasoning is required to match up the merged and split counties</w:t>
      </w:r>
      <w:r w:rsidR="00073854">
        <w:rPr>
          <w:iCs/>
          <w:lang w:eastAsia="en-GB"/>
        </w:rPr>
        <w:t xml:space="preserve"> between the datasets. The human needs to be presented with both lists of countries and where the computer cannot make a one-to-one join between the two datasets (using Excel’s vlookup function), the human needs to reason about what to do to make a join.</w:t>
      </w:r>
    </w:p>
    <w:p w14:paraId="34FA7873" w14:textId="0A3B6B90" w:rsidR="000B5111" w:rsidRDefault="009A2F20" w:rsidP="00CF2F15">
      <w:pPr>
        <w:pStyle w:val="Body"/>
        <w:rPr>
          <w:iCs/>
          <w:lang w:eastAsia="en-GB"/>
        </w:rPr>
      </w:pPr>
      <w:r>
        <w:rPr>
          <w:iCs/>
          <w:lang w:eastAsia="en-GB"/>
        </w:rPr>
        <w:t xml:space="preserve">The next step is to create a calculated variable of the relative total number of cases. This is done by taking the total population (number of people 0-59 plus 60+) and dividing the sum of a region’s cases by that. This is then used as the y </w:t>
      </w:r>
      <w:r>
        <w:rPr>
          <w:iCs/>
          <w:lang w:eastAsia="en-GB"/>
        </w:rPr>
        <w:t>value in an array of Seaborn regression plots with the various census columns used as the x values. The human analyst then needs to reason about which census columns to use further in the analysis based upon these.</w:t>
      </w:r>
    </w:p>
    <w:p w14:paraId="40D8ECD9" w14:textId="77777777" w:rsidR="00CF2F15" w:rsidRDefault="00CF2F15" w:rsidP="00CF2F15">
      <w:pPr>
        <w:pStyle w:val="Picture"/>
      </w:pPr>
      <w:r w:rsidRPr="00CF2F15">
        <w:rPr>
          <w:noProof/>
        </w:rPr>
        <w:drawing>
          <wp:inline distT="0" distB="0" distL="0" distR="0" wp14:anchorId="5D31127D" wp14:editId="3E9F2BEA">
            <wp:extent cx="3177540" cy="17792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_process.png"/>
                    <pic:cNvPicPr/>
                  </pic:nvPicPr>
                  <pic:blipFill>
                    <a:blip r:embed="rId10">
                      <a:extLst>
                        <a:ext uri="{28A0092B-C50C-407E-A947-70E740481C1C}">
                          <a14:useLocalDpi xmlns:a14="http://schemas.microsoft.com/office/drawing/2010/main" val="0"/>
                        </a:ext>
                      </a:extLst>
                    </a:blip>
                    <a:stretch>
                      <a:fillRect/>
                    </a:stretch>
                  </pic:blipFill>
                  <pic:spPr>
                    <a:xfrm>
                      <a:off x="0" y="0"/>
                      <a:ext cx="3177540" cy="1779270"/>
                    </a:xfrm>
                    <a:prstGeom prst="rect">
                      <a:avLst/>
                    </a:prstGeom>
                  </pic:spPr>
                </pic:pic>
              </a:graphicData>
            </a:graphic>
          </wp:inline>
        </w:drawing>
      </w:r>
    </w:p>
    <w:p w14:paraId="4F4FBB80" w14:textId="17624194" w:rsidR="00CF2F15" w:rsidRPr="00CF2F15" w:rsidRDefault="00CF2F15" w:rsidP="00CF2F15">
      <w:pPr>
        <w:pStyle w:val="FigureCaption"/>
      </w:pPr>
      <w:r>
        <w:t>Fig. 1. An example of including a diagram in the document.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6014B460" w14:textId="77777777" w:rsidR="000352B6" w:rsidRPr="000D72ED" w:rsidRDefault="000352B6" w:rsidP="000352B6">
      <w:pPr>
        <w:pStyle w:val="BodyNoIndent"/>
      </w:pPr>
      <w:r>
        <w:t>First paragraph..</w:t>
      </w:r>
      <w:r w:rsidRPr="000D72ED">
        <w:t>.</w:t>
      </w:r>
    </w:p>
    <w:p w14:paraId="1558B1F3" w14:textId="77777777" w:rsidR="000352B6" w:rsidRPr="000D72ED" w:rsidRDefault="000352B6" w:rsidP="000352B6">
      <w:pPr>
        <w:pStyle w:val="Body"/>
      </w:pPr>
      <w:r>
        <w:t>Following paragraphs..</w:t>
      </w:r>
      <w:r w:rsidRPr="000D72ED">
        <w:t>.</w:t>
      </w:r>
    </w:p>
    <w:p w14:paraId="06AF8069" w14:textId="347E66C8" w:rsidR="000352B6" w:rsidRDefault="000352B6" w:rsidP="000352B6">
      <w:pPr>
        <w:pStyle w:val="Body"/>
        <w:rPr>
          <w:iCs/>
          <w:lang w:eastAsia="en-GB"/>
        </w:rPr>
      </w:pPr>
      <w:r w:rsidRPr="00AB7DD1">
        <w:rPr>
          <w:i/>
          <w:iCs/>
          <w:lang w:eastAsia="en-GB"/>
        </w:rPr>
        <w:t>&lt;</w:t>
      </w:r>
      <w:r>
        <w:rPr>
          <w:i/>
          <w:iCs/>
          <w:lang w:eastAsia="en-GB"/>
        </w:rPr>
        <w:t>15</w:t>
      </w:r>
      <w:r w:rsidRPr="00AB7DD1">
        <w:rPr>
          <w:i/>
          <w:iCs/>
          <w:lang w:eastAsia="en-GB"/>
        </w:rPr>
        <w:t>00 words</w:t>
      </w:r>
      <w:r w:rsidR="00723A67">
        <w:rPr>
          <w:i/>
          <w:iCs/>
          <w:lang w:eastAsia="en-GB"/>
        </w:rPr>
        <w:t xml:space="preserve">, &lt;=7 </w:t>
      </w:r>
      <w:r>
        <w:rPr>
          <w:i/>
          <w:iCs/>
          <w:lang w:eastAsia="en-GB"/>
        </w:rPr>
        <w:t>images</w:t>
      </w:r>
    </w:p>
    <w:p w14:paraId="01085267" w14:textId="44BE3E26" w:rsidR="0023500F" w:rsidRDefault="000352B6" w:rsidP="000352B6">
      <w:pPr>
        <w:pStyle w:val="Picture"/>
      </w:pPr>
      <w:r>
        <w:rPr>
          <w:noProof/>
        </w:rPr>
        <w:drawing>
          <wp:inline distT="0" distB="0" distL="0" distR="0" wp14:anchorId="51630E59" wp14:editId="49CA152B">
            <wp:extent cx="3177540" cy="35667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C-error2.png"/>
                    <pic:cNvPicPr/>
                  </pic:nvPicPr>
                  <pic:blipFill>
                    <a:blip r:embed="rId11">
                      <a:extLst>
                        <a:ext uri="{28A0092B-C50C-407E-A947-70E740481C1C}">
                          <a14:useLocalDpi xmlns:a14="http://schemas.microsoft.com/office/drawing/2010/main" val="0"/>
                        </a:ext>
                      </a:extLst>
                    </a:blip>
                    <a:stretch>
                      <a:fillRect/>
                    </a:stretch>
                  </pic:blipFill>
                  <pic:spPr>
                    <a:xfrm>
                      <a:off x="0" y="0"/>
                      <a:ext cx="3177540" cy="3566795"/>
                    </a:xfrm>
                    <a:prstGeom prst="rect">
                      <a:avLst/>
                    </a:prstGeom>
                  </pic:spPr>
                </pic:pic>
              </a:graphicData>
            </a:graphic>
          </wp:inline>
        </w:drawing>
      </w:r>
    </w:p>
    <w:p w14:paraId="1924178F" w14:textId="77A0F417" w:rsidR="0023500F" w:rsidRDefault="000352B6" w:rsidP="0023500F">
      <w:pPr>
        <w:pStyle w:val="FigureCaption"/>
      </w:pPr>
      <w:r>
        <w:t>Fig. 2</w:t>
      </w:r>
      <w:r w:rsidR="0023500F">
        <w:t xml:space="preserve">. </w:t>
      </w:r>
      <w:r>
        <w:t>An example of including a screenshot in the document</w:t>
      </w:r>
      <w:r w:rsidR="00C3647A">
        <w:t>.</w:t>
      </w:r>
    </w:p>
    <w:p w14:paraId="0D8B16F2" w14:textId="02A816BF"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lastRenderedPageBreak/>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2C263051" w:rsidR="00141153" w:rsidRDefault="00141153" w:rsidP="00141153">
            <w:pPr>
              <w:jc w:val="right"/>
              <w:rPr>
                <w:lang w:eastAsia="en-GB"/>
              </w:rPr>
            </w:pPr>
            <w:r>
              <w:rPr>
                <w:lang w:eastAsia="en-GB"/>
              </w:rPr>
              <w:t>500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2D5B5065" w:rsidR="00141153" w:rsidRDefault="00141153" w:rsidP="00141153">
            <w:pPr>
              <w:jc w:val="right"/>
              <w:rPr>
                <w:lang w:eastAsia="en-GB"/>
              </w:rPr>
            </w:pPr>
            <w:r>
              <w:rPr>
                <w:lang w:eastAsia="en-GB"/>
              </w:rPr>
              <w:t>500</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69C4C4B3"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2" w:history="1">
        <w:r w:rsidRPr="00042AAC">
          <w:rPr>
            <w:rStyle w:val="Hyperlink"/>
            <w:lang w:val="en-GB"/>
          </w:rPr>
          <w:t>https://coronavirus.data.gov.uk/details/cases?areaType=overview&amp;areaName=United%20Kingdom</w:t>
        </w:r>
      </w:hyperlink>
      <w:r w:rsidRPr="00A22293">
        <w:rPr>
          <w:lang w:val="en-GB"/>
        </w:rPr>
        <w:t>.</w:t>
      </w:r>
    </w:p>
    <w:p w14:paraId="40096217" w14:textId="01DD0F0C"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13"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14"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15"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16"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17"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r w:rsidRPr="009D341C">
        <w:rPr>
          <w:lang w:val="en-GB"/>
        </w:rPr>
        <w:t xml:space="preserve">Klepac, Petra, Adam J. Kucharski, Andrew JK Conlan, Stephen Kissler, Maria L. Tang, Hannah Fry, and Julia R. Gog. ‘Contacts in Context: Large-Scale Setting-Specific Social Mixing Matrices from the BBC Pandemic Project’, 5 March 2020. </w:t>
      </w:r>
      <w:hyperlink r:id="rId18"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Vahé Nafilyan. ‘Updating Ethnic Contrasts in Deaths Involving the Coronavirus (COVID-19), England: 24 January 2020 to 31 March 2021’. Updating ethnic contrasts in deaths involving the coronavirus (COVID-19), England - Office of National Statistics, 2021. </w:t>
      </w:r>
      <w:hyperlink r:id="rId19"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r w:rsidRPr="009C1BDF">
        <w:rPr>
          <w:lang w:val="en-GB"/>
        </w:rPr>
        <w:t xml:space="preserve">Lucic, Michael C., Hakim Ghazzai, Carlo Lipizzi, and Yehia Massoud. ‘Integrating County-Level Socioeconomic Data for COVID-19 Forecasting in the United States’. IEEE Open Journal of Engineering in Medicine and Biology 2 (2021): 235–48. </w:t>
      </w:r>
      <w:hyperlink r:id="rId20"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r w:rsidRPr="00B25A3B">
        <w:rPr>
          <w:lang w:val="en-GB"/>
        </w:rPr>
        <w:t xml:space="preserve">Danon, Leon, Ellen Brooks-Pollock, Mick Bailey, and Matt Keeling. ‘A Spatial Model of CoVID-19 Transmission in England and Wales: Early Spread and Peak Timing’, 14 February 2020. </w:t>
      </w:r>
      <w:hyperlink r:id="rId21" w:history="1">
        <w:r w:rsidRPr="00E259DD">
          <w:rPr>
            <w:rStyle w:val="Hyperlink"/>
            <w:lang w:val="en-GB"/>
          </w:rPr>
          <w:t>https://doi.org/10.1101/2020.02.12.20022566</w:t>
        </w:r>
      </w:hyperlink>
      <w:r w:rsidRPr="00B25A3B">
        <w:rPr>
          <w:lang w:val="en-GB"/>
        </w:rPr>
        <w:t>.</w:t>
      </w:r>
    </w:p>
    <w:p w14:paraId="0172E4CB" w14:textId="7C81822D" w:rsidR="00B25A3B" w:rsidRDefault="00F479C5" w:rsidP="00A22293">
      <w:pPr>
        <w:pStyle w:val="Reference"/>
        <w:rPr>
          <w:lang w:val="en-GB"/>
        </w:rPr>
      </w:pPr>
      <w:r w:rsidRPr="00F479C5">
        <w:rPr>
          <w:lang w:val="en-GB"/>
        </w:rPr>
        <w:t xml:space="preserve">ONS. ‘Local Authority Districts (May 2021) UK BFE’. Accessed 1 January 2022. </w:t>
      </w:r>
      <w:hyperlink r:id="rId22" w:history="1">
        <w:r w:rsidRPr="00EE051E">
          <w:rPr>
            <w:rStyle w:val="Hyperlink"/>
            <w:lang w:val="en-GB"/>
          </w:rPr>
          <w:t>https://geoportal.statistics.gov.uk/datasets/ons::local-authority-districts-may-2021-uk-bfe/about</w:t>
        </w:r>
      </w:hyperlink>
      <w:r w:rsidRPr="00F479C5">
        <w:rPr>
          <w:lang w:val="en-GB"/>
        </w:rPr>
        <w:t>.</w:t>
      </w:r>
    </w:p>
    <w:p w14:paraId="61EC7FC5" w14:textId="39E0F0FF" w:rsidR="00F479C5" w:rsidRDefault="0033298D" w:rsidP="00A22293">
      <w:pPr>
        <w:pStyle w:val="Reference"/>
        <w:rPr>
          <w:lang w:val="en-GB"/>
        </w:rPr>
      </w:pPr>
      <w:r w:rsidRPr="0033298D">
        <w:rPr>
          <w:lang w:val="en-GB"/>
        </w:rPr>
        <w:t xml:space="preserve">Tableau Software. ‘Tableau: Business Intelligence and Analytics Software’. Tableau. Accessed 1 January 2022. </w:t>
      </w:r>
      <w:hyperlink r:id="rId23" w:history="1">
        <w:r w:rsidRPr="009048E2">
          <w:rPr>
            <w:rStyle w:val="Hyperlink"/>
            <w:lang w:val="en-GB"/>
          </w:rPr>
          <w:t>https://www.tableau.com/node/62770</w:t>
        </w:r>
      </w:hyperlink>
      <w:r w:rsidRPr="0033298D">
        <w:rPr>
          <w:lang w:val="en-GB"/>
        </w:rPr>
        <w:t>.</w:t>
      </w:r>
    </w:p>
    <w:p w14:paraId="5874F203" w14:textId="77777777" w:rsidR="0033298D" w:rsidRPr="00A22293" w:rsidRDefault="0033298D" w:rsidP="00A22293">
      <w:pPr>
        <w:pStyle w:val="Reference"/>
        <w:rPr>
          <w:lang w:val="en-GB"/>
        </w:rPr>
      </w:pPr>
    </w:p>
    <w:sectPr w:rsidR="0033298D"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37959" w14:textId="77777777" w:rsidR="00D9457B" w:rsidRDefault="00D9457B" w:rsidP="0023500F">
      <w:r>
        <w:separator/>
      </w:r>
    </w:p>
  </w:endnote>
  <w:endnote w:type="continuationSeparator" w:id="0">
    <w:p w14:paraId="0C0155E4" w14:textId="77777777" w:rsidR="00D9457B" w:rsidRDefault="00D9457B"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CE953" w14:textId="77777777" w:rsidR="00D9457B" w:rsidRDefault="00D9457B" w:rsidP="0023500F">
      <w:r>
        <w:separator/>
      </w:r>
    </w:p>
  </w:footnote>
  <w:footnote w:type="continuationSeparator" w:id="0">
    <w:p w14:paraId="219F54CA" w14:textId="77777777" w:rsidR="00D9457B" w:rsidRDefault="00D9457B"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6"/>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22C2C"/>
    <w:rsid w:val="000352B6"/>
    <w:rsid w:val="000424DC"/>
    <w:rsid w:val="00057096"/>
    <w:rsid w:val="00073854"/>
    <w:rsid w:val="00075299"/>
    <w:rsid w:val="000A7067"/>
    <w:rsid w:val="000B5111"/>
    <w:rsid w:val="000D72ED"/>
    <w:rsid w:val="00101090"/>
    <w:rsid w:val="00101756"/>
    <w:rsid w:val="00122DAD"/>
    <w:rsid w:val="00136C75"/>
    <w:rsid w:val="00141153"/>
    <w:rsid w:val="001500EB"/>
    <w:rsid w:val="001530A7"/>
    <w:rsid w:val="00157836"/>
    <w:rsid w:val="00185A50"/>
    <w:rsid w:val="00194142"/>
    <w:rsid w:val="001B6076"/>
    <w:rsid w:val="001C1B1F"/>
    <w:rsid w:val="001D68C4"/>
    <w:rsid w:val="0023500F"/>
    <w:rsid w:val="00244BFF"/>
    <w:rsid w:val="0024544E"/>
    <w:rsid w:val="0024739E"/>
    <w:rsid w:val="00291E4B"/>
    <w:rsid w:val="002C6A72"/>
    <w:rsid w:val="003250BE"/>
    <w:rsid w:val="0033298D"/>
    <w:rsid w:val="003946F2"/>
    <w:rsid w:val="003B391C"/>
    <w:rsid w:val="003B74F6"/>
    <w:rsid w:val="0040736F"/>
    <w:rsid w:val="00410F00"/>
    <w:rsid w:val="00424F89"/>
    <w:rsid w:val="004273E9"/>
    <w:rsid w:val="00466446"/>
    <w:rsid w:val="0048763D"/>
    <w:rsid w:val="004B44B5"/>
    <w:rsid w:val="004D0DB2"/>
    <w:rsid w:val="004E7CF3"/>
    <w:rsid w:val="00511296"/>
    <w:rsid w:val="0052549F"/>
    <w:rsid w:val="005355E2"/>
    <w:rsid w:val="00547AE1"/>
    <w:rsid w:val="00577DF8"/>
    <w:rsid w:val="00580E56"/>
    <w:rsid w:val="00587A95"/>
    <w:rsid w:val="005B2617"/>
    <w:rsid w:val="005F2D01"/>
    <w:rsid w:val="006616A1"/>
    <w:rsid w:val="00697282"/>
    <w:rsid w:val="006B3FFA"/>
    <w:rsid w:val="006B794F"/>
    <w:rsid w:val="006C7588"/>
    <w:rsid w:val="006E2676"/>
    <w:rsid w:val="006F054A"/>
    <w:rsid w:val="00702B24"/>
    <w:rsid w:val="00723A67"/>
    <w:rsid w:val="007401B6"/>
    <w:rsid w:val="007B4EB7"/>
    <w:rsid w:val="007B6836"/>
    <w:rsid w:val="007D0776"/>
    <w:rsid w:val="007D34C2"/>
    <w:rsid w:val="007D4D52"/>
    <w:rsid w:val="007E3541"/>
    <w:rsid w:val="007E735D"/>
    <w:rsid w:val="00804616"/>
    <w:rsid w:val="00807E59"/>
    <w:rsid w:val="00812256"/>
    <w:rsid w:val="00824DF7"/>
    <w:rsid w:val="00897319"/>
    <w:rsid w:val="008E229D"/>
    <w:rsid w:val="00922D03"/>
    <w:rsid w:val="009458D8"/>
    <w:rsid w:val="009641AB"/>
    <w:rsid w:val="009A2F20"/>
    <w:rsid w:val="009A3D55"/>
    <w:rsid w:val="009C1BDF"/>
    <w:rsid w:val="009C5474"/>
    <w:rsid w:val="009D341C"/>
    <w:rsid w:val="009D6677"/>
    <w:rsid w:val="009D7B61"/>
    <w:rsid w:val="009F45A1"/>
    <w:rsid w:val="00A03345"/>
    <w:rsid w:val="00A07B64"/>
    <w:rsid w:val="00A116DD"/>
    <w:rsid w:val="00A22293"/>
    <w:rsid w:val="00A23FFA"/>
    <w:rsid w:val="00A37484"/>
    <w:rsid w:val="00A54F64"/>
    <w:rsid w:val="00A56A37"/>
    <w:rsid w:val="00A81201"/>
    <w:rsid w:val="00A81E7D"/>
    <w:rsid w:val="00A9412A"/>
    <w:rsid w:val="00AE236F"/>
    <w:rsid w:val="00B25A3B"/>
    <w:rsid w:val="00B30732"/>
    <w:rsid w:val="00B47226"/>
    <w:rsid w:val="00B6128B"/>
    <w:rsid w:val="00B64FF6"/>
    <w:rsid w:val="00B67DEF"/>
    <w:rsid w:val="00BA6193"/>
    <w:rsid w:val="00BB30BA"/>
    <w:rsid w:val="00BC7B93"/>
    <w:rsid w:val="00BE1063"/>
    <w:rsid w:val="00BF40C8"/>
    <w:rsid w:val="00BF4F16"/>
    <w:rsid w:val="00C3647A"/>
    <w:rsid w:val="00C46B6F"/>
    <w:rsid w:val="00C60F4E"/>
    <w:rsid w:val="00CC4341"/>
    <w:rsid w:val="00CF2F15"/>
    <w:rsid w:val="00D01B4C"/>
    <w:rsid w:val="00D10AAE"/>
    <w:rsid w:val="00D13CA7"/>
    <w:rsid w:val="00D14D97"/>
    <w:rsid w:val="00D234B8"/>
    <w:rsid w:val="00D435D4"/>
    <w:rsid w:val="00D46DA5"/>
    <w:rsid w:val="00D9457B"/>
    <w:rsid w:val="00DB7D28"/>
    <w:rsid w:val="00DC211E"/>
    <w:rsid w:val="00DD0E43"/>
    <w:rsid w:val="00DF7EAC"/>
    <w:rsid w:val="00E01066"/>
    <w:rsid w:val="00E02963"/>
    <w:rsid w:val="00E75FC1"/>
    <w:rsid w:val="00E76943"/>
    <w:rsid w:val="00E8122C"/>
    <w:rsid w:val="00E86869"/>
    <w:rsid w:val="00EB3A99"/>
    <w:rsid w:val="00ED294C"/>
    <w:rsid w:val="00F06A10"/>
    <w:rsid w:val="00F20817"/>
    <w:rsid w:val="00F21FEB"/>
    <w:rsid w:val="00F479C5"/>
    <w:rsid w:val="00F529B2"/>
    <w:rsid w:val="00F53FB6"/>
    <w:rsid w:val="00F66135"/>
    <w:rsid w:val="00FA1791"/>
    <w:rsid w:val="00FA3DF7"/>
    <w:rsid w:val="00FB3DD4"/>
    <w:rsid w:val="00FC38D4"/>
    <w:rsid w:val="00FD56A7"/>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 w:type="character" w:styleId="CommentReference">
    <w:name w:val="annotation reference"/>
    <w:basedOn w:val="DefaultParagraphFont"/>
    <w:semiHidden/>
    <w:unhideWhenUsed/>
    <w:rsid w:val="009A2F20"/>
    <w:rPr>
      <w:sz w:val="16"/>
      <w:szCs w:val="16"/>
    </w:rPr>
  </w:style>
  <w:style w:type="paragraph" w:styleId="CommentText">
    <w:name w:val="annotation text"/>
    <w:basedOn w:val="Normal"/>
    <w:link w:val="CommentTextChar"/>
    <w:semiHidden/>
    <w:unhideWhenUsed/>
    <w:rsid w:val="009A2F20"/>
    <w:rPr>
      <w:szCs w:val="20"/>
    </w:rPr>
  </w:style>
  <w:style w:type="character" w:customStyle="1" w:styleId="CommentTextChar">
    <w:name w:val="Comment Text Char"/>
    <w:basedOn w:val="DefaultParagraphFont"/>
    <w:link w:val="CommentText"/>
    <w:semiHidden/>
    <w:rsid w:val="009A2F20"/>
  </w:style>
  <w:style w:type="paragraph" w:styleId="CommentSubject">
    <w:name w:val="annotation subject"/>
    <w:basedOn w:val="CommentText"/>
    <w:next w:val="CommentText"/>
    <w:link w:val="CommentSubjectChar"/>
    <w:semiHidden/>
    <w:unhideWhenUsed/>
    <w:rsid w:val="009A2F20"/>
    <w:rPr>
      <w:b/>
      <w:bCs/>
    </w:rPr>
  </w:style>
  <w:style w:type="character" w:customStyle="1" w:styleId="CommentSubjectChar">
    <w:name w:val="Comment Subject Char"/>
    <w:basedOn w:val="CommentTextChar"/>
    <w:link w:val="CommentSubject"/>
    <w:semiHidden/>
    <w:rsid w:val="009A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discover.ukdataservice.ac.uk/catalogue/?sn=5819&amp;type=Data%20catalogue" TargetMode="External"/><Relationship Id="rId18" Type="http://schemas.openxmlformats.org/officeDocument/2006/relationships/hyperlink" Target="https://doi.org/10.1101/2020.02.16.20023754" TargetMode="External"/><Relationship Id="rId3" Type="http://schemas.openxmlformats.org/officeDocument/2006/relationships/settings" Target="settings.xml"/><Relationship Id="rId21" Type="http://schemas.openxmlformats.org/officeDocument/2006/relationships/hyperlink" Target="https://doi.org/10.1101/2020.02.12.20022566" TargetMode="External"/><Relationship Id="rId7" Type="http://schemas.openxmlformats.org/officeDocument/2006/relationships/footer" Target="footer1.xml"/><Relationship Id="rId12" Type="http://schemas.openxmlformats.org/officeDocument/2006/relationships/hyperlink" Target="https://coronavirus.data.gov.uk/details/cases?areaType=overview&amp;areaName=United%20Kingdom" TargetMode="External"/><Relationship Id="rId17" Type="http://schemas.openxmlformats.org/officeDocument/2006/relationships/hyperlink" Target="https://doi.org/10.1101/2020.02.26.2002816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andas.pydata.org/" TargetMode="External"/><Relationship Id="rId20" Type="http://schemas.openxmlformats.org/officeDocument/2006/relationships/hyperlink" Target="https://doi.org/10.1109/OJEMB.2021.309613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microsoft.com/en-us/microsoft-365/excel" TargetMode="External"/><Relationship Id="rId23" Type="http://schemas.openxmlformats.org/officeDocument/2006/relationships/hyperlink" Target="https://www.tableau.com/node/62770" TargetMode="External"/><Relationship Id="rId10" Type="http://schemas.openxmlformats.org/officeDocument/2006/relationships/image" Target="media/image3.png"/><Relationship Id="rId19"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census.ukdataservice.ac.uk/get-data/boundary-data.aspx" TargetMode="External"/><Relationship Id="rId22" Type="http://schemas.openxmlformats.org/officeDocument/2006/relationships/hyperlink" Target="https://geoportal.statistics.gov.uk/datasets/ons::local-authority-districts-may-2021-uk-bfe/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3</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11844</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34</cp:revision>
  <cp:lastPrinted>2009-03-17T19:21:00Z</cp:lastPrinted>
  <dcterms:created xsi:type="dcterms:W3CDTF">2019-09-24T12:47:00Z</dcterms:created>
  <dcterms:modified xsi:type="dcterms:W3CDTF">2022-01-02T13:01:00Z</dcterms:modified>
</cp:coreProperties>
</file>