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 xml:space="preserve">In this report we look at the </w:t>
      </w:r>
      <w:r w:rsidR="00B31A9A">
        <w:rPr>
          <w:b/>
        </w:rPr>
        <w:t xml:space="preserve">UK </w:t>
      </w:r>
      <w:r w:rsidR="00203F7D">
        <w:rPr>
          <w:b/>
        </w:rPr>
        <w:t>COVID-</w:t>
      </w:r>
      <w:r w:rsidR="00203F7D">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0B3831D0"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w:t>
      </w:r>
      <w:r w:rsidR="003C268B">
        <w:rPr>
          <w:iCs/>
        </w:rPr>
        <w:t xml:space="preserve"> from UKHSA which is the official source of COVID-19 data in the UK</w:t>
      </w:r>
      <w:r>
        <w:rPr>
          <w:iCs/>
        </w:rPr>
        <w:t>. The ONS estimated age breakdown by region (as of August 2021)</w:t>
      </w:r>
      <w:r w:rsidR="0011166F">
        <w:rPr>
          <w:iCs/>
        </w:rPr>
        <w:t xml:space="preserve"> </w:t>
      </w:r>
      <w:r w:rsidR="005A1379">
        <w:rPr>
          <w:iCs/>
        </w:rPr>
        <w:fldChar w:fldCharType="begin"/>
      </w:r>
      <w:r w:rsidR="005A1379">
        <w:rPr>
          <w:iCs/>
        </w:rPr>
        <w:instrText xml:space="preserve"> REF _Ref92555907 \r \h </w:instrText>
      </w:r>
      <w:r w:rsidR="005A1379">
        <w:rPr>
          <w:iCs/>
        </w:rPr>
      </w:r>
      <w:r w:rsidR="005A1379">
        <w:rPr>
          <w:iCs/>
        </w:rPr>
        <w:fldChar w:fldCharType="separate"/>
      </w:r>
      <w:r w:rsidR="005A1379">
        <w:rPr>
          <w:iCs/>
        </w:rPr>
        <w:t>[30]</w:t>
      </w:r>
      <w:r w:rsidR="005A1379">
        <w:rPr>
          <w:iCs/>
        </w:rPr>
        <w:fldChar w:fldCharType="end"/>
      </w:r>
      <w:r w:rsidR="003C268B">
        <w:rPr>
          <w:iCs/>
        </w:rPr>
        <w:t>, which is used as it is based upon the census data and estimated as to what has happened in the ten years between the census and 2021, as otherwise we would have to age the census data ourselves</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D406AF">
        <w:rPr>
          <w:iCs/>
        </w:rPr>
        <w:t>[1]</w:t>
      </w:r>
      <w:r w:rsidR="00D406AF">
        <w:rPr>
          <w:iCs/>
        </w:rPr>
        <w:fldChar w:fldCharType="end"/>
      </w:r>
      <w:r>
        <w:rPr>
          <w:iCs/>
        </w:rPr>
        <w:t xml:space="preserve">. Ideally, we would be using the 2021 census data, but it will not be released until 2023. We also have the geographic boundaries of the UK Local governments </w:t>
      </w:r>
      <w:r w:rsidR="00D406AF">
        <w:rPr>
          <w:iCs/>
        </w:rPr>
        <w:fldChar w:fldCharType="begin"/>
      </w:r>
      <w:r w:rsidR="00D406AF">
        <w:rPr>
          <w:iCs/>
        </w:rPr>
        <w:instrText xml:space="preserve"> REF _Ref92555950 \r \h </w:instrText>
      </w:r>
      <w:r w:rsidR="00D406AF">
        <w:rPr>
          <w:iCs/>
        </w:rPr>
      </w:r>
      <w:r w:rsidR="00D406AF">
        <w:rPr>
          <w:iCs/>
        </w:rPr>
        <w:fldChar w:fldCharType="separate"/>
      </w:r>
      <w:r w:rsidR="00D406AF">
        <w:rPr>
          <w:iCs/>
        </w:rPr>
        <w:t>[11]</w:t>
      </w:r>
      <w:r w:rsidR="00D406AF">
        <w:rPr>
          <w:iCs/>
        </w:rPr>
        <w:fldChar w:fldCharType="end"/>
      </w:r>
      <w:r>
        <w:rPr>
          <w:iCs/>
        </w:rPr>
        <w:t xml:space="preserve">,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7414E870" w:rsidR="00203F7D" w:rsidRDefault="00203F7D" w:rsidP="00203F7D">
      <w:pPr>
        <w:pStyle w:val="Body"/>
        <w:rPr>
          <w:iCs/>
        </w:rPr>
      </w:pPr>
      <w:r>
        <w:rPr>
          <w:iCs/>
        </w:rPr>
        <w:t xml:space="preserve">In the Office of National Statistics paper </w:t>
      </w:r>
      <w:r w:rsidR="00D406AF">
        <w:rPr>
          <w:iCs/>
        </w:rPr>
        <w:fldChar w:fldCharType="begin"/>
      </w:r>
      <w:r w:rsidR="00D406AF">
        <w:rPr>
          <w:iCs/>
        </w:rPr>
        <w:instrText xml:space="preserve"> REF _Ref92555959 \r \h </w:instrText>
      </w:r>
      <w:r w:rsidR="00D406AF">
        <w:rPr>
          <w:iCs/>
        </w:rPr>
      </w:r>
      <w:r w:rsidR="00D406AF">
        <w:rPr>
          <w:iCs/>
        </w:rPr>
        <w:fldChar w:fldCharType="separate"/>
      </w:r>
      <w:r w:rsidR="00D406AF">
        <w:rPr>
          <w:iCs/>
        </w:rPr>
        <w:t>[</w:t>
      </w:r>
      <w:r w:rsidR="00D406AF">
        <w:rPr>
          <w:iCs/>
        </w:rPr>
        <w:t>8</w:t>
      </w:r>
      <w:r w:rsidR="00D406AF">
        <w:rPr>
          <w:iCs/>
        </w:rPr>
        <w:t>]</w:t>
      </w:r>
      <w:r w:rsidR="00D406AF">
        <w:rPr>
          <w:iCs/>
        </w:rPr>
        <w:fldChar w:fldCharType="end"/>
      </w:r>
      <w:r>
        <w:rPr>
          <w:iCs/>
        </w:rPr>
        <w:t xml:space="preserve">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w:t>
      </w:r>
      <w:r w:rsidR="00B85496">
        <w:rPr>
          <w:iCs/>
        </w:rPr>
        <w:t>, which are not publicly available</w:t>
      </w:r>
      <w:r>
        <w:rPr>
          <w:iCs/>
        </w:rPr>
        <w:t xml:space="preserve">)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w:t>
      </w:r>
      <w:r w:rsidR="00B85496">
        <w:rPr>
          <w:iCs/>
        </w:rPr>
        <w:t>-</w:t>
      </w:r>
      <w:r>
        <w:rPr>
          <w:iCs/>
        </w:rPr>
        <w:t xml:space="preserve">19 mortality and we have a risk factor for these groups. They use various visualisations to show the </w:t>
      </w:r>
      <w:r>
        <w:rPr>
          <w:iCs/>
        </w:rPr>
        <w:t xml:space="preserve">differing rates of death between different ethnic groups. The paper makes some assumptions in linking NHS records to census data </w:t>
      </w:r>
      <w:r w:rsidR="00321845">
        <w:rPr>
          <w:iCs/>
        </w:rPr>
        <w:t>as it links on the NHS number and date of birth. Those with a missing/invalid NHS number or date of birth were dropped from the analysis. Those individuals not present in the UK at the time of the 2011 census were also excluded</w:t>
      </w:r>
      <w:r>
        <w:rPr>
          <w:iCs/>
        </w:rPr>
        <w:t>. For the district level data, they assume that the 2011 census records are still relevant.</w:t>
      </w:r>
    </w:p>
    <w:p w14:paraId="1B1E85DF" w14:textId="59178AAA" w:rsidR="00203F7D" w:rsidRDefault="00203F7D" w:rsidP="00203F7D">
      <w:pPr>
        <w:pStyle w:val="Body"/>
        <w:rPr>
          <w:iCs/>
        </w:rPr>
      </w:pPr>
      <w:r>
        <w:rPr>
          <w:iCs/>
        </w:rPr>
        <w:t xml:space="preserve">Within this paper </w:t>
      </w:r>
      <w:r w:rsidR="00D406AF">
        <w:rPr>
          <w:iCs/>
        </w:rPr>
        <w:fldChar w:fldCharType="begin"/>
      </w:r>
      <w:r w:rsidR="00D406AF">
        <w:rPr>
          <w:iCs/>
        </w:rPr>
        <w:instrText xml:space="preserve"> REF _Ref92555976 \r \h </w:instrText>
      </w:r>
      <w:r w:rsidR="00D406AF">
        <w:rPr>
          <w:iCs/>
        </w:rPr>
      </w:r>
      <w:r w:rsidR="00D406AF">
        <w:rPr>
          <w:iCs/>
        </w:rPr>
        <w:fldChar w:fldCharType="separate"/>
      </w:r>
      <w:r w:rsidR="00D406AF">
        <w:rPr>
          <w:iCs/>
        </w:rPr>
        <w:t>[9]</w:t>
      </w:r>
      <w:r w:rsidR="00D406AF">
        <w:rPr>
          <w:iCs/>
        </w:rPr>
        <w:fldChar w:fldCharType="end"/>
      </w:r>
      <w:r>
        <w:rPr>
          <w:iCs/>
        </w:rPr>
        <w:t xml:space="preserve">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159E80B5" w:rsidR="00203F7D" w:rsidRPr="007D34C2" w:rsidRDefault="00203F7D" w:rsidP="00203F7D">
      <w:pPr>
        <w:pStyle w:val="Body"/>
        <w:rPr>
          <w:iCs/>
        </w:rPr>
      </w:pPr>
      <w:r>
        <w:rPr>
          <w:iCs/>
        </w:rPr>
        <w:t xml:space="preserve">From one of SAGE’s reference papers </w:t>
      </w:r>
      <w:r w:rsidR="00D406AF">
        <w:rPr>
          <w:iCs/>
        </w:rPr>
        <w:fldChar w:fldCharType="begin"/>
      </w:r>
      <w:r w:rsidR="00D406AF">
        <w:rPr>
          <w:iCs/>
        </w:rPr>
        <w:instrText xml:space="preserve"> REF _Ref92555988 \r \h </w:instrText>
      </w:r>
      <w:r w:rsidR="00D406AF">
        <w:rPr>
          <w:iCs/>
        </w:rPr>
      </w:r>
      <w:r w:rsidR="00D406AF">
        <w:rPr>
          <w:iCs/>
        </w:rPr>
        <w:fldChar w:fldCharType="separate"/>
      </w:r>
      <w:r w:rsidR="00D406AF">
        <w:rPr>
          <w:iCs/>
        </w:rPr>
        <w:t>[10]</w:t>
      </w:r>
      <w:r w:rsidR="00D406AF">
        <w:rPr>
          <w:iCs/>
        </w:rPr>
        <w:fldChar w:fldCharType="end"/>
      </w:r>
      <w:r>
        <w:rPr>
          <w:iCs/>
        </w:rPr>
        <w:t xml:space="preserve">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766A9992" w:rsidR="00203F7D" w:rsidRDefault="00203F7D" w:rsidP="00203F7D">
      <w:pPr>
        <w:pStyle w:val="Body"/>
        <w:rPr>
          <w:iCs/>
        </w:rPr>
      </w:pPr>
      <w:r>
        <w:rPr>
          <w:iCs/>
        </w:rPr>
        <w:t xml:space="preserve">Our COVID-19 case data </w:t>
      </w:r>
      <w:r w:rsidR="00D406AF">
        <w:rPr>
          <w:iCs/>
        </w:rPr>
        <w:fldChar w:fldCharType="begin"/>
      </w:r>
      <w:r w:rsidR="00D406AF">
        <w:rPr>
          <w:iCs/>
        </w:rPr>
        <w:instrText xml:space="preserve"> REF _Ref92556000 \r \h </w:instrText>
      </w:r>
      <w:r w:rsidR="00D406AF">
        <w:rPr>
          <w:iCs/>
        </w:rPr>
      </w:r>
      <w:r w:rsidR="00D406AF">
        <w:rPr>
          <w:iCs/>
        </w:rPr>
        <w:fldChar w:fldCharType="separate"/>
      </w:r>
      <w:r w:rsidR="00D406AF">
        <w:rPr>
          <w:iCs/>
        </w:rPr>
        <w:t>[2]</w:t>
      </w:r>
      <w:r w:rsidR="00D406AF">
        <w:rPr>
          <w:iCs/>
        </w:rPr>
        <w:fldChar w:fldCharType="end"/>
      </w:r>
      <w:r>
        <w:rPr>
          <w:iCs/>
        </w:rPr>
        <w:t xml:space="preserve"> is at the local authority level (LTLA) from the results of PCR tests and positive lateral flow </w:t>
      </w:r>
      <w:r>
        <w:rPr>
          <w:iCs/>
        </w:rPr>
        <w:lastRenderedPageBreak/>
        <w:t xml:space="preserve">tests (which are reported, from 21/10/20). This data is collected from the various local authorities and then checked and published by </w:t>
      </w:r>
      <w:r w:rsidR="00E4222A">
        <w:rPr>
          <w:iCs/>
        </w:rPr>
        <w:t>UK Health Security Agency</w:t>
      </w:r>
      <w:r>
        <w:rPr>
          <w:iCs/>
        </w:rPr>
        <w:t>.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r w:rsidR="00BA6DF4">
        <w:rPr>
          <w:iCs/>
        </w:rPr>
        <w:t xml:space="preserve"> The UK wide data has the total number of COVID-19 hospital cases at that time, but this figure is not available at the lower level.</w:t>
      </w:r>
    </w:p>
    <w:p w14:paraId="7C05D588" w14:textId="3E6EFA6E" w:rsidR="00203F7D" w:rsidRDefault="00203F7D" w:rsidP="00203F7D">
      <w:pPr>
        <w:pStyle w:val="Body"/>
        <w:rPr>
          <w:iCs/>
        </w:rPr>
      </w:pPr>
      <w:r>
        <w:rPr>
          <w:iCs/>
        </w:rPr>
        <w:t xml:space="preserve">The data we have from the census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D406AF">
        <w:rPr>
          <w:iCs/>
        </w:rPr>
        <w:t>[1]</w:t>
      </w:r>
      <w:r w:rsidR="00D406AF">
        <w:rPr>
          <w:iCs/>
        </w:rPr>
        <w:fldChar w:fldCharType="end"/>
      </w:r>
      <w:r>
        <w:rPr>
          <w:iCs/>
        </w:rPr>
        <w:t xml:space="preserve"> is at the same level, but some of the councils have been merged or split apart. Using Excel </w:t>
      </w:r>
      <w:r w:rsidR="00D406AF">
        <w:rPr>
          <w:iCs/>
        </w:rPr>
        <w:fldChar w:fldCharType="begin"/>
      </w:r>
      <w:r w:rsidR="00D406AF">
        <w:rPr>
          <w:iCs/>
        </w:rPr>
        <w:instrText xml:space="preserve"> REF _Ref92556031 \r \h </w:instrText>
      </w:r>
      <w:r w:rsidR="00D406AF">
        <w:rPr>
          <w:iCs/>
        </w:rPr>
      </w:r>
      <w:r w:rsidR="00D406AF">
        <w:rPr>
          <w:iCs/>
        </w:rPr>
        <w:fldChar w:fldCharType="separate"/>
      </w:r>
      <w:r w:rsidR="00D406AF">
        <w:rPr>
          <w:iCs/>
        </w:rPr>
        <w:t>[4]</w:t>
      </w:r>
      <w:r w:rsidR="00D406AF">
        <w:rPr>
          <w:iCs/>
        </w:rPr>
        <w:fldChar w:fldCharType="end"/>
      </w:r>
      <w:r>
        <w:rPr>
          <w:iCs/>
        </w:rPr>
        <w:t xml:space="preserve">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w:t>
      </w:r>
      <w:r w:rsidR="00D406AF">
        <w:rPr>
          <w:iCs/>
        </w:rPr>
        <w:fldChar w:fldCharType="begin"/>
      </w:r>
      <w:r w:rsidR="00D406AF">
        <w:rPr>
          <w:iCs/>
        </w:rPr>
        <w:instrText xml:space="preserve"> REF _Ref92556042 \r \h </w:instrText>
      </w:r>
      <w:r w:rsidR="00D406AF">
        <w:rPr>
          <w:iCs/>
        </w:rPr>
      </w:r>
      <w:r w:rsidR="00D406AF">
        <w:rPr>
          <w:iCs/>
        </w:rPr>
        <w:fldChar w:fldCharType="separate"/>
      </w:r>
      <w:r w:rsidR="00D406AF">
        <w:rPr>
          <w:iCs/>
        </w:rPr>
        <w:t>[5]</w:t>
      </w:r>
      <w:r w:rsidR="00D406AF">
        <w:rPr>
          <w:iCs/>
        </w:rPr>
        <w:fldChar w:fldCharType="end"/>
      </w:r>
      <w:r>
        <w:rPr>
          <w:iCs/>
        </w:rPr>
        <w:t xml:space="preserve"> to join up all of the census tables into one sheet. The census data was collected through questionnaires presented to every household in the UK. These were then aggregated by the Office of National Statistics. This dataset has 95 columns and 343 rows.</w:t>
      </w:r>
      <w:r w:rsidR="00EE2399">
        <w:rPr>
          <w:iCs/>
        </w:rPr>
        <w:t xml:space="preserve"> Some of the columns are measured by the number of households and some of them are measured by the number of people (or at least those who replied to the census).</w:t>
      </w:r>
    </w:p>
    <w:p w14:paraId="06DDCC6E" w14:textId="17874BA5" w:rsidR="00203F7D" w:rsidRDefault="00203F7D" w:rsidP="00203F7D">
      <w:pPr>
        <w:pStyle w:val="Body"/>
        <w:rPr>
          <w:iCs/>
        </w:rPr>
      </w:pPr>
      <w:r>
        <w:rPr>
          <w:iCs/>
        </w:rPr>
        <w:t xml:space="preserve">Finally, we have the local authority boundary data for 2020 from </w:t>
      </w:r>
      <w:r w:rsidR="00D406AF">
        <w:rPr>
          <w:iCs/>
        </w:rPr>
        <w:fldChar w:fldCharType="begin"/>
      </w:r>
      <w:r w:rsidR="00D406AF">
        <w:rPr>
          <w:iCs/>
        </w:rPr>
        <w:instrText xml:space="preserve"> REF _Ref92555950 \r \h </w:instrText>
      </w:r>
      <w:r w:rsidR="00D406AF">
        <w:rPr>
          <w:iCs/>
        </w:rPr>
      </w:r>
      <w:r w:rsidR="00D406AF">
        <w:rPr>
          <w:iCs/>
        </w:rPr>
        <w:fldChar w:fldCharType="separate"/>
      </w:r>
      <w:r w:rsidR="00D406AF">
        <w:rPr>
          <w:iCs/>
        </w:rPr>
        <w:t>[11]</w:t>
      </w:r>
      <w:r w:rsidR="00D406AF">
        <w:rPr>
          <w:iCs/>
        </w:rPr>
        <w:fldChar w:fldCharType="end"/>
      </w:r>
      <w:r>
        <w:rPr>
          <w:iCs/>
        </w:rPr>
        <w:t xml:space="preserve">,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6680F1B7" w:rsidR="00203F7D" w:rsidRDefault="00203F7D" w:rsidP="00203F7D">
      <w:pPr>
        <w:pStyle w:val="Body"/>
        <w:rPr>
          <w:iCs/>
        </w:rPr>
      </w:pPr>
      <w:r>
        <w:rPr>
          <w:iCs/>
        </w:rPr>
        <w:t xml:space="preserve">The three datasets are joined together by their geography code. By plotting the cases over time using Tableau </w:t>
      </w:r>
      <w:r w:rsidR="00D406AF">
        <w:rPr>
          <w:iCs/>
        </w:rPr>
        <w:fldChar w:fldCharType="begin"/>
      </w:r>
      <w:r w:rsidR="00D406AF">
        <w:rPr>
          <w:iCs/>
        </w:rPr>
        <w:instrText xml:space="preserve"> REF _Ref92556065 \r \h </w:instrText>
      </w:r>
      <w:r w:rsidR="00D406AF">
        <w:rPr>
          <w:iCs/>
        </w:rPr>
      </w:r>
      <w:r w:rsidR="00D406AF">
        <w:rPr>
          <w:iCs/>
        </w:rPr>
        <w:fldChar w:fldCharType="separate"/>
      </w:r>
      <w:r w:rsidR="00D406AF">
        <w:rPr>
          <w:iCs/>
        </w:rPr>
        <w:t>[12]</w:t>
      </w:r>
      <w:r w:rsidR="00D406AF">
        <w:rPr>
          <w:iCs/>
        </w:rPr>
        <w:fldChar w:fldCharType="end"/>
      </w:r>
      <w:r>
        <w:rPr>
          <w:iCs/>
        </w:rPr>
        <w:t>,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FA3ECF">
        <w:fldChar w:fldCharType="begin"/>
      </w:r>
      <w:r w:rsidR="00FA3ECF">
        <w:instrText xml:space="preserve"> SEQ Figure \* ARABIC </w:instrText>
      </w:r>
      <w:r w:rsidR="00FA3ECF">
        <w:fldChar w:fldCharType="separate"/>
      </w:r>
      <w:r w:rsidR="00ED27A2">
        <w:rPr>
          <w:noProof/>
        </w:rPr>
        <w:t>1</w:t>
      </w:r>
      <w:r w:rsidR="00FA3ECF">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FA3ECF">
        <w:fldChar w:fldCharType="begin"/>
      </w:r>
      <w:r w:rsidR="00FA3ECF">
        <w:instrText xml:space="preserve"> SEQ Figure \* ARABIC </w:instrText>
      </w:r>
      <w:r w:rsidR="00FA3ECF">
        <w:fldChar w:fldCharType="separate"/>
      </w:r>
      <w:r w:rsidR="00ED27A2">
        <w:rPr>
          <w:noProof/>
        </w:rPr>
        <w:t>2</w:t>
      </w:r>
      <w:r w:rsidR="00FA3ECF">
        <w:rPr>
          <w:noProof/>
        </w:rPr>
        <w:fldChar w:fldCharType="end"/>
      </w:r>
      <w:r>
        <w:t>-District cases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3AB25036"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w:t>
      </w:r>
      <w:r w:rsidR="00D406AF">
        <w:rPr>
          <w:iCs/>
          <w:lang w:eastAsia="en-GB"/>
        </w:rPr>
        <w:fldChar w:fldCharType="begin"/>
      </w:r>
      <w:r w:rsidR="00D406AF">
        <w:rPr>
          <w:iCs/>
          <w:lang w:eastAsia="en-GB"/>
        </w:rPr>
        <w:instrText xml:space="preserve"> REF _Ref92556087 \r \h </w:instrText>
      </w:r>
      <w:r w:rsidR="00D406AF">
        <w:rPr>
          <w:iCs/>
          <w:lang w:eastAsia="en-GB"/>
        </w:rPr>
      </w:r>
      <w:r w:rsidR="00D406AF">
        <w:rPr>
          <w:iCs/>
          <w:lang w:eastAsia="en-GB"/>
        </w:rPr>
        <w:fldChar w:fldCharType="separate"/>
      </w:r>
      <w:r w:rsidR="00D406AF">
        <w:rPr>
          <w:iCs/>
          <w:lang w:eastAsia="en-GB"/>
        </w:rPr>
        <w:t>[14]</w:t>
      </w:r>
      <w:r w:rsidR="00D406AF">
        <w:rPr>
          <w:iCs/>
          <w:lang w:eastAsia="en-GB"/>
        </w:rPr>
        <w:fldChar w:fldCharType="end"/>
      </w:r>
      <w:r>
        <w:rPr>
          <w:iCs/>
          <w:lang w:eastAsia="en-GB"/>
        </w:rPr>
        <w:t xml:space="preserve">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w:t>
      </w:r>
      <w:r>
        <w:rPr>
          <w:iCs/>
          <w:lang w:eastAsia="en-GB"/>
        </w:rPr>
        <w:lastRenderedPageBreak/>
        <w:t>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0F778AB0"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w:t>
      </w:r>
      <w:r w:rsidR="00D406AF">
        <w:rPr>
          <w:iCs/>
          <w:lang w:eastAsia="en-GB"/>
        </w:rPr>
        <w:fldChar w:fldCharType="begin"/>
      </w:r>
      <w:r w:rsidR="00D406AF">
        <w:rPr>
          <w:iCs/>
          <w:lang w:eastAsia="en-GB"/>
        </w:rPr>
        <w:instrText xml:space="preserve"> REF _Ref92556107 \r \h </w:instrText>
      </w:r>
      <w:r w:rsidR="00D406AF">
        <w:rPr>
          <w:iCs/>
          <w:lang w:eastAsia="en-GB"/>
        </w:rPr>
      </w:r>
      <w:r w:rsidR="00D406AF">
        <w:rPr>
          <w:iCs/>
          <w:lang w:eastAsia="en-GB"/>
        </w:rPr>
        <w:fldChar w:fldCharType="separate"/>
      </w:r>
      <w:r w:rsidR="00D406AF">
        <w:rPr>
          <w:iCs/>
          <w:lang w:eastAsia="en-GB"/>
        </w:rPr>
        <w:t>[15]</w:t>
      </w:r>
      <w:r w:rsidR="00D406AF">
        <w:rPr>
          <w:iCs/>
          <w:lang w:eastAsia="en-GB"/>
        </w:rPr>
        <w:fldChar w:fldCharType="end"/>
      </w:r>
      <w:r>
        <w:rPr>
          <w:iCs/>
          <w:lang w:eastAsia="en-GB"/>
        </w:rPr>
        <w:t xml:space="preserve">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FA3ECF">
        <w:fldChar w:fldCharType="begin"/>
      </w:r>
      <w:r w:rsidR="00FA3ECF">
        <w:instrText xml:space="preserve"> SEQ Figure \* ARABIC </w:instrText>
      </w:r>
      <w:r w:rsidR="00FA3ECF">
        <w:fldChar w:fldCharType="separate"/>
      </w:r>
      <w:r w:rsidR="00ED27A2">
        <w:rPr>
          <w:noProof/>
        </w:rPr>
        <w:t>3</w:t>
      </w:r>
      <w:r w:rsidR="00FA3ECF">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12A258F0" w14:textId="05D573B1" w:rsidR="007B21EA" w:rsidRDefault="001A7E71" w:rsidP="00C2764E">
      <w:pPr>
        <w:pStyle w:val="Body"/>
        <w:rPr>
          <w:lang w:eastAsia="en-GB"/>
        </w:rPr>
      </w:pPr>
      <w:bookmarkStart w:id="0" w:name="_Hlk92555056"/>
      <w:r>
        <w:rPr>
          <w:lang w:eastAsia="en-GB"/>
        </w:rPr>
        <w:t>For the process of looking at the various columns and how they interact with the relative number of cases</w:t>
      </w:r>
      <w:r w:rsidR="00D86E45">
        <w:rPr>
          <w:lang w:eastAsia="en-GB"/>
        </w:rPr>
        <w:t xml:space="preserve">, we looked at the </w:t>
      </w:r>
      <w:r w:rsidR="00607E66">
        <w:rPr>
          <w:lang w:eastAsia="en-GB"/>
        </w:rPr>
        <w:t xml:space="preserve">seaborn </w:t>
      </w:r>
      <w:r w:rsidR="00D86E45">
        <w:rPr>
          <w:lang w:eastAsia="en-GB"/>
        </w:rPr>
        <w:t xml:space="preserve">regression plot twice. Once for the absolute number of households/people and once for the relevant column divided by the total population. This was so that the effect of population on that variable could be removed. As most districts have similar numbers of people but some have much higher populations these were causing the absolute number graphs to have many values in a cluster on the left and one or two extreme values </w:t>
      </w:r>
      <w:r w:rsidR="00607E66">
        <w:rPr>
          <w:lang w:eastAsia="en-GB"/>
        </w:rPr>
        <w:t>on the right-hand side causing the graphs to be very hard to read.</w:t>
      </w:r>
    </w:p>
    <w:p w14:paraId="01085267" w14:textId="75B5949A" w:rsidR="0023500F" w:rsidRDefault="001A7E71" w:rsidP="00D11DB3">
      <w:pPr>
        <w:pStyle w:val="Body"/>
        <w:rPr>
          <w:lang w:eastAsia="en-GB"/>
        </w:rPr>
      </w:pPr>
      <w:r>
        <w:rPr>
          <w:lang w:eastAsia="en-GB"/>
        </w:rPr>
        <w:t xml:space="preserve">Having the computer make the decision on the correlation between one of the variables and the relative number of cases would be a quick way of doing things, but the correlation figure can be easily </w:t>
      </w:r>
      <w:r w:rsidR="006300C6">
        <w:rPr>
          <w:lang w:eastAsia="en-GB"/>
        </w:rPr>
        <w:t>distorted</w:t>
      </w:r>
      <w:r>
        <w:rPr>
          <w:lang w:eastAsia="en-GB"/>
        </w:rPr>
        <w:t xml:space="preserve"> by a few extreme points of data. Seeing the data for ourselves allows</w:t>
      </w:r>
      <w:r w:rsidR="006300C6">
        <w:rPr>
          <w:lang w:eastAsia="en-GB"/>
        </w:rPr>
        <w:t xml:space="preserve"> us to determine the level of the effect of the variable on the relative number of cases</w:t>
      </w:r>
      <w:r>
        <w:rPr>
          <w:lang w:eastAsia="en-GB"/>
        </w:rPr>
        <w:t xml:space="preserve">.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w:t>
      </w:r>
      <w:r>
        <w:rPr>
          <w:lang w:eastAsia="en-GB"/>
        </w:rPr>
        <w:t>qualifications had an effect of lowering the rates of COVID-19. For the age groups there was the surprising effect that the younger the relative population the higher the rate of COVID-19, but this effect gradually settled down and then started reversing at 45-49</w:t>
      </w:r>
      <w:r w:rsidR="0080126F">
        <w:rPr>
          <w:lang w:eastAsia="en-GB"/>
        </w:rPr>
        <w:t xml:space="preserve"> years old</w:t>
      </w:r>
      <w:r w:rsidR="00665DA8">
        <w:rPr>
          <w:lang w:eastAsia="en-GB"/>
        </w:rPr>
        <w:t>, with relatively higher numbers of 85-89 and 90+ year olds causing the relative rates to drop a lot more</w:t>
      </w:r>
      <w:r w:rsidR="00456736">
        <w:rPr>
          <w:lang w:eastAsia="en-GB"/>
        </w:rPr>
        <w:t>.</w:t>
      </w:r>
    </w:p>
    <w:bookmarkEnd w:id="0"/>
    <w:p w14:paraId="1795FF08" w14:textId="5D2BE373"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D406AF">
        <w:rPr>
          <w:iCs/>
          <w:lang w:eastAsia="en-GB"/>
        </w:rPr>
        <w:fldChar w:fldCharType="begin"/>
      </w:r>
      <w:r w:rsidR="00D406AF">
        <w:rPr>
          <w:iCs/>
          <w:lang w:eastAsia="en-GB"/>
        </w:rPr>
        <w:instrText xml:space="preserve"> REF _Ref92556132 \r \h </w:instrText>
      </w:r>
      <w:r w:rsidR="00D406AF">
        <w:rPr>
          <w:iCs/>
          <w:lang w:eastAsia="en-GB"/>
        </w:rPr>
      </w:r>
      <w:r w:rsidR="00D406AF">
        <w:rPr>
          <w:iCs/>
          <w:lang w:eastAsia="en-GB"/>
        </w:rPr>
        <w:fldChar w:fldCharType="separate"/>
      </w:r>
      <w:r w:rsidR="00D406AF">
        <w:rPr>
          <w:iCs/>
          <w:lang w:eastAsia="en-GB"/>
        </w:rPr>
        <w:t>[16]</w:t>
      </w:r>
      <w:r w:rsidR="00D406AF">
        <w:rPr>
          <w:iCs/>
          <w:lang w:eastAsia="en-GB"/>
        </w:rPr>
        <w:fldChar w:fldCharType="end"/>
      </w:r>
      <w:r>
        <w:rPr>
          <w:iCs/>
          <w:lang w:eastAsia="en-GB"/>
        </w:rPr>
        <w:t xml:space="preserve"> K-Means algorithm “which seeks an optimal partition of the data by minimising the sum-of-squared-error criterion” </w:t>
      </w:r>
      <w:r w:rsidR="00D406AF">
        <w:rPr>
          <w:iCs/>
          <w:lang w:eastAsia="en-GB"/>
        </w:rPr>
        <w:fldChar w:fldCharType="begin"/>
      </w:r>
      <w:r w:rsidR="00D406AF">
        <w:rPr>
          <w:iCs/>
          <w:lang w:eastAsia="en-GB"/>
        </w:rPr>
        <w:instrText xml:space="preserve"> REF _Ref92556146 \r \h </w:instrText>
      </w:r>
      <w:r w:rsidR="00D406AF">
        <w:rPr>
          <w:iCs/>
          <w:lang w:eastAsia="en-GB"/>
        </w:rPr>
      </w:r>
      <w:r w:rsidR="00D406AF">
        <w:rPr>
          <w:iCs/>
          <w:lang w:eastAsia="en-GB"/>
        </w:rPr>
        <w:fldChar w:fldCharType="separate"/>
      </w:r>
      <w:r w:rsidR="00D406AF">
        <w:rPr>
          <w:iCs/>
          <w:lang w:eastAsia="en-GB"/>
        </w:rPr>
        <w:t>[17]</w:t>
      </w:r>
      <w:r w:rsidR="00D406AF">
        <w:rPr>
          <w:iCs/>
          <w:lang w:eastAsia="en-GB"/>
        </w:rPr>
        <w:fldChar w:fldCharType="end"/>
      </w:r>
      <w:r>
        <w:rPr>
          <w:iCs/>
          <w:lang w:eastAsia="en-GB"/>
        </w:rPr>
        <w:t>,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10</w:t>
      </w:r>
      <w:r w:rsidR="00940B2C">
        <w:rPr>
          <w:iCs/>
          <w:lang w:eastAsia="en-GB"/>
        </w:rPr>
        <w:t xml:space="preserve"> or fewer</w:t>
      </w:r>
      <w:r>
        <w:rPr>
          <w:iCs/>
          <w:lang w:eastAsia="en-GB"/>
        </w:rPr>
        <w:t xml:space="preserve"> clusters seems to be preferable, then any number up to 100 is not too bad and then after that the performance got steadily worse</w:t>
      </w:r>
      <w:r w:rsidR="006300C6">
        <w:rPr>
          <w:iCs/>
          <w:lang w:eastAsia="en-GB"/>
        </w:rPr>
        <w:t xml:space="preserve"> as the number of clusters rose</w:t>
      </w:r>
      <w:r>
        <w:rPr>
          <w:iCs/>
          <w:lang w:eastAsia="en-GB"/>
        </w:rPr>
        <w:t>.</w:t>
      </w:r>
    </w:p>
    <w:p w14:paraId="712827E7" w14:textId="3943546C"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w:t>
      </w:r>
      <w:r w:rsidR="00D406AF">
        <w:rPr>
          <w:lang w:eastAsia="en-GB"/>
        </w:rPr>
        <w:fldChar w:fldCharType="begin"/>
      </w:r>
      <w:r w:rsidR="00D406AF">
        <w:rPr>
          <w:lang w:eastAsia="en-GB"/>
        </w:rPr>
        <w:instrText xml:space="preserve"> REF _Ref92556087 \r \h </w:instrText>
      </w:r>
      <w:r w:rsidR="00D406AF">
        <w:rPr>
          <w:lang w:eastAsia="en-GB"/>
        </w:rPr>
      </w:r>
      <w:r w:rsidR="00D406AF">
        <w:rPr>
          <w:lang w:eastAsia="en-GB"/>
        </w:rPr>
        <w:fldChar w:fldCharType="separate"/>
      </w:r>
      <w:r w:rsidR="00D406AF">
        <w:rPr>
          <w:lang w:eastAsia="en-GB"/>
        </w:rPr>
        <w:t>[14]</w:t>
      </w:r>
      <w:r w:rsidR="00D406AF">
        <w:rPr>
          <w:lang w:eastAsia="en-GB"/>
        </w:rPr>
        <w:fldChar w:fldCharType="end"/>
      </w:r>
      <w:r w:rsidRPr="0052525C">
        <w:rPr>
          <w:lang w:eastAsia="en-GB"/>
        </w:rPr>
        <w:t xml:space="preserve"> silhouette visualizer and </w:t>
      </w:r>
      <w:proofErr w:type="spellStart"/>
      <w:r w:rsidRPr="0052525C">
        <w:rPr>
          <w:lang w:eastAsia="en-GB"/>
        </w:rPr>
        <w:t>GeoPandas</w:t>
      </w:r>
      <w:proofErr w:type="spellEnd"/>
      <w:r w:rsidRPr="0052525C">
        <w:rPr>
          <w:lang w:eastAsia="en-GB"/>
        </w:rPr>
        <w:t xml:space="preserve"> </w:t>
      </w:r>
      <w:r w:rsidR="00D406AF">
        <w:rPr>
          <w:lang w:eastAsia="en-GB"/>
        </w:rPr>
        <w:fldChar w:fldCharType="begin"/>
      </w:r>
      <w:r w:rsidR="00D406AF">
        <w:rPr>
          <w:lang w:eastAsia="en-GB"/>
        </w:rPr>
        <w:instrText xml:space="preserve"> REF _Ref92556172 \r \h </w:instrText>
      </w:r>
      <w:r w:rsidR="00D406AF">
        <w:rPr>
          <w:lang w:eastAsia="en-GB"/>
        </w:rPr>
      </w:r>
      <w:r w:rsidR="00D406AF">
        <w:rPr>
          <w:lang w:eastAsia="en-GB"/>
        </w:rPr>
        <w:fldChar w:fldCharType="separate"/>
      </w:r>
      <w:r w:rsidR="00D406AF">
        <w:rPr>
          <w:lang w:eastAsia="en-GB"/>
        </w:rPr>
        <w:t>[18]</w:t>
      </w:r>
      <w:r w:rsidR="00D406AF">
        <w:rPr>
          <w:lang w:eastAsia="en-GB"/>
        </w:rPr>
        <w:fldChar w:fldCharType="end"/>
      </w:r>
      <w:r w:rsidRPr="0052525C">
        <w:rPr>
          <w:lang w:eastAsia="en-GB"/>
        </w:rPr>
        <w:t xml:space="preserve">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68609456"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w:t>
      </w:r>
      <w:r w:rsidR="00D406AF">
        <w:rPr>
          <w:lang w:eastAsia="en-GB"/>
        </w:rPr>
        <w:fldChar w:fldCharType="begin"/>
      </w:r>
      <w:r w:rsidR="00D406AF">
        <w:rPr>
          <w:lang w:eastAsia="en-GB"/>
        </w:rPr>
        <w:instrText xml:space="preserve"> REF _Ref92556107 \r \h </w:instrText>
      </w:r>
      <w:r w:rsidR="00D406AF">
        <w:rPr>
          <w:lang w:eastAsia="en-GB"/>
        </w:rPr>
      </w:r>
      <w:r w:rsidR="00D406AF">
        <w:rPr>
          <w:lang w:eastAsia="en-GB"/>
        </w:rPr>
        <w:fldChar w:fldCharType="separate"/>
      </w:r>
      <w:r w:rsidR="00D406AF">
        <w:rPr>
          <w:lang w:eastAsia="en-GB"/>
        </w:rPr>
        <w:t>[15]</w:t>
      </w:r>
      <w:r w:rsidR="00D406AF">
        <w:rPr>
          <w:lang w:eastAsia="en-GB"/>
        </w:rPr>
        <w:fldChar w:fldCharType="end"/>
      </w:r>
      <w:r>
        <w:rPr>
          <w:lang w:eastAsia="en-GB"/>
        </w:rPr>
        <w:t xml:space="preserve"> </w:t>
      </w:r>
      <w:proofErr w:type="spellStart"/>
      <w:r>
        <w:rPr>
          <w:lang w:eastAsia="en-GB"/>
        </w:rPr>
        <w:t>adfuller</w:t>
      </w:r>
      <w:proofErr w:type="spellEnd"/>
      <w:r>
        <w:rPr>
          <w:lang w:eastAsia="en-GB"/>
        </w:rPr>
        <w:t xml:space="preserve"> test. From the test statistics we can see that cluster 2 is the most stationary and 3 is the least stationary. </w:t>
      </w:r>
      <w:r w:rsidR="00951B12">
        <w:rPr>
          <w:lang w:eastAsia="en-GB"/>
        </w:rPr>
        <w:t>As the data does not trend around a central figure and the test-statistics are high we reject the stationary hypothesis.</w:t>
      </w:r>
      <w:r>
        <w:rPr>
          <w:lang w:eastAsia="en-GB"/>
        </w:rPr>
        <w:t xml:space="preserve"> </w:t>
      </w:r>
    </w:p>
    <w:p w14:paraId="59BD5309" w14:textId="609BEB0E"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the clusters, taking the first difference we can see that the ACF graph cuts off after the first lag and the PACF tails off</w:t>
      </w:r>
      <w:r w:rsidR="007B010D">
        <w:rPr>
          <w:lang w:eastAsia="en-GB"/>
        </w:rPr>
        <w:t xml:space="preserve"> meaning that we will using an integrated first order moving average flavour of ARIMA model</w:t>
      </w:r>
      <w:r>
        <w:rPr>
          <w:lang w:eastAsia="en-GB"/>
        </w:rPr>
        <w:t xml:space="preserve">. Using the </w:t>
      </w:r>
      <w:proofErr w:type="spellStart"/>
      <w:r>
        <w:rPr>
          <w:lang w:eastAsia="en-GB"/>
        </w:rPr>
        <w:t>pmdarima</w:t>
      </w:r>
      <w:proofErr w:type="spellEnd"/>
      <w:r>
        <w:rPr>
          <w:lang w:eastAsia="en-GB"/>
        </w:rPr>
        <w:t xml:space="preserve"> </w:t>
      </w:r>
      <w:r w:rsidR="00D406AF">
        <w:rPr>
          <w:lang w:eastAsia="en-GB"/>
        </w:rPr>
        <w:fldChar w:fldCharType="begin"/>
      </w:r>
      <w:r w:rsidR="00D406AF">
        <w:rPr>
          <w:lang w:eastAsia="en-GB"/>
        </w:rPr>
        <w:instrText xml:space="preserve"> REF _Ref92556203 \r \h </w:instrText>
      </w:r>
      <w:r w:rsidR="00D406AF">
        <w:rPr>
          <w:lang w:eastAsia="en-GB"/>
        </w:rPr>
      </w:r>
      <w:r w:rsidR="00D406AF">
        <w:rPr>
          <w:lang w:eastAsia="en-GB"/>
        </w:rPr>
        <w:fldChar w:fldCharType="separate"/>
      </w:r>
      <w:r w:rsidR="00D406AF">
        <w:rPr>
          <w:lang w:eastAsia="en-GB"/>
        </w:rPr>
        <w:t>[19]</w:t>
      </w:r>
      <w:r w:rsidR="00D406AF">
        <w:rPr>
          <w:lang w:eastAsia="en-GB"/>
        </w:rPr>
        <w:fldChar w:fldCharType="end"/>
      </w:r>
      <w:r>
        <w:rPr>
          <w:lang w:eastAsia="en-GB"/>
        </w:rPr>
        <w:t xml:space="preserve">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 xml:space="preserve">he computer disagrees for clusters 2 and 3, but their numbers are not that different to the others. </w:t>
      </w:r>
      <w:r w:rsidR="00FB3C06">
        <w:rPr>
          <w:lang w:eastAsia="en-GB"/>
        </w:rPr>
        <w:t>So,</w:t>
      </w:r>
      <w:r>
        <w:rPr>
          <w:lang w:eastAsia="en-GB"/>
        </w:rPr>
        <w:t xml:space="preserve">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lastRenderedPageBreak/>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FA3ECF">
        <w:fldChar w:fldCharType="begin"/>
      </w:r>
      <w:r w:rsidR="00FA3ECF">
        <w:instrText xml:space="preserve"> SEQ Figure \* ARABIC </w:instrText>
      </w:r>
      <w:r w:rsidR="00FA3ECF">
        <w:fldChar w:fldCharType="separate"/>
      </w:r>
      <w:r w:rsidR="00ED27A2">
        <w:rPr>
          <w:noProof/>
        </w:rPr>
        <w:t>4</w:t>
      </w:r>
      <w:r w:rsidR="00FA3ECF">
        <w:rPr>
          <w:noProof/>
        </w:rPr>
        <w:fldChar w:fldCharType="end"/>
      </w:r>
      <w:r>
        <w:t>-Potential number of clusters versus average silhouette score</w:t>
      </w:r>
    </w:p>
    <w:p w14:paraId="08703F9D" w14:textId="403BF876" w:rsidR="001A7E71" w:rsidRDefault="001A7E71" w:rsidP="001A7E71">
      <w:pPr>
        <w:keepNext/>
      </w:pPr>
      <w:r>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FA3ECF">
        <w:fldChar w:fldCharType="begin"/>
      </w:r>
      <w:r w:rsidR="00FA3ECF">
        <w:instrText xml:space="preserve"> SEQ Figure \* ARABIC </w:instrText>
      </w:r>
      <w:r w:rsidR="00FA3ECF">
        <w:fldChar w:fldCharType="separate"/>
      </w:r>
      <w:r w:rsidR="00ED27A2">
        <w:rPr>
          <w:noProof/>
        </w:rPr>
        <w:t>5</w:t>
      </w:r>
      <w:r w:rsidR="00FA3ECF">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2D46E887" w14:textId="57B7A1FB" w:rsidR="00184F25" w:rsidRDefault="00184F25" w:rsidP="00184F25">
      <w:pPr>
        <w:pStyle w:val="Caption"/>
      </w:pPr>
      <w:r>
        <w:t xml:space="preserve">Fig. </w:t>
      </w:r>
      <w:r w:rsidR="00FA3ECF">
        <w:fldChar w:fldCharType="begin"/>
      </w:r>
      <w:r w:rsidR="00FA3ECF">
        <w:instrText xml:space="preserve"> SEQ Figure \* ARABIC </w:instrText>
      </w:r>
      <w:r w:rsidR="00FA3ECF">
        <w:fldChar w:fldCharType="separate"/>
      </w:r>
      <w:r w:rsidR="00ED27A2">
        <w:rPr>
          <w:noProof/>
        </w:rPr>
        <w:t>6</w:t>
      </w:r>
      <w:r w:rsidR="00FA3ECF">
        <w:rPr>
          <w:noProof/>
        </w:rPr>
        <w:fldChar w:fldCharType="end"/>
      </w:r>
      <w:r>
        <w:t>-Cluster Time-Series</w:t>
      </w:r>
    </w:p>
    <w:p w14:paraId="3ACDEF3A" w14:textId="095F6422" w:rsidR="006C7373" w:rsidRPr="006C7373" w:rsidRDefault="006C7373" w:rsidP="006C7373">
      <w:r>
        <w:rPr>
          <w:lang w:eastAsia="en-GB"/>
        </w:rPr>
        <w:t>In making the ARIMA models it does not appear that they are able to</w:t>
      </w:r>
      <w:r w:rsidRPr="007B010D">
        <w:rPr>
          <w:lang w:val="en-GB" w:eastAsia="en-GB"/>
        </w:rPr>
        <w:t xml:space="preserve"> generalise</w:t>
      </w:r>
      <w:r>
        <w:rPr>
          <w:lang w:eastAsia="en-GB"/>
        </w:rPr>
        <w:t xml:space="preserve"> to the test data (4/10/21 – 28/12/21). Effectively deleting the erroneous records for 1/7/20 improves upon the fit, but the model failed to predict anything other than a straight line for the number of cases. Using the weekly data does not improve this and the residual fit is only moderately improved by getting rid of the over-correction on the 1/7/20’s case data. So, it appears that the ARIMA model is not appropriate for predicting the number of new cases.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FA3ECF">
        <w:fldChar w:fldCharType="begin"/>
      </w:r>
      <w:r w:rsidR="00FA3ECF">
        <w:instrText xml:space="preserve"> SEQ Figure \* ARABIC </w:instrText>
      </w:r>
      <w:r w:rsidR="00FA3ECF">
        <w:fldChar w:fldCharType="separate"/>
      </w:r>
      <w:r w:rsidR="00ED27A2">
        <w:rPr>
          <w:noProof/>
        </w:rPr>
        <w:t>7</w:t>
      </w:r>
      <w:r w:rsidR="00FA3ECF">
        <w:rPr>
          <w:noProof/>
        </w:rPr>
        <w:fldChar w:fldCharType="end"/>
      </w:r>
      <w:r>
        <w:t>-XGB Cluster 2</w:t>
      </w:r>
    </w:p>
    <w:p w14:paraId="49235035" w14:textId="64612916" w:rsidR="0001351C" w:rsidRDefault="0001351C" w:rsidP="0001351C">
      <w:pPr>
        <w:pStyle w:val="Body"/>
        <w:rPr>
          <w:lang w:eastAsia="en-GB"/>
        </w:rPr>
      </w:pPr>
      <w:r>
        <w:rPr>
          <w:lang w:eastAsia="en-GB"/>
        </w:rPr>
        <w:t xml:space="preserve">In making the XGB regression model (figure 7) using </w:t>
      </w:r>
      <w:r w:rsidR="00B258E7">
        <w:rPr>
          <w:lang w:eastAsia="en-GB"/>
        </w:rPr>
        <w:fldChar w:fldCharType="begin"/>
      </w:r>
      <w:r w:rsidR="00B258E7">
        <w:rPr>
          <w:lang w:eastAsia="en-GB"/>
        </w:rPr>
        <w:instrText xml:space="preserve"> REF _Ref92556248 \r \h </w:instrText>
      </w:r>
      <w:r w:rsidR="00B258E7">
        <w:rPr>
          <w:lang w:eastAsia="en-GB"/>
        </w:rPr>
      </w:r>
      <w:r w:rsidR="00B258E7">
        <w:rPr>
          <w:lang w:eastAsia="en-GB"/>
        </w:rPr>
        <w:fldChar w:fldCharType="separate"/>
      </w:r>
      <w:r w:rsidR="00B258E7">
        <w:rPr>
          <w:lang w:eastAsia="en-GB"/>
        </w:rPr>
        <w:t>[20]</w:t>
      </w:r>
      <w:r w:rsidR="00B258E7">
        <w:rPr>
          <w:lang w:eastAsia="en-GB"/>
        </w:rPr>
        <w:fldChar w:fldCharType="end"/>
      </w:r>
      <w:r>
        <w:rPr>
          <w:lang w:eastAsia="en-GB"/>
        </w:rPr>
        <w:t xml:space="preserve">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lastRenderedPageBreak/>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FA3ECF">
        <w:fldChar w:fldCharType="begin"/>
      </w:r>
      <w:r w:rsidR="00FA3ECF">
        <w:instrText xml:space="preserve"> SEQ Figure \* ARABIC </w:instrText>
      </w:r>
      <w:r w:rsidR="00FA3ECF">
        <w:fldChar w:fldCharType="separate"/>
      </w:r>
      <w:r w:rsidR="00ED27A2">
        <w:rPr>
          <w:noProof/>
        </w:rPr>
        <w:t>8</w:t>
      </w:r>
      <w:r w:rsidR="00FA3ECF">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FA3ECF">
        <w:fldChar w:fldCharType="begin"/>
      </w:r>
      <w:r w:rsidR="00FA3ECF">
        <w:instrText xml:space="preserve"> SEQ Figure \* ARABIC </w:instrText>
      </w:r>
      <w:r w:rsidR="00FA3ECF">
        <w:fldChar w:fldCharType="separate"/>
      </w:r>
      <w:r w:rsidR="00ED27A2">
        <w:rPr>
          <w:noProof/>
        </w:rPr>
        <w:t>9</w:t>
      </w:r>
      <w:r w:rsidR="00FA3ECF">
        <w:rPr>
          <w:noProof/>
        </w:rPr>
        <w:fldChar w:fldCharType="end"/>
      </w:r>
      <w:r>
        <w:t>-Monthly Proportional case data</w:t>
      </w:r>
    </w:p>
    <w:p w14:paraId="3FEAD688" w14:textId="64B97197" w:rsidR="0001351C" w:rsidRDefault="0001351C" w:rsidP="00ED27A2">
      <w:pPr>
        <w:pStyle w:val="Body"/>
        <w:rPr>
          <w:lang w:eastAsia="en-GB"/>
        </w:rPr>
      </w:pPr>
      <w:r>
        <w:rPr>
          <w:lang w:eastAsia="en-GB"/>
        </w:rPr>
        <w:t>Looking at the case age data we can see that most of the age groups follow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w:t>
      </w:r>
      <w:r w:rsidR="00FB3C06">
        <w:rPr>
          <w:lang w:eastAsia="en-GB"/>
        </w:rPr>
        <w:t>the younger population,</w:t>
      </w:r>
      <w:r>
        <w:rPr>
          <w:lang w:eastAsia="en-GB"/>
        </w:rPr>
        <w:t xml:space="preserv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39478C57" w:rsidR="00ED27A2" w:rsidRDefault="00ED27A2" w:rsidP="00ED27A2">
      <w:pPr>
        <w:pStyle w:val="Body"/>
        <w:rPr>
          <w:lang w:eastAsia="en-GB"/>
        </w:rPr>
      </w:pPr>
      <w:r w:rsidRPr="00246422">
        <w:rPr>
          <w:lang w:eastAsia="en-GB"/>
        </w:rPr>
        <w:t>None of the census variables have an especially strong relationship with the death figures, but this may</w:t>
      </w:r>
      <w:r w:rsidR="00FB3C06">
        <w:rPr>
          <w:lang w:eastAsia="en-GB"/>
        </w:rPr>
        <w:t xml:space="preserve"> </w:t>
      </w:r>
      <w:r w:rsidRPr="00246422">
        <w:rPr>
          <w:lang w:eastAsia="en-GB"/>
        </w:rPr>
        <w:t>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 xml:space="preserve">For the first and second vaccine dose rates, none of the census variables appear to have any more than a negligible effect on the rate (most of the graphs are relatively flat lines). </w:t>
      </w:r>
      <w:r>
        <w:rPr>
          <w:lang w:eastAsia="en-GB"/>
        </w:rPr>
        <w:t>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16F19D8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w:t>
      </w:r>
      <w:r w:rsidR="006C7373">
        <w:rPr>
          <w:iCs/>
          <w:lang w:eastAsia="en-GB"/>
        </w:rPr>
        <w:t>-19</w:t>
      </w:r>
      <w:r>
        <w:rPr>
          <w:iCs/>
          <w:lang w:eastAsia="en-GB"/>
        </w:rPr>
        <w:t xml:space="preserve"> rates have high numbers of people with bad health conditions.</w:t>
      </w:r>
    </w:p>
    <w:p w14:paraId="62116981" w14:textId="7FBC1B6E"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r w:rsidR="006C7373">
        <w:rPr>
          <w:iCs/>
          <w:lang w:eastAsia="en-GB"/>
        </w:rPr>
        <w:t xml:space="preserve"> (differing infection and survival rates)</w:t>
      </w:r>
      <w:r>
        <w:rPr>
          <w:iCs/>
          <w:lang w:eastAsia="en-GB"/>
        </w:rPr>
        <w:t>.</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3FC8CB71"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w:t>
      </w:r>
      <w:r w:rsidR="006C7373">
        <w:rPr>
          <w:lang w:eastAsia="en-GB"/>
        </w:rPr>
        <w:t xml:space="preserve">in terms of </w:t>
      </w:r>
      <w:r>
        <w:rPr>
          <w:lang w:eastAsia="en-GB"/>
        </w:rPr>
        <w:t>relationships back to the census figures.</w:t>
      </w:r>
    </w:p>
    <w:p w14:paraId="04E90B46" w14:textId="77777777" w:rsidR="00ED27A2" w:rsidRDefault="00ED27A2" w:rsidP="00ED27A2">
      <w:pPr>
        <w:pStyle w:val="Body"/>
        <w:keepNext/>
      </w:pPr>
      <w:r>
        <w:rPr>
          <w:iCs/>
          <w:noProof/>
          <w:lang w:eastAsia="en-GB"/>
        </w:rPr>
        <w:lastRenderedPageBreak/>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FA3ECF">
        <w:fldChar w:fldCharType="begin"/>
      </w:r>
      <w:r w:rsidR="00FA3ECF">
        <w:instrText xml:space="preserve"> SEQ Figure \* ARABIC </w:instrText>
      </w:r>
      <w:r w:rsidR="00FA3ECF">
        <w:fldChar w:fldCharType="separate"/>
      </w:r>
      <w:r>
        <w:rPr>
          <w:noProof/>
        </w:rPr>
        <w:t>10</w:t>
      </w:r>
      <w:r w:rsidR="00FA3ECF">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FA3ECF">
        <w:fldChar w:fldCharType="begin"/>
      </w:r>
      <w:r w:rsidR="00FA3ECF">
        <w:instrText xml:space="preserve"> SEQ Figure \* ARABIC </w:instrText>
      </w:r>
      <w:r w:rsidR="00FA3ECF">
        <w:fldChar w:fldCharType="separate"/>
      </w:r>
      <w:r>
        <w:rPr>
          <w:noProof/>
        </w:rPr>
        <w:t>11</w:t>
      </w:r>
      <w:r w:rsidR="00FA3ECF">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2DBB88B"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r w:rsidR="003C268B">
        <w:rPr>
          <w:lang w:eastAsia="en-GB"/>
        </w:rPr>
        <w:t xml:space="preserve"> We had also tried a Support Vector Regression model, which also failed to map to the data.</w:t>
      </w:r>
    </w:p>
    <w:p w14:paraId="5D3CA916" w14:textId="1737528C"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w:t>
      </w:r>
      <w:r w:rsidR="00B258E7">
        <w:rPr>
          <w:lang w:eastAsia="en-GB"/>
        </w:rPr>
        <w:fldChar w:fldCharType="begin"/>
      </w:r>
      <w:r w:rsidR="00B258E7">
        <w:rPr>
          <w:lang w:eastAsia="en-GB"/>
        </w:rPr>
        <w:instrText xml:space="preserve"> REF _Ref92555959 \r \h </w:instrText>
      </w:r>
      <w:r w:rsidR="00B258E7">
        <w:rPr>
          <w:lang w:eastAsia="en-GB"/>
        </w:rPr>
      </w:r>
      <w:r w:rsidR="00B258E7">
        <w:rPr>
          <w:lang w:eastAsia="en-GB"/>
        </w:rPr>
        <w:fldChar w:fldCharType="separate"/>
      </w:r>
      <w:r w:rsidR="00B258E7">
        <w:rPr>
          <w:lang w:eastAsia="en-GB"/>
        </w:rPr>
        <w:t>[8]</w:t>
      </w:r>
      <w:r w:rsidR="00B258E7">
        <w:rPr>
          <w:lang w:eastAsia="en-GB"/>
        </w:rPr>
        <w:fldChar w:fldCharType="end"/>
      </w:r>
      <w:r>
        <w:rPr>
          <w:lang w:eastAsia="en-GB"/>
        </w:rPr>
        <w:t xml:space="preserve">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CA5C0A8" w:rsidR="00141153" w:rsidRDefault="00EE2399"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258FF52A" w:rsidR="00141153" w:rsidRDefault="006C737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2B352A5" w:rsidR="00141153" w:rsidRDefault="00ED27A2" w:rsidP="00141153">
            <w:pPr>
              <w:jc w:val="right"/>
              <w:rPr>
                <w:lang w:eastAsia="en-GB"/>
              </w:rPr>
            </w:pPr>
            <w:r>
              <w:rPr>
                <w:lang w:eastAsia="en-GB"/>
              </w:rPr>
              <w:t>4</w:t>
            </w:r>
            <w:r w:rsidR="00EE2399">
              <w:rPr>
                <w:lang w:eastAsia="en-GB"/>
              </w:rPr>
              <w:t>73</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2A11462" w:rsidR="00141153" w:rsidRDefault="005A1379"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B410588" w:rsidR="00141153" w:rsidRDefault="00141153" w:rsidP="00141153">
            <w:pPr>
              <w:jc w:val="right"/>
              <w:rPr>
                <w:lang w:eastAsia="en-GB"/>
              </w:rPr>
            </w:pPr>
            <w:r>
              <w:rPr>
                <w:lang w:eastAsia="en-GB"/>
              </w:rPr>
              <w:t>1</w:t>
            </w:r>
            <w:r w:rsidR="001F15A3">
              <w:rPr>
                <w:lang w:eastAsia="en-GB"/>
              </w:rPr>
              <w:t>4</w:t>
            </w:r>
            <w:r w:rsidR="00EB334A">
              <w:rPr>
                <w:lang w:eastAsia="en-GB"/>
              </w:rPr>
              <w:t>76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1F20179" w:rsidR="00141153" w:rsidRDefault="00ED27A2" w:rsidP="00141153">
            <w:pPr>
              <w:jc w:val="right"/>
              <w:rPr>
                <w:lang w:eastAsia="en-GB"/>
              </w:rPr>
            </w:pPr>
            <w:r>
              <w:rPr>
                <w:lang w:eastAsia="en-GB"/>
              </w:rPr>
              <w:t>1</w:t>
            </w:r>
            <w:r w:rsidR="006C7373">
              <w:rPr>
                <w:lang w:eastAsia="en-GB"/>
              </w:rPr>
              <w:t>94</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lastRenderedPageBreak/>
              <w:t>Critical reflection</w:t>
            </w:r>
          </w:p>
        </w:tc>
        <w:tc>
          <w:tcPr>
            <w:tcW w:w="1275" w:type="dxa"/>
          </w:tcPr>
          <w:p w14:paraId="29D3907A" w14:textId="30671DFE" w:rsidR="00141153" w:rsidRDefault="00ED27A2" w:rsidP="00141153">
            <w:pPr>
              <w:jc w:val="right"/>
              <w:rPr>
                <w:lang w:eastAsia="en-GB"/>
              </w:rPr>
            </w:pPr>
            <w:r>
              <w:rPr>
                <w:lang w:eastAsia="en-GB"/>
              </w:rPr>
              <w:t>4</w:t>
            </w:r>
            <w:r w:rsidR="003C268B">
              <w:rPr>
                <w:lang w:eastAsia="en-GB"/>
              </w:rPr>
              <w:t>84</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1"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1"/>
    </w:p>
    <w:p w14:paraId="68D620DB" w14:textId="77777777" w:rsidR="00ED27A2" w:rsidRDefault="00ED27A2" w:rsidP="00ED27A2">
      <w:pPr>
        <w:pStyle w:val="Reference"/>
        <w:numPr>
          <w:ilvl w:val="0"/>
          <w:numId w:val="6"/>
        </w:numPr>
        <w:rPr>
          <w:lang w:val="en-GB"/>
        </w:rPr>
      </w:pPr>
      <w:bookmarkStart w:id="2" w:name="_Ref92556000"/>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bookmarkEnd w:id="2"/>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bookmarkStart w:id="3" w:name="_Ref92556031"/>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bookmarkEnd w:id="3"/>
    </w:p>
    <w:p w14:paraId="6814CA61" w14:textId="77777777" w:rsidR="00ED27A2" w:rsidRDefault="00ED27A2" w:rsidP="00ED27A2">
      <w:pPr>
        <w:pStyle w:val="Reference"/>
        <w:numPr>
          <w:ilvl w:val="0"/>
          <w:numId w:val="6"/>
        </w:numPr>
        <w:rPr>
          <w:szCs w:val="24"/>
        </w:rPr>
      </w:pPr>
      <w:bookmarkStart w:id="4" w:name="_Ref92556042"/>
      <w:r>
        <w:t xml:space="preserve">‘Pandas - Python Data Analysis Library’. Accessed 30 December 2021. </w:t>
      </w:r>
      <w:hyperlink r:id="rId24" w:history="1">
        <w:r>
          <w:rPr>
            <w:rStyle w:val="Hyperlink"/>
          </w:rPr>
          <w:t>https://pandas.pydata.org/</w:t>
        </w:r>
      </w:hyperlink>
      <w:r>
        <w:t>.</w:t>
      </w:r>
      <w:bookmarkEnd w:id="4"/>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bookmarkStart w:id="5" w:name="_Ref92555959"/>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bookmarkEnd w:id="5"/>
    </w:p>
    <w:p w14:paraId="7B520895" w14:textId="77777777" w:rsidR="00ED27A2" w:rsidRDefault="00ED27A2" w:rsidP="00ED27A2">
      <w:pPr>
        <w:pStyle w:val="Reference"/>
        <w:numPr>
          <w:ilvl w:val="0"/>
          <w:numId w:val="6"/>
        </w:numPr>
        <w:rPr>
          <w:lang w:val="en-GB"/>
        </w:rPr>
      </w:pPr>
      <w:bookmarkStart w:id="6" w:name="_Ref92555976"/>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bookmarkEnd w:id="6"/>
    </w:p>
    <w:p w14:paraId="15202927" w14:textId="77777777" w:rsidR="00ED27A2" w:rsidRDefault="00ED27A2" w:rsidP="00ED27A2">
      <w:pPr>
        <w:pStyle w:val="Reference"/>
        <w:numPr>
          <w:ilvl w:val="0"/>
          <w:numId w:val="6"/>
        </w:numPr>
        <w:rPr>
          <w:lang w:val="en-GB"/>
        </w:rPr>
      </w:pPr>
      <w:bookmarkStart w:id="7" w:name="_Ref92555988"/>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bookmarkEnd w:id="7"/>
    </w:p>
    <w:p w14:paraId="0DD77BBD" w14:textId="77777777" w:rsidR="00ED27A2" w:rsidRDefault="00ED27A2" w:rsidP="00ED27A2">
      <w:pPr>
        <w:pStyle w:val="Reference"/>
        <w:numPr>
          <w:ilvl w:val="0"/>
          <w:numId w:val="6"/>
        </w:numPr>
        <w:rPr>
          <w:lang w:val="en-GB"/>
        </w:rPr>
      </w:pPr>
      <w:bookmarkStart w:id="8" w:name="_Ref92555950"/>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bookmarkEnd w:id="8"/>
    </w:p>
    <w:p w14:paraId="1EB2A87A" w14:textId="77777777" w:rsidR="00ED27A2" w:rsidRDefault="00ED27A2" w:rsidP="00ED27A2">
      <w:pPr>
        <w:pStyle w:val="Reference"/>
        <w:numPr>
          <w:ilvl w:val="0"/>
          <w:numId w:val="6"/>
        </w:numPr>
        <w:rPr>
          <w:lang w:val="en-GB"/>
        </w:rPr>
      </w:pPr>
      <w:bookmarkStart w:id="9" w:name="_Ref92556065"/>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bookmarkEnd w:id="9"/>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2"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bookmarkStart w:id="10" w:name="_Ref92556087"/>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3" w:history="1">
        <w:r w:rsidRPr="00760219">
          <w:rPr>
            <w:rStyle w:val="Hyperlink"/>
            <w:lang w:val="en-GB"/>
          </w:rPr>
          <w:t>https://www.scikit-yb.org/en/latest/index.html</w:t>
        </w:r>
      </w:hyperlink>
      <w:r w:rsidRPr="00F63F50">
        <w:rPr>
          <w:lang w:val="en-GB"/>
        </w:rPr>
        <w:t>.</w:t>
      </w:r>
      <w:bookmarkEnd w:id="10"/>
    </w:p>
    <w:p w14:paraId="4FA62B04" w14:textId="77777777" w:rsidR="00ED27A2" w:rsidRDefault="00ED27A2" w:rsidP="00ED27A2">
      <w:pPr>
        <w:pStyle w:val="Reference"/>
        <w:numPr>
          <w:ilvl w:val="0"/>
          <w:numId w:val="6"/>
        </w:numPr>
        <w:rPr>
          <w:lang w:val="en-GB"/>
        </w:rPr>
      </w:pPr>
      <w:bookmarkStart w:id="11" w:name="_Ref92556107"/>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4" w:history="1">
        <w:r w:rsidRPr="00760219">
          <w:rPr>
            <w:rStyle w:val="Hyperlink"/>
            <w:lang w:val="en-GB"/>
          </w:rPr>
          <w:t>https://www.statsmodels.org/dev/index.html</w:t>
        </w:r>
      </w:hyperlink>
      <w:r w:rsidRPr="00017B17">
        <w:rPr>
          <w:lang w:val="en-GB"/>
        </w:rPr>
        <w:t>.</w:t>
      </w:r>
      <w:bookmarkEnd w:id="11"/>
    </w:p>
    <w:p w14:paraId="34CD17EA" w14:textId="77777777" w:rsidR="00ED27A2" w:rsidRDefault="00ED27A2" w:rsidP="00ED27A2">
      <w:pPr>
        <w:pStyle w:val="Reference"/>
        <w:numPr>
          <w:ilvl w:val="0"/>
          <w:numId w:val="6"/>
        </w:numPr>
        <w:rPr>
          <w:lang w:val="en-GB"/>
        </w:rPr>
      </w:pPr>
      <w:bookmarkStart w:id="12" w:name="_Ref92556132"/>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bookmarkEnd w:id="12"/>
    </w:p>
    <w:p w14:paraId="3B1B2F38" w14:textId="77777777" w:rsidR="00ED27A2" w:rsidRDefault="00ED27A2" w:rsidP="00ED27A2">
      <w:pPr>
        <w:pStyle w:val="Reference"/>
        <w:numPr>
          <w:ilvl w:val="0"/>
          <w:numId w:val="6"/>
        </w:numPr>
        <w:rPr>
          <w:lang w:val="en-GB"/>
        </w:rPr>
      </w:pPr>
      <w:bookmarkStart w:id="13" w:name="_Ref92556146"/>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bookmarkEnd w:id="13"/>
    </w:p>
    <w:p w14:paraId="1CEF4E90" w14:textId="77777777" w:rsidR="00ED27A2" w:rsidRDefault="00ED27A2" w:rsidP="00ED27A2">
      <w:pPr>
        <w:pStyle w:val="Reference"/>
        <w:numPr>
          <w:ilvl w:val="0"/>
          <w:numId w:val="6"/>
        </w:numPr>
        <w:rPr>
          <w:lang w:val="en-GB"/>
        </w:rPr>
      </w:pPr>
      <w:bookmarkStart w:id="14" w:name="_Ref92556172"/>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7" w:history="1">
        <w:r w:rsidRPr="000E1427">
          <w:rPr>
            <w:rStyle w:val="Hyperlink"/>
            <w:lang w:val="en-GB"/>
          </w:rPr>
          <w:t>https://geopandas.org/en/v0.8.2/index.html</w:t>
        </w:r>
      </w:hyperlink>
      <w:r w:rsidRPr="0022627D">
        <w:rPr>
          <w:lang w:val="en-GB"/>
        </w:rPr>
        <w:t>.</w:t>
      </w:r>
      <w:bookmarkEnd w:id="14"/>
    </w:p>
    <w:p w14:paraId="23A5AE46" w14:textId="77777777" w:rsidR="00ED27A2" w:rsidRDefault="00ED27A2" w:rsidP="00ED27A2">
      <w:pPr>
        <w:pStyle w:val="Reference"/>
        <w:numPr>
          <w:ilvl w:val="0"/>
          <w:numId w:val="6"/>
        </w:numPr>
        <w:rPr>
          <w:lang w:val="en-GB"/>
        </w:rPr>
      </w:pPr>
      <w:bookmarkStart w:id="15" w:name="_Ref92556203"/>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8" w:history="1">
        <w:r w:rsidRPr="00987F93">
          <w:rPr>
            <w:rStyle w:val="Hyperlink"/>
            <w:lang w:val="en-GB"/>
          </w:rPr>
          <w:t>http://alkaline-ml.com/pmdarima</w:t>
        </w:r>
      </w:hyperlink>
      <w:r w:rsidRPr="001E78F2">
        <w:rPr>
          <w:lang w:val="en-GB"/>
        </w:rPr>
        <w:t>.</w:t>
      </w:r>
      <w:bookmarkEnd w:id="15"/>
    </w:p>
    <w:p w14:paraId="261B839B" w14:textId="77777777" w:rsidR="00ED27A2" w:rsidRDefault="00ED27A2" w:rsidP="00ED27A2">
      <w:pPr>
        <w:pStyle w:val="Reference"/>
        <w:numPr>
          <w:ilvl w:val="0"/>
          <w:numId w:val="6"/>
        </w:numPr>
        <w:rPr>
          <w:lang w:val="en-GB"/>
        </w:rPr>
      </w:pPr>
      <w:bookmarkStart w:id="16" w:name="_Ref92556248"/>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9" w:history="1">
        <w:r w:rsidRPr="006130BE">
          <w:rPr>
            <w:rStyle w:val="Hyperlink"/>
            <w:lang w:val="en-GB"/>
          </w:rPr>
          <w:t>https://xgboost.readthedocs.io/en/stable/</w:t>
        </w:r>
      </w:hyperlink>
      <w:r w:rsidRPr="00B54533">
        <w:rPr>
          <w:lang w:val="en-GB"/>
        </w:rPr>
        <w:t>.</w:t>
      </w:r>
      <w:bookmarkEnd w:id="16"/>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1"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2"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w:t>
      </w:r>
      <w:proofErr w:type="spellStart"/>
      <w:r>
        <w:t>Droettboom</w:t>
      </w:r>
      <w:proofErr w:type="spellEnd"/>
      <w:r>
        <w:t xml:space="preserve">, and Matplotlib development team. ‘Matplotlib — Visualization with Python’, 2012. </w:t>
      </w:r>
      <w:hyperlink r:id="rId43"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w:t>
      </w:r>
      <w:proofErr w:type="spellStart"/>
      <w:r w:rsidRPr="00A22816">
        <w:rPr>
          <w:lang w:val="en-GB"/>
        </w:rPr>
        <w:t>Jupyter</w:t>
      </w:r>
      <w:proofErr w:type="spellEnd"/>
      <w:r w:rsidRPr="00A22816">
        <w:rPr>
          <w:lang w:val="en-GB"/>
        </w:rPr>
        <w:t>. ‘</w:t>
      </w:r>
      <w:proofErr w:type="spellStart"/>
      <w:r w:rsidRPr="00A22816">
        <w:rPr>
          <w:lang w:val="en-GB"/>
        </w:rPr>
        <w:t>Ipywidgets</w:t>
      </w:r>
      <w:proofErr w:type="spellEnd"/>
      <w:r w:rsidRPr="00A22816">
        <w:rPr>
          <w:lang w:val="en-GB"/>
        </w:rPr>
        <w:t xml:space="preserve">’, 2017. </w:t>
      </w:r>
      <w:hyperlink r:id="rId44"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w:t>
      </w:r>
      <w:proofErr w:type="spellStart"/>
      <w:r w:rsidRPr="00F07B78">
        <w:rPr>
          <w:lang w:val="en-GB"/>
        </w:rPr>
        <w:t>Jupyter</w:t>
      </w:r>
      <w:proofErr w:type="spellEnd"/>
      <w:r w:rsidRPr="00F07B78">
        <w:rPr>
          <w:lang w:val="en-GB"/>
        </w:rPr>
        <w:t>. ‘</w:t>
      </w:r>
      <w:proofErr w:type="spellStart"/>
      <w:r w:rsidRPr="00F07B78">
        <w:rPr>
          <w:lang w:val="en-GB"/>
        </w:rPr>
        <w:t>Jupyter</w:t>
      </w:r>
      <w:proofErr w:type="spellEnd"/>
      <w:r w:rsidRPr="00F07B78">
        <w:rPr>
          <w:lang w:val="en-GB"/>
        </w:rPr>
        <w:t xml:space="preserve">-Labs’, 2014. </w:t>
      </w:r>
      <w:hyperlink r:id="rId45"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6"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7"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Wickham, Hadley, Romain François, Lionel Henry, and Kirill Müller. ‘</w:t>
      </w:r>
      <w:proofErr w:type="spellStart"/>
      <w:r w:rsidRPr="009606F0">
        <w:rPr>
          <w:lang w:val="en-GB"/>
        </w:rPr>
        <w:t>Dplyr</w:t>
      </w:r>
      <w:proofErr w:type="spellEnd"/>
      <w:r w:rsidRPr="009606F0">
        <w:rPr>
          <w:lang w:val="en-GB"/>
        </w:rPr>
        <w:t xml:space="preserve">’, 2018. </w:t>
      </w:r>
      <w:hyperlink r:id="rId48" w:history="1">
        <w:r w:rsidRPr="00037272">
          <w:rPr>
            <w:rStyle w:val="Hyperlink"/>
            <w:lang w:val="en-GB"/>
          </w:rPr>
          <w:t>https://dplyr.tidyverse.org/</w:t>
        </w:r>
      </w:hyperlink>
      <w:r w:rsidRPr="009606F0">
        <w:rPr>
          <w:lang w:val="en-GB"/>
        </w:rPr>
        <w:t>.</w:t>
      </w:r>
    </w:p>
    <w:p w14:paraId="0F583450" w14:textId="13D7F975" w:rsidR="0011166F" w:rsidRDefault="0011166F" w:rsidP="00F07B78">
      <w:pPr>
        <w:pStyle w:val="Reference"/>
        <w:numPr>
          <w:ilvl w:val="0"/>
          <w:numId w:val="6"/>
        </w:numPr>
        <w:rPr>
          <w:lang w:val="en-GB"/>
        </w:rPr>
      </w:pPr>
      <w:bookmarkStart w:id="17" w:name="_Ref92555907"/>
      <w:r w:rsidRPr="0011166F">
        <w:rPr>
          <w:lang w:val="en-GB"/>
        </w:rPr>
        <w:t xml:space="preserve">ONS. ‘Population Dataset - Excluding MSOAs’. Gov.Uk, 05 2021. </w:t>
      </w:r>
      <w:hyperlink r:id="rId49" w:history="1">
        <w:r w:rsidRPr="00037272">
          <w:rPr>
            <w:rStyle w:val="Hyperlink"/>
            <w:lang w:val="en-GB"/>
          </w:rPr>
          <w:t>https://coronavirus.data.gov.uk/downloads/supplements/ONS-population_2021-08-05.csv</w:t>
        </w:r>
      </w:hyperlink>
      <w:r w:rsidRPr="0011166F">
        <w:rPr>
          <w:lang w:val="en-GB"/>
        </w:rPr>
        <w:t>.</w:t>
      </w:r>
      <w:bookmarkEnd w:id="17"/>
    </w:p>
    <w:p w14:paraId="754FE86F" w14:textId="77777777" w:rsidR="005A1AD2" w:rsidRDefault="005A1AD2" w:rsidP="005A1AD2">
      <w:pPr>
        <w:pStyle w:val="Reference"/>
        <w:rPr>
          <w:szCs w:val="24"/>
        </w:rPr>
      </w:pPr>
      <w:r>
        <w:t xml:space="preserve">Fulton, James. ‘ARIMA Models in Python’. ARIMA Models in Python, 2021. </w:t>
      </w:r>
      <w:hyperlink r:id="rId50" w:history="1">
        <w:r>
          <w:rPr>
            <w:rStyle w:val="Hyperlink"/>
          </w:rPr>
          <w:t>https://app.datacamp.com/learn/courses/arima-models-in-python</w:t>
        </w:r>
      </w:hyperlink>
      <w: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lastRenderedPageBreak/>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0DE57" w14:textId="77777777" w:rsidR="00FA3ECF" w:rsidRDefault="00FA3ECF" w:rsidP="0023500F">
      <w:r>
        <w:separator/>
      </w:r>
    </w:p>
  </w:endnote>
  <w:endnote w:type="continuationSeparator" w:id="0">
    <w:p w14:paraId="5E124DE1" w14:textId="77777777" w:rsidR="00FA3ECF" w:rsidRDefault="00FA3ECF"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921E" w14:textId="77777777" w:rsidR="00FA3ECF" w:rsidRDefault="00FA3ECF" w:rsidP="0023500F">
      <w:r>
        <w:separator/>
      </w:r>
    </w:p>
  </w:footnote>
  <w:footnote w:type="continuationSeparator" w:id="0">
    <w:p w14:paraId="762BB60D" w14:textId="77777777" w:rsidR="00FA3ECF" w:rsidRDefault="00FA3ECF"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4AA9"/>
    <w:rsid w:val="000352B6"/>
    <w:rsid w:val="00074096"/>
    <w:rsid w:val="0008144B"/>
    <w:rsid w:val="0009363D"/>
    <w:rsid w:val="000A7067"/>
    <w:rsid w:val="000D3B0F"/>
    <w:rsid w:val="000D72ED"/>
    <w:rsid w:val="00101090"/>
    <w:rsid w:val="00101756"/>
    <w:rsid w:val="0011166F"/>
    <w:rsid w:val="00122DAD"/>
    <w:rsid w:val="00141153"/>
    <w:rsid w:val="001530A7"/>
    <w:rsid w:val="00157836"/>
    <w:rsid w:val="00184F25"/>
    <w:rsid w:val="00194142"/>
    <w:rsid w:val="001A7E71"/>
    <w:rsid w:val="001C1B1F"/>
    <w:rsid w:val="001D68C4"/>
    <w:rsid w:val="001F15A3"/>
    <w:rsid w:val="00203F7D"/>
    <w:rsid w:val="0021397E"/>
    <w:rsid w:val="0023500F"/>
    <w:rsid w:val="002D57A0"/>
    <w:rsid w:val="00321845"/>
    <w:rsid w:val="003250BE"/>
    <w:rsid w:val="003946F2"/>
    <w:rsid w:val="003B391C"/>
    <w:rsid w:val="003C268B"/>
    <w:rsid w:val="003F3C57"/>
    <w:rsid w:val="0040736F"/>
    <w:rsid w:val="004273E9"/>
    <w:rsid w:val="004307D4"/>
    <w:rsid w:val="00452035"/>
    <w:rsid w:val="00456736"/>
    <w:rsid w:val="004B44B5"/>
    <w:rsid w:val="004E7CF3"/>
    <w:rsid w:val="005355E2"/>
    <w:rsid w:val="00577DF8"/>
    <w:rsid w:val="005A1379"/>
    <w:rsid w:val="005A1AD2"/>
    <w:rsid w:val="005C6DB6"/>
    <w:rsid w:val="005D36E4"/>
    <w:rsid w:val="005F2D01"/>
    <w:rsid w:val="005F3EDC"/>
    <w:rsid w:val="00607E66"/>
    <w:rsid w:val="006300C6"/>
    <w:rsid w:val="006616A1"/>
    <w:rsid w:val="00665DA8"/>
    <w:rsid w:val="006A2075"/>
    <w:rsid w:val="006C7373"/>
    <w:rsid w:val="006F054A"/>
    <w:rsid w:val="00701828"/>
    <w:rsid w:val="00702B24"/>
    <w:rsid w:val="00723A67"/>
    <w:rsid w:val="007401B6"/>
    <w:rsid w:val="0076548B"/>
    <w:rsid w:val="007B010D"/>
    <w:rsid w:val="007B21EA"/>
    <w:rsid w:val="007B6836"/>
    <w:rsid w:val="007C4A00"/>
    <w:rsid w:val="007C5F47"/>
    <w:rsid w:val="007D0776"/>
    <w:rsid w:val="0080126F"/>
    <w:rsid w:val="00804616"/>
    <w:rsid w:val="00807E59"/>
    <w:rsid w:val="00832B04"/>
    <w:rsid w:val="00887C1A"/>
    <w:rsid w:val="008907D6"/>
    <w:rsid w:val="008A43E4"/>
    <w:rsid w:val="008B60F6"/>
    <w:rsid w:val="008E229D"/>
    <w:rsid w:val="00922D03"/>
    <w:rsid w:val="00940B2C"/>
    <w:rsid w:val="009458D8"/>
    <w:rsid w:val="00951B12"/>
    <w:rsid w:val="009606F0"/>
    <w:rsid w:val="00964D1E"/>
    <w:rsid w:val="009D6677"/>
    <w:rsid w:val="009D7B61"/>
    <w:rsid w:val="009F45A1"/>
    <w:rsid w:val="00A07B64"/>
    <w:rsid w:val="00A116DD"/>
    <w:rsid w:val="00A22816"/>
    <w:rsid w:val="00A23FFA"/>
    <w:rsid w:val="00A3585C"/>
    <w:rsid w:val="00A56A37"/>
    <w:rsid w:val="00B258E7"/>
    <w:rsid w:val="00B30732"/>
    <w:rsid w:val="00B31A9A"/>
    <w:rsid w:val="00B64FF6"/>
    <w:rsid w:val="00B85496"/>
    <w:rsid w:val="00BA6DF4"/>
    <w:rsid w:val="00BC7B93"/>
    <w:rsid w:val="00BF40C8"/>
    <w:rsid w:val="00BF4F16"/>
    <w:rsid w:val="00C2764E"/>
    <w:rsid w:val="00C32EF4"/>
    <w:rsid w:val="00C3647A"/>
    <w:rsid w:val="00C46B6F"/>
    <w:rsid w:val="00C60F4E"/>
    <w:rsid w:val="00CA6916"/>
    <w:rsid w:val="00CF2F15"/>
    <w:rsid w:val="00D01B4C"/>
    <w:rsid w:val="00D11DB3"/>
    <w:rsid w:val="00D13CA7"/>
    <w:rsid w:val="00D14D97"/>
    <w:rsid w:val="00D406AF"/>
    <w:rsid w:val="00D435D4"/>
    <w:rsid w:val="00D46DA5"/>
    <w:rsid w:val="00D640F4"/>
    <w:rsid w:val="00D86E45"/>
    <w:rsid w:val="00DA346E"/>
    <w:rsid w:val="00DC211E"/>
    <w:rsid w:val="00DD0E43"/>
    <w:rsid w:val="00DF7EAC"/>
    <w:rsid w:val="00E01066"/>
    <w:rsid w:val="00E4222A"/>
    <w:rsid w:val="00E75FC1"/>
    <w:rsid w:val="00EB334A"/>
    <w:rsid w:val="00ED27A2"/>
    <w:rsid w:val="00ED294C"/>
    <w:rsid w:val="00EE2399"/>
    <w:rsid w:val="00F07B78"/>
    <w:rsid w:val="00F20817"/>
    <w:rsid w:val="00F53FB6"/>
    <w:rsid w:val="00FA0890"/>
    <w:rsid w:val="00FA3DF7"/>
    <w:rsid w:val="00FA3ECF"/>
    <w:rsid w:val="00FB3C06"/>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938">
      <w:bodyDiv w:val="1"/>
      <w:marLeft w:val="0"/>
      <w:marRight w:val="0"/>
      <w:marTop w:val="0"/>
      <w:marBottom w:val="0"/>
      <w:divBdr>
        <w:top w:val="none" w:sz="0" w:space="0" w:color="auto"/>
        <w:left w:val="none" w:sz="0" w:space="0" w:color="auto"/>
        <w:bottom w:val="none" w:sz="0" w:space="0" w:color="auto"/>
        <w:right w:val="none" w:sz="0" w:space="0" w:color="auto"/>
      </w:divBdr>
      <w:divsChild>
        <w:div w:id="447238054">
          <w:marLeft w:val="480"/>
          <w:marRight w:val="0"/>
          <w:marTop w:val="0"/>
          <w:marBottom w:val="0"/>
          <w:divBdr>
            <w:top w:val="none" w:sz="0" w:space="0" w:color="auto"/>
            <w:left w:val="none" w:sz="0" w:space="0" w:color="auto"/>
            <w:bottom w:val="none" w:sz="0" w:space="0" w:color="auto"/>
            <w:right w:val="none" w:sz="0" w:space="0" w:color="auto"/>
          </w:divBdr>
          <w:divsChild>
            <w:div w:id="412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47" Type="http://schemas.openxmlformats.org/officeDocument/2006/relationships/hyperlink" Target="https://www.r-project.org/" TargetMode="External"/><Relationship Id="rId50" Type="http://schemas.openxmlformats.org/officeDocument/2006/relationships/hyperlink" Target="https://app.datacamp.com/learn/courses/arima-models-in-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46"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45"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49" Type="http://schemas.openxmlformats.org/officeDocument/2006/relationships/hyperlink" Target="https://coronavirus.data.gov.uk/downloads/supplements/ONS-population_2021-08-05.csv"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hyperlink" Target="https://ipywidgets.readthedocs.io/en/lates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hyperlink" Target="https://matplotlib.org/" TargetMode="External"/><Relationship Id="rId48" Type="http://schemas.openxmlformats.org/officeDocument/2006/relationships/hyperlink" Target="https://dplyr.tidyverse.org/"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AB3D-BE46-470B-87A0-0A910D67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33226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34</cp:revision>
  <cp:lastPrinted>2009-03-17T19:21:00Z</cp:lastPrinted>
  <dcterms:created xsi:type="dcterms:W3CDTF">2022-01-07T20:59:00Z</dcterms:created>
  <dcterms:modified xsi:type="dcterms:W3CDTF">2022-01-08T18:36:00Z</dcterms:modified>
</cp:coreProperties>
</file>