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223BC2"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4CDCC75" w:rsidR="00A81E7D" w:rsidRDefault="00A81E7D" w:rsidP="00A81E7D">
      <w:pPr>
        <w:pStyle w:val="Caption"/>
        <w:jc w:val="both"/>
      </w:pPr>
      <w:r>
        <w:t xml:space="preserve">Fig. </w:t>
      </w:r>
      <w:r w:rsidR="00223BC2">
        <w:fldChar w:fldCharType="begin"/>
      </w:r>
      <w:r w:rsidR="00223BC2">
        <w:instrText xml:space="preserve"> SEQ Figure \* ARABIC </w:instrText>
      </w:r>
      <w:r w:rsidR="00223BC2">
        <w:fldChar w:fldCharType="separate"/>
      </w:r>
      <w:r w:rsidR="00DE2F55">
        <w:rPr>
          <w:noProof/>
        </w:rPr>
        <w:t>1</w:t>
      </w:r>
      <w:r w:rsidR="00223BC2">
        <w:rPr>
          <w:noProof/>
        </w:rPr>
        <w:fldChar w:fldCharType="end"/>
      </w:r>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446ADA78" w:rsidR="00BA6193" w:rsidRDefault="00BA6193" w:rsidP="00BA6193">
      <w:pPr>
        <w:pStyle w:val="Caption"/>
      </w:pPr>
      <w:r>
        <w:t xml:space="preserve">Fig. </w:t>
      </w:r>
      <w:r w:rsidR="00223BC2">
        <w:fldChar w:fldCharType="begin"/>
      </w:r>
      <w:r w:rsidR="00223BC2">
        <w:instrText xml:space="preserve"> SEQ Figure \* ARABIC </w:instrText>
      </w:r>
      <w:r w:rsidR="00223BC2">
        <w:fldChar w:fldCharType="separate"/>
      </w:r>
      <w:r w:rsidR="00DE2F55">
        <w:rPr>
          <w:noProof/>
        </w:rPr>
        <w:t>2</w:t>
      </w:r>
      <w:r w:rsidR="00223BC2">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by using the Yellowbrick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AdFuller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4A18E9D6" w:rsidR="00146D00" w:rsidRDefault="00146D00" w:rsidP="00146D00">
      <w:pPr>
        <w:pStyle w:val="Caption"/>
        <w:jc w:val="both"/>
        <w:rPr>
          <w:iCs/>
          <w:lang w:eastAsia="en-GB"/>
        </w:rPr>
      </w:pPr>
      <w:r>
        <w:t xml:space="preserve">Fig. </w:t>
      </w:r>
      <w:fldSimple w:instr=" SEQ Figure \* ARABIC ">
        <w:r w:rsidR="00DE2F55">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seaborn’s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then started reversing at 45-49 (or 55-59 if you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Yellowbrick’s [14] silhouette visualizer and </w:t>
      </w:r>
      <w:r w:rsidR="00721694" w:rsidRPr="0052525C">
        <w:rPr>
          <w:rFonts w:ascii="Times" w:hAnsi="Times"/>
          <w:iCs/>
          <w:sz w:val="20"/>
          <w:szCs w:val="20"/>
          <w:lang w:val="en-GB" w:eastAsia="en-GB"/>
        </w:rPr>
        <w:t>GeoPandas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223BC2"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8240"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statsmodels [15] adfuller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3F07562F"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t>For the process of running the Partial Autocorrelation Function and Autocorrelation Function graphs using the relevant statsmodel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pmdarima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A245A64" w14:textId="63BF929E" w:rsidR="00DE2F55" w:rsidRPr="0052525C" w:rsidRDefault="00223BC2" w:rsidP="0023500F">
      <w:pPr>
        <w:pStyle w:val="FigureCaption"/>
        <w:rPr>
          <w:rFonts w:ascii="Times" w:hAnsi="Times"/>
          <w:iCs/>
          <w:sz w:val="20"/>
          <w:szCs w:val="20"/>
          <w:lang w:val="en-GB" w:eastAsia="en-GB"/>
        </w:rPr>
      </w:pPr>
      <w:r>
        <w:rPr>
          <w:noProof/>
        </w:rPr>
        <w:lastRenderedPageBreak/>
        <w:pict w14:anchorId="1EFAC886">
          <v:shape id="_x0000_s2056" type="#_x0000_t202" style="position:absolute;margin-left:-.35pt;margin-top:128.25pt;width:250.2pt;height:.05pt;z-index:251663360;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sidR="00DE2F55">
        <w:rPr>
          <w:rFonts w:ascii="Times" w:hAnsi="Times"/>
          <w:iCs/>
          <w:noProof/>
          <w:sz w:val="20"/>
          <w:szCs w:val="20"/>
          <w:lang w:val="en-GB" w:eastAsia="en-GB"/>
        </w:rPr>
        <w:drawing>
          <wp:anchor distT="0" distB="0" distL="114300" distR="114300" simplePos="0" relativeHeight="251664384" behindDoc="0" locked="0" layoutInCell="1" allowOverlap="1" wp14:anchorId="35C0E8DA" wp14:editId="66C0F2D8">
            <wp:simplePos x="0" y="0"/>
            <wp:positionH relativeFrom="column">
              <wp:posOffset>-4445</wp:posOffset>
            </wp:positionH>
            <wp:positionV relativeFrom="paragraph">
              <wp:posOffset>-2104390</wp:posOffset>
            </wp:positionV>
            <wp:extent cx="3177540" cy="2202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anchor>
        </w:drawing>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rFonts w:ascii="Times" w:hAnsi="Times"/>
          <w:iCs/>
          <w:sz w:val="20"/>
          <w:szCs w:val="20"/>
          <w:lang w:val="en-GB" w:eastAsia="en-GB"/>
        </w:rPr>
        <w:t xml:space="preserve">. </w:t>
      </w:r>
      <w:r w:rsidR="00CF6796">
        <w:rPr>
          <w:rFonts w:ascii="Times" w:hAnsi="Times"/>
          <w:iCs/>
          <w:sz w:val="20"/>
          <w:szCs w:val="20"/>
          <w:lang w:val="en-GB" w:eastAsia="en-GB"/>
        </w:rPr>
        <w:t>Using the weekly data does not improve this and the residual fit is only moderately improved by getting rid of the over-correction on the 1/7/20’s case data. So</w:t>
      </w:r>
      <w:r w:rsidR="00CF6796">
        <w:rPr>
          <w:rFonts w:ascii="Times" w:hAnsi="Times"/>
          <w:iCs/>
          <w:sz w:val="20"/>
          <w:szCs w:val="20"/>
          <w:lang w:val="en-GB" w:eastAsia="en-GB"/>
        </w:rPr>
        <w:t>,</w:t>
      </w:r>
      <w:r w:rsidR="00CF6796">
        <w:rPr>
          <w:rFonts w:ascii="Times" w:hAnsi="Times"/>
          <w:iCs/>
          <w:sz w:val="20"/>
          <w:szCs w:val="20"/>
          <w:lang w:val="en-GB" w:eastAsia="en-GB"/>
        </w:rPr>
        <w:t xml:space="preserve"> it appears that the ARIMA model is not appropriate for predicting the number of new cases.</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4"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5"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6"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7"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8"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9"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0"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1"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2"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3"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4"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5"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6"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scikit-yb developers. ‘Yellowbrick: Machine Learning Visualization — Yellowbrick v1.</w:t>
      </w:r>
      <w:proofErr w:type="gramStart"/>
      <w:r w:rsidRPr="00F63F50">
        <w:rPr>
          <w:lang w:val="en-GB"/>
        </w:rPr>
        <w:t>3.Post</w:t>
      </w:r>
      <w:proofErr w:type="gramEnd"/>
      <w:r w:rsidRPr="00F63F50">
        <w:rPr>
          <w:lang w:val="en-GB"/>
        </w:rPr>
        <w:t xml:space="preserve">1 Documentation’, 2019. </w:t>
      </w:r>
      <w:hyperlink r:id="rId27"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r w:rsidRPr="00017B17">
        <w:rPr>
          <w:lang w:val="en-GB"/>
        </w:rPr>
        <w:t xml:space="preserve">Perktold, Josef, Skipper Seabold, and Jonathon Taylor. ‘Introduction — Statsmodels’, 2019. </w:t>
      </w:r>
      <w:hyperlink r:id="rId28"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r w:rsidRPr="00C01EB9">
        <w:rPr>
          <w:lang w:val="en-GB"/>
        </w:rPr>
        <w:t xml:space="preserve">Cournapeau, David, Matthieu Brucher, Fabian Pedregosa, Gael Varoquaux, Gramfort Alexandre, and Vincent Michel. ‘Scikit-Learn: Machine Learning in Python — Scikit-Learn 1.0.2 Documentation’, 2010. </w:t>
      </w:r>
      <w:hyperlink r:id="rId29"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0"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1"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Pmdarima: Python’s </w:t>
      </w:r>
      <w:proofErr w:type="gramStart"/>
      <w:r w:rsidRPr="001E78F2">
        <w:rPr>
          <w:lang w:val="en-GB"/>
        </w:rPr>
        <w:t>Forecast::</w:t>
      </w:r>
      <w:proofErr w:type="gramEnd"/>
      <w:r w:rsidRPr="001E78F2">
        <w:rPr>
          <w:lang w:val="en-GB"/>
        </w:rPr>
        <w:t xml:space="preserve">Auto.Arima Equivalent (version 1.8.4). MacOS, </w:t>
      </w:r>
      <w:proofErr w:type="gramStart"/>
      <w:r w:rsidRPr="001E78F2">
        <w:rPr>
          <w:lang w:val="en-GB"/>
        </w:rPr>
        <w:t>Microsoft :</w:t>
      </w:r>
      <w:proofErr w:type="gramEnd"/>
      <w:r w:rsidRPr="001E78F2">
        <w:rPr>
          <w:lang w:val="en-GB"/>
        </w:rPr>
        <w:t xml:space="preserve">: Windows, POSIX, Unix, C, Python, 2017. </w:t>
      </w:r>
      <w:hyperlink r:id="rId32" w:history="1">
        <w:r w:rsidRPr="00987F93">
          <w:rPr>
            <w:rStyle w:val="Hyperlink"/>
            <w:lang w:val="en-GB"/>
          </w:rPr>
          <w:t>http://alkaline-ml.com/pmdarima</w:t>
        </w:r>
      </w:hyperlink>
      <w:r w:rsidRPr="001E78F2">
        <w:rPr>
          <w:lang w:val="en-GB"/>
        </w:rPr>
        <w:t>.</w:t>
      </w:r>
    </w:p>
    <w:p w14:paraId="469CC759" w14:textId="77777777" w:rsidR="001E78F2" w:rsidRDefault="001E78F2"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lastRenderedPageBreak/>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r w:rsidRPr="00F9218C">
        <w:rPr>
          <w:lang w:val="en-GB"/>
        </w:rPr>
        <w:t>economic_activity_economically_active_unemployed</w:t>
      </w:r>
    </w:p>
    <w:p w14:paraId="51C61ADB" w14:textId="77777777" w:rsidR="00F9218C" w:rsidRPr="00F9218C" w:rsidRDefault="00F9218C" w:rsidP="00F9218C">
      <w:pPr>
        <w:pStyle w:val="Reference"/>
        <w:numPr>
          <w:ilvl w:val="0"/>
          <w:numId w:val="45"/>
        </w:numPr>
        <w:rPr>
          <w:lang w:val="en-GB"/>
        </w:rPr>
      </w:pPr>
      <w:r w:rsidRPr="00F9218C">
        <w:rPr>
          <w:lang w:val="en-GB"/>
        </w:rPr>
        <w:t>economic_activity_economically_active_full-time_student</w:t>
      </w:r>
    </w:p>
    <w:p w14:paraId="38012484" w14:textId="77777777" w:rsidR="00F9218C" w:rsidRPr="00F9218C" w:rsidRDefault="00F9218C" w:rsidP="00F9218C">
      <w:pPr>
        <w:pStyle w:val="Reference"/>
        <w:numPr>
          <w:ilvl w:val="0"/>
          <w:numId w:val="45"/>
        </w:numPr>
        <w:rPr>
          <w:lang w:val="en-GB"/>
        </w:rPr>
      </w:pPr>
      <w:r w:rsidRPr="00F9218C">
        <w:rPr>
          <w:lang w:val="en-GB"/>
        </w:rPr>
        <w:t>economic_activity_economically_inactive_total</w:t>
      </w:r>
    </w:p>
    <w:p w14:paraId="1EE2B771" w14:textId="77777777" w:rsidR="00F9218C" w:rsidRPr="00F9218C" w:rsidRDefault="00F9218C" w:rsidP="00F9218C">
      <w:pPr>
        <w:pStyle w:val="Reference"/>
        <w:numPr>
          <w:ilvl w:val="0"/>
          <w:numId w:val="45"/>
        </w:numPr>
        <w:rPr>
          <w:lang w:val="en-GB"/>
        </w:rPr>
      </w:pPr>
      <w:r w:rsidRPr="00F9218C">
        <w:rPr>
          <w:lang w:val="en-GB"/>
        </w:rPr>
        <w:t>general_health_bad_health</w:t>
      </w:r>
    </w:p>
    <w:p w14:paraId="7AA43B92" w14:textId="77777777" w:rsidR="00F9218C" w:rsidRPr="00F9218C" w:rsidRDefault="00F9218C" w:rsidP="00F9218C">
      <w:pPr>
        <w:pStyle w:val="Reference"/>
        <w:numPr>
          <w:ilvl w:val="0"/>
          <w:numId w:val="45"/>
        </w:numPr>
        <w:rPr>
          <w:lang w:val="en-GB"/>
        </w:rPr>
      </w:pPr>
      <w:r w:rsidRPr="00F9218C">
        <w:rPr>
          <w:lang w:val="en-GB"/>
        </w:rPr>
        <w:t>general_health_very_bad_health</w:t>
      </w:r>
    </w:p>
    <w:p w14:paraId="098E41DC" w14:textId="77777777" w:rsidR="00F9218C" w:rsidRPr="00F9218C" w:rsidRDefault="00F9218C" w:rsidP="00F9218C">
      <w:pPr>
        <w:pStyle w:val="Reference"/>
        <w:numPr>
          <w:ilvl w:val="0"/>
          <w:numId w:val="45"/>
        </w:numPr>
        <w:rPr>
          <w:lang w:val="en-GB"/>
        </w:rPr>
      </w:pPr>
      <w:r w:rsidRPr="00F9218C">
        <w:rPr>
          <w:lang w:val="en-GB"/>
        </w:rPr>
        <w:t>qualification_no_qualifications</w:t>
      </w:r>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r w:rsidRPr="00F9218C">
        <w:rPr>
          <w:lang w:val="en-GB"/>
        </w:rPr>
        <w:t>method_of_travel_to_work_work_mainly_at_or_from_home</w:t>
      </w:r>
    </w:p>
    <w:p w14:paraId="4CF7638D" w14:textId="77777777" w:rsidR="00F9218C" w:rsidRPr="00F9218C" w:rsidRDefault="00F9218C" w:rsidP="00F9218C">
      <w:pPr>
        <w:pStyle w:val="Reference"/>
        <w:numPr>
          <w:ilvl w:val="0"/>
          <w:numId w:val="45"/>
        </w:numPr>
        <w:rPr>
          <w:lang w:val="en-GB"/>
        </w:rPr>
      </w:pPr>
      <w:r w:rsidRPr="00F9218C">
        <w:rPr>
          <w:lang w:val="en-GB"/>
        </w:rPr>
        <w:t>method_of_travel_to_work_taxi</w:t>
      </w:r>
    </w:p>
    <w:p w14:paraId="49B2F369" w14:textId="77777777" w:rsidR="00F9218C" w:rsidRPr="00F9218C" w:rsidRDefault="00F9218C" w:rsidP="00F9218C">
      <w:pPr>
        <w:pStyle w:val="Reference"/>
        <w:numPr>
          <w:ilvl w:val="0"/>
          <w:numId w:val="45"/>
        </w:numPr>
        <w:rPr>
          <w:lang w:val="en-GB"/>
        </w:rPr>
      </w:pPr>
      <w:r w:rsidRPr="00F9218C">
        <w:rPr>
          <w:lang w:val="en-GB"/>
        </w:rPr>
        <w:t>method_of_travel_to_work_bus_minibus_or_coach</w:t>
      </w:r>
    </w:p>
    <w:p w14:paraId="7130DF27" w14:textId="77777777" w:rsidR="00F9218C" w:rsidRPr="00F9218C" w:rsidRDefault="00F9218C" w:rsidP="00F9218C">
      <w:pPr>
        <w:pStyle w:val="Reference"/>
        <w:numPr>
          <w:ilvl w:val="0"/>
          <w:numId w:val="45"/>
        </w:numPr>
        <w:rPr>
          <w:lang w:val="en-GB"/>
        </w:rPr>
      </w:pPr>
      <w:r w:rsidRPr="00F9218C">
        <w:rPr>
          <w:lang w:val="en-GB"/>
        </w:rPr>
        <w:t>method_of_travel_to_work_motorcycle_scooter_or_moped</w:t>
      </w:r>
    </w:p>
    <w:p w14:paraId="7AEDDD77" w14:textId="77777777" w:rsidR="00F9218C" w:rsidRPr="00F9218C" w:rsidRDefault="00F9218C" w:rsidP="00F9218C">
      <w:pPr>
        <w:pStyle w:val="Reference"/>
        <w:numPr>
          <w:ilvl w:val="0"/>
          <w:numId w:val="45"/>
        </w:numPr>
        <w:rPr>
          <w:lang w:val="en-GB"/>
        </w:rPr>
      </w:pPr>
      <w:r w:rsidRPr="00F9218C">
        <w:rPr>
          <w:lang w:val="en-GB"/>
        </w:rPr>
        <w:t>method_of_travel_to_work_passenger_in_a_car_or_van</w:t>
      </w:r>
    </w:p>
    <w:p w14:paraId="624BDEA1" w14:textId="125619A4" w:rsidR="00F9218C" w:rsidRPr="00A22293" w:rsidRDefault="00F9218C" w:rsidP="00F9218C">
      <w:pPr>
        <w:pStyle w:val="Reference"/>
        <w:numPr>
          <w:ilvl w:val="0"/>
          <w:numId w:val="45"/>
        </w:numPr>
        <w:rPr>
          <w:lang w:val="en-GB"/>
        </w:rPr>
      </w:pPr>
      <w:r w:rsidRPr="00F9218C">
        <w:rPr>
          <w:lang w:val="en-GB"/>
        </w:rPr>
        <w:t>method_of_travel_to_work_on_foot</w:t>
      </w:r>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50A2" w14:textId="77777777" w:rsidR="00223BC2" w:rsidRDefault="00223BC2" w:rsidP="0023500F">
      <w:r>
        <w:separator/>
      </w:r>
    </w:p>
  </w:endnote>
  <w:endnote w:type="continuationSeparator" w:id="0">
    <w:p w14:paraId="17EE2B86" w14:textId="77777777" w:rsidR="00223BC2" w:rsidRDefault="00223BC2"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AAA6" w14:textId="77777777" w:rsidR="00223BC2" w:rsidRDefault="00223BC2" w:rsidP="0023500F">
      <w:r>
        <w:separator/>
      </w:r>
    </w:p>
  </w:footnote>
  <w:footnote w:type="continuationSeparator" w:id="0">
    <w:p w14:paraId="2BEE8D62" w14:textId="77777777" w:rsidR="00223BC2" w:rsidRDefault="00223BC2"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1E78F2"/>
    <w:rsid w:val="00200591"/>
    <w:rsid w:val="00223BC2"/>
    <w:rsid w:val="0022627D"/>
    <w:rsid w:val="0023500F"/>
    <w:rsid w:val="002353FE"/>
    <w:rsid w:val="00244BFF"/>
    <w:rsid w:val="0024544E"/>
    <w:rsid w:val="00247256"/>
    <w:rsid w:val="0024739E"/>
    <w:rsid w:val="00291E4B"/>
    <w:rsid w:val="002A455E"/>
    <w:rsid w:val="002C6A72"/>
    <w:rsid w:val="003250BE"/>
    <w:rsid w:val="0033298D"/>
    <w:rsid w:val="0036067B"/>
    <w:rsid w:val="00362628"/>
    <w:rsid w:val="003946F2"/>
    <w:rsid w:val="003B391C"/>
    <w:rsid w:val="003B74F6"/>
    <w:rsid w:val="003C4B72"/>
    <w:rsid w:val="003D5364"/>
    <w:rsid w:val="003F7598"/>
    <w:rsid w:val="0040736F"/>
    <w:rsid w:val="00410F00"/>
    <w:rsid w:val="004122A2"/>
    <w:rsid w:val="00424F89"/>
    <w:rsid w:val="004273E9"/>
    <w:rsid w:val="00466446"/>
    <w:rsid w:val="004844F3"/>
    <w:rsid w:val="0048763D"/>
    <w:rsid w:val="004A59B7"/>
    <w:rsid w:val="004B44B5"/>
    <w:rsid w:val="004D0DB2"/>
    <w:rsid w:val="004D1B52"/>
    <w:rsid w:val="004D1BEC"/>
    <w:rsid w:val="004E4B87"/>
    <w:rsid w:val="004E7CF3"/>
    <w:rsid w:val="00511296"/>
    <w:rsid w:val="0052525C"/>
    <w:rsid w:val="0052549F"/>
    <w:rsid w:val="005355E2"/>
    <w:rsid w:val="00547AE1"/>
    <w:rsid w:val="00577DF8"/>
    <w:rsid w:val="00580E56"/>
    <w:rsid w:val="00587A95"/>
    <w:rsid w:val="005B2617"/>
    <w:rsid w:val="005C3139"/>
    <w:rsid w:val="005F2D01"/>
    <w:rsid w:val="00625F0C"/>
    <w:rsid w:val="0062797F"/>
    <w:rsid w:val="006616A1"/>
    <w:rsid w:val="00685544"/>
    <w:rsid w:val="00697282"/>
    <w:rsid w:val="006B3FFA"/>
    <w:rsid w:val="006B794F"/>
    <w:rsid w:val="006C7588"/>
    <w:rsid w:val="006E2676"/>
    <w:rsid w:val="006F054A"/>
    <w:rsid w:val="00702B24"/>
    <w:rsid w:val="00721694"/>
    <w:rsid w:val="00723A67"/>
    <w:rsid w:val="007401B6"/>
    <w:rsid w:val="00775E73"/>
    <w:rsid w:val="007B4EB7"/>
    <w:rsid w:val="007B6836"/>
    <w:rsid w:val="007D0776"/>
    <w:rsid w:val="007D34C2"/>
    <w:rsid w:val="007D4D52"/>
    <w:rsid w:val="007E3541"/>
    <w:rsid w:val="007E735D"/>
    <w:rsid w:val="00804616"/>
    <w:rsid w:val="00807E59"/>
    <w:rsid w:val="00811BE1"/>
    <w:rsid w:val="00812256"/>
    <w:rsid w:val="00824DF7"/>
    <w:rsid w:val="00847691"/>
    <w:rsid w:val="00897319"/>
    <w:rsid w:val="008E229D"/>
    <w:rsid w:val="008F7A65"/>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4F64"/>
    <w:rsid w:val="00A56A37"/>
    <w:rsid w:val="00A73808"/>
    <w:rsid w:val="00A81201"/>
    <w:rsid w:val="00A81E7D"/>
    <w:rsid w:val="00A9412A"/>
    <w:rsid w:val="00AE236F"/>
    <w:rsid w:val="00AF2C00"/>
    <w:rsid w:val="00B12D8D"/>
    <w:rsid w:val="00B25A3B"/>
    <w:rsid w:val="00B30732"/>
    <w:rsid w:val="00B47226"/>
    <w:rsid w:val="00B6128B"/>
    <w:rsid w:val="00B63FF8"/>
    <w:rsid w:val="00B64FF6"/>
    <w:rsid w:val="00B67DEF"/>
    <w:rsid w:val="00B951E0"/>
    <w:rsid w:val="00BA6193"/>
    <w:rsid w:val="00BB30BA"/>
    <w:rsid w:val="00BC7B93"/>
    <w:rsid w:val="00BE1063"/>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2F15"/>
    <w:rsid w:val="00CF6796"/>
    <w:rsid w:val="00D01B4C"/>
    <w:rsid w:val="00D10AAE"/>
    <w:rsid w:val="00D13CA7"/>
    <w:rsid w:val="00D14D97"/>
    <w:rsid w:val="00D234B8"/>
    <w:rsid w:val="00D435D4"/>
    <w:rsid w:val="00D46DA5"/>
    <w:rsid w:val="00D5370A"/>
    <w:rsid w:val="00D56C93"/>
    <w:rsid w:val="00D63AA5"/>
    <w:rsid w:val="00DB7D28"/>
    <w:rsid w:val="00DC211E"/>
    <w:rsid w:val="00DD0E43"/>
    <w:rsid w:val="00DE2F55"/>
    <w:rsid w:val="00DF7EAC"/>
    <w:rsid w:val="00E01066"/>
    <w:rsid w:val="00E02963"/>
    <w:rsid w:val="00E75FC1"/>
    <w:rsid w:val="00E76943"/>
    <w:rsid w:val="00E779D1"/>
    <w:rsid w:val="00E8122C"/>
    <w:rsid w:val="00E86869"/>
    <w:rsid w:val="00EB3A99"/>
    <w:rsid w:val="00ED294C"/>
    <w:rsid w:val="00F00DF9"/>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andas.pydata.org/" TargetMode="External"/><Relationship Id="rId26" Type="http://schemas.openxmlformats.org/officeDocument/2006/relationships/hyperlink" Target="https://doi.org/10.21105/joss.03021" TargetMode="External"/><Relationship Id="rId3" Type="http://schemas.openxmlformats.org/officeDocument/2006/relationships/settings" Target="settings.xml"/><Relationship Id="rId21"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www.microsoft.com/en-us/microsoft-365/excel" TargetMode="External"/><Relationship Id="rId25" Type="http://schemas.openxmlformats.org/officeDocument/2006/relationships/hyperlink" Target="https://www.tableau.com/node/627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ensus.ukdataservice.ac.uk/get-data/boundary-data.aspx" TargetMode="External"/><Relationship Id="rId20" Type="http://schemas.openxmlformats.org/officeDocument/2006/relationships/hyperlink" Target="https://doi.org/10.1101/2020.02.16.20023754" TargetMode="External"/><Relationship Id="rId29"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eoportal.statistics.gov.uk/datasets/ons::local-authority-districts-may-2021-uk-bfe/about" TargetMode="External"/><Relationship Id="rId32" Type="http://schemas.openxmlformats.org/officeDocument/2006/relationships/hyperlink" Target="http://alkaline-ml.com/pmdarima" TargetMode="External"/><Relationship Id="rId5" Type="http://schemas.openxmlformats.org/officeDocument/2006/relationships/footnotes" Target="footnotes.xml"/><Relationship Id="rId15" Type="http://schemas.openxmlformats.org/officeDocument/2006/relationships/hyperlink" Target="http://discover.ukdataservice.ac.uk/catalogue/?sn=5819&amp;type=Data%20catalogue" TargetMode="External"/><Relationship Id="rId23" Type="http://schemas.openxmlformats.org/officeDocument/2006/relationships/hyperlink" Target="https://doi.org/10.1101/2020.02.12.20022566" TargetMode="External"/><Relationship Id="rId28" Type="http://schemas.openxmlformats.org/officeDocument/2006/relationships/hyperlink" Target="https://www.statsmodels.org/dev/index.html" TargetMode="External"/><Relationship Id="rId10" Type="http://schemas.openxmlformats.org/officeDocument/2006/relationships/image" Target="media/image3.png"/><Relationship Id="rId19" Type="http://schemas.openxmlformats.org/officeDocument/2006/relationships/hyperlink" Target="https://doi.org/10.1101/2020.02.26.20028167" TargetMode="External"/><Relationship Id="rId31" Type="http://schemas.openxmlformats.org/officeDocument/2006/relationships/hyperlink" Target="https://geopandas.org/en/v0.8.2/inde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oronavirus.data.gov.uk/details/cases?areaType=overview&amp;areaName=United%20Kingdom" TargetMode="External"/><Relationship Id="rId22" Type="http://schemas.openxmlformats.org/officeDocument/2006/relationships/hyperlink" Target="https://doi.org/10.1109/OJEMB.2021.3096135" TargetMode="External"/><Relationship Id="rId27" Type="http://schemas.openxmlformats.org/officeDocument/2006/relationships/hyperlink" Target="https://www.scikit-yb.org/en/latest/index.html" TargetMode="External"/><Relationship Id="rId30" Type="http://schemas.openxmlformats.org/officeDocument/2006/relationships/hyperlink" Target="https://doi.org/10.1002/9780470382776.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2127</TotalTime>
  <Pages>5</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20551</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58</cp:revision>
  <cp:lastPrinted>2009-03-17T19:21:00Z</cp:lastPrinted>
  <dcterms:created xsi:type="dcterms:W3CDTF">2019-09-24T12:47:00Z</dcterms:created>
  <dcterms:modified xsi:type="dcterms:W3CDTF">2022-01-06T10:48:00Z</dcterms:modified>
</cp:coreProperties>
</file>