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25496B" w:rsidP="0023500F">
      <w:pPr>
        <w:rPr>
          <w:lang w:val="en-GB"/>
        </w:rPr>
      </w:pPr>
      <w:r>
        <w:rPr>
          <w:noProof/>
        </w:rPr>
        <w:pict w14:anchorId="5A7D3BED">
          <v:group id="Group 19" o:spid="_x0000_s2050" style="position:absolute;margin-left:145.35pt;margin-top:11.9pt;width:223.5pt;height:8.95pt;z-index:251657728"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40C4366D"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w:t>
      </w:r>
      <w:r w:rsidR="00F479C5">
        <w:rPr>
          <w:iCs/>
        </w:rPr>
        <w:t>11</w:t>
      </w:r>
      <w:r w:rsidR="00B6128B">
        <w:rPr>
          <w:iCs/>
        </w:rPr>
        <w:t>]</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5FF65758" w14:textId="6310995A"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r w:rsidR="009641AB">
        <w:rPr>
          <w:iCs/>
        </w:rPr>
        <w:t xml:space="preserve"> They use various visualisations to show the differing rates of death between different ethnic groups. The paper makes some assumptions in linking NHS records to census data where </w:t>
      </w:r>
      <w:r w:rsidR="00580E56">
        <w:rPr>
          <w:iCs/>
        </w:rPr>
        <w:t xml:space="preserve">there was not a direct link. For the district level </w:t>
      </w:r>
      <w:r w:rsidR="00F529B2">
        <w:rPr>
          <w:iCs/>
        </w:rPr>
        <w:t>data,</w:t>
      </w:r>
      <w:r w:rsidR="00580E56">
        <w:rPr>
          <w:iCs/>
        </w:rPr>
        <w:t xml:space="preserve"> they assume that the 2011 census records are still relevant.</w:t>
      </w:r>
    </w:p>
    <w:p w14:paraId="7B26AE7B" w14:textId="2CA28613" w:rsidR="009C1BDF" w:rsidRDefault="009C1BDF" w:rsidP="001500EB">
      <w:pPr>
        <w:pStyle w:val="Body"/>
        <w:rPr>
          <w:iCs/>
        </w:rPr>
      </w:pPr>
      <w:r>
        <w:rPr>
          <w:iCs/>
        </w:rPr>
        <w:t>Within this paper [9] from IEEE, the authors look at clustering US counties by variou</w:t>
      </w:r>
      <w:r w:rsidR="00824DF7">
        <w:rPr>
          <w:iCs/>
        </w:rPr>
        <w:t>s socio-economic factors and building time series forecasting models. They use various 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w:t>
      </w:r>
      <w:r w:rsidR="0024739E">
        <w:rPr>
          <w:iCs/>
        </w:rPr>
        <w:t xml:space="preserve">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71FE40F8" w14:textId="71686AE6" w:rsidR="00B25A3B" w:rsidRPr="007D34C2" w:rsidRDefault="00B25A3B" w:rsidP="001500EB">
      <w:pPr>
        <w:pStyle w:val="Body"/>
        <w:rPr>
          <w:iCs/>
        </w:rPr>
      </w:pPr>
      <w:r>
        <w:rPr>
          <w:iCs/>
        </w:rPr>
        <w:t>From one of SAGE’s reference papers [10] from February 2020</w:t>
      </w:r>
      <w:r w:rsidR="00547AE1">
        <w:rPr>
          <w:iCs/>
        </w:rPr>
        <w:t xml:space="preserve"> the authors were attempting to make a mathematical model to predict potential spreads of COVID 19 at the electoral ward level</w:t>
      </w:r>
      <w:r w:rsidR="00F66135">
        <w:rPr>
          <w:iCs/>
        </w:rPr>
        <w:t>, based upon an earlier theoretical model</w:t>
      </w:r>
      <w:r w:rsidR="00547AE1">
        <w:rPr>
          <w:iCs/>
        </w:rPr>
        <w:t>. The author</w:t>
      </w:r>
      <w:r w:rsidR="00F66135">
        <w:rPr>
          <w:iCs/>
        </w:rPr>
        <w:t>s</w:t>
      </w:r>
      <w:r w:rsidR="00547AE1">
        <w:rPr>
          <w:iCs/>
        </w:rPr>
        <w:t xml:space="preserve"> </w:t>
      </w:r>
      <w:r w:rsidR="00F66135">
        <w:rPr>
          <w:iCs/>
        </w:rPr>
        <w:t>use</w:t>
      </w:r>
      <w:r w:rsidR="00547AE1">
        <w:rPr>
          <w:iCs/>
        </w:rPr>
        <w:t xml:space="preserve"> the 2011 census data and early </w:t>
      </w:r>
      <w:r w:rsidR="00F66135">
        <w:rPr>
          <w:iCs/>
        </w:rPr>
        <w:t xml:space="preserve">infection </w:t>
      </w:r>
      <w:r w:rsidR="00547AE1">
        <w:rPr>
          <w:iCs/>
        </w:rPr>
        <w:t xml:space="preserve">data from the UK and China to predict </w:t>
      </w:r>
      <w:r w:rsidR="00F66135">
        <w:rPr>
          <w:iCs/>
        </w:rPr>
        <w:t xml:space="preserve">potential infection rates in different parts of England and Wales. As almost two years’ worth of actual data is now available, we can use that rather than theoretical spread data. The authors </w:t>
      </w:r>
      <w:r w:rsidR="00410F00">
        <w:rPr>
          <w:iCs/>
        </w:rPr>
        <w:t xml:space="preserve">have generated various visualisations of </w:t>
      </w:r>
      <w:r w:rsidR="00A54F64">
        <w:rPr>
          <w:iCs/>
        </w:rPr>
        <w:t xml:space="preserve">the virus transmission data. </w:t>
      </w:r>
      <w:r w:rsidR="00697282">
        <w:rPr>
          <w:iCs/>
        </w:rPr>
        <w:t>The authors separated the data out into the main regions of England and Wales, so we can see that our idea of looking at the lower-level data is valid.</w:t>
      </w:r>
      <w:r w:rsidR="00FF2079">
        <w:rPr>
          <w:iCs/>
        </w:rPr>
        <w:t xml:space="preserve"> This paper assumed that COVID 19 would behave much the same as the theoretical virus merged with the early infection data.</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7FE90604" w14:textId="28F4195C" w:rsidR="00F21FEB" w:rsidRDefault="007E3541" w:rsidP="00CF2F15">
      <w:pPr>
        <w:pStyle w:val="Body"/>
        <w:rPr>
          <w:iCs/>
        </w:rPr>
      </w:pPr>
      <w:r>
        <w:rPr>
          <w:iCs/>
        </w:rPr>
        <w:t>Our COVID</w:t>
      </w:r>
      <w:r w:rsidR="006C7588">
        <w:rPr>
          <w:iCs/>
        </w:rPr>
        <w:t>-</w:t>
      </w:r>
      <w:r>
        <w:rPr>
          <w:iCs/>
        </w:rPr>
        <w:t>19 case data</w:t>
      </w:r>
      <w:r w:rsidR="0048763D">
        <w:rPr>
          <w:iCs/>
        </w:rPr>
        <w:t xml:space="preserve"> [2]</w:t>
      </w:r>
      <w:r>
        <w:rPr>
          <w:iCs/>
        </w:rPr>
        <w:t xml:space="preserve"> is at the local authority level (LTLA)</w:t>
      </w:r>
      <w:r w:rsidR="006C7588">
        <w:rPr>
          <w:iCs/>
        </w:rPr>
        <w:t xml:space="preserve"> from the </w:t>
      </w:r>
      <w:r w:rsidR="00A37484">
        <w:rPr>
          <w:iCs/>
        </w:rPr>
        <w:t xml:space="preserve">results of PCR tests and positive lateral flow tests (which are reported, from </w:t>
      </w:r>
      <w:r w:rsidR="00F21FEB">
        <w:rPr>
          <w:iCs/>
        </w:rPr>
        <w:t>21/10/20</w:t>
      </w:r>
      <w:r w:rsidR="00A37484">
        <w:rPr>
          <w:iCs/>
        </w:rPr>
        <w:t>)</w:t>
      </w:r>
      <w:r>
        <w:rPr>
          <w:iCs/>
        </w:rPr>
        <w:t xml:space="preserve">. </w:t>
      </w:r>
      <w:r w:rsidR="00F21FEB">
        <w:rPr>
          <w:iCs/>
        </w:rPr>
        <w:t xml:space="preserve">This data is collected from the various </w:t>
      </w:r>
      <w:r w:rsidR="0048763D">
        <w:rPr>
          <w:iCs/>
        </w:rPr>
        <w:t>local authorities and then checked and published by Public Health England. The data itself is 8 columns by 244,442 rows from 13/3/20 to 28/12/21</w:t>
      </w:r>
      <w:r w:rsidR="009C5474">
        <w:rPr>
          <w:iCs/>
        </w:rPr>
        <w:t>, with at least one row per day.</w:t>
      </w:r>
      <w:r w:rsidR="00185A50">
        <w:rPr>
          <w:iCs/>
        </w:rPr>
        <w:t xml:space="preserve"> There is an issue with the data for 1/7/20, which appears to be a correction for earlier data points. </w:t>
      </w:r>
      <w:r w:rsidR="00511296">
        <w:rPr>
          <w:iCs/>
        </w:rPr>
        <w:t>Generally,</w:t>
      </w:r>
      <w:r w:rsidR="00185A50">
        <w:rPr>
          <w:iCs/>
        </w:rPr>
        <w:t xml:space="preserve"> the aggregated local authority data matches the UK wide data, but does not face the same level of scrutiny as the UK wide data (being presented by the Prime Minister).</w:t>
      </w:r>
    </w:p>
    <w:p w14:paraId="575BF28B" w14:textId="0C4E3161" w:rsidR="00C46B6F" w:rsidRDefault="007E3541" w:rsidP="00CF2F15">
      <w:pPr>
        <w:pStyle w:val="Body"/>
        <w:rPr>
          <w:iCs/>
        </w:rPr>
      </w:pPr>
      <w:r>
        <w:rPr>
          <w:iCs/>
        </w:rPr>
        <w:t>The data we have from the census</w:t>
      </w:r>
      <w:r w:rsidR="00511296">
        <w:rPr>
          <w:iCs/>
        </w:rPr>
        <w:t xml:space="preserve"> [1]</w:t>
      </w:r>
      <w:r>
        <w:rPr>
          <w:iCs/>
        </w:rPr>
        <w:t xml:space="preserve">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r w:rsidR="00F21FEB">
        <w:rPr>
          <w:iCs/>
        </w:rPr>
        <w:t xml:space="preserve"> </w:t>
      </w:r>
      <w:r w:rsidR="00511296">
        <w:rPr>
          <w:iCs/>
        </w:rPr>
        <w:t xml:space="preserve">The census data was collected through questionnaires presented to every household in the UK. </w:t>
      </w:r>
      <w:r w:rsidR="00291E4B">
        <w:rPr>
          <w:iCs/>
        </w:rPr>
        <w:t>These were then aggregated by the Office of National Statistics.</w:t>
      </w:r>
      <w:r w:rsidR="00897319">
        <w:rPr>
          <w:iCs/>
        </w:rPr>
        <w:t xml:space="preserve"> This dataset has 95 columns and 343 rows.</w:t>
      </w:r>
    </w:p>
    <w:p w14:paraId="6A04D730" w14:textId="368CBA37" w:rsidR="00511296" w:rsidRDefault="00511296" w:rsidP="00CF2F15">
      <w:pPr>
        <w:pStyle w:val="Body"/>
        <w:rPr>
          <w:iCs/>
        </w:rPr>
      </w:pPr>
      <w:r>
        <w:rPr>
          <w:iCs/>
        </w:rPr>
        <w:t xml:space="preserve">Finally, we have the local authority boundary data for 2020 from </w:t>
      </w:r>
      <w:r w:rsidR="00F479C5">
        <w:rPr>
          <w:iCs/>
        </w:rPr>
        <w:t>[11], which is from the ONS</w:t>
      </w:r>
      <w:r w:rsidR="00897319">
        <w:rPr>
          <w:iCs/>
        </w:rPr>
        <w:t>. This dataset has the various local authorities and their geographic properties.</w:t>
      </w:r>
    </w:p>
    <w:p w14:paraId="4FD0A39A" w14:textId="69B901F6" w:rsidR="00244BFF" w:rsidRDefault="00244BFF" w:rsidP="00CF2F15">
      <w:pPr>
        <w:pStyle w:val="Body"/>
        <w:rPr>
          <w:iCs/>
        </w:rPr>
      </w:pPr>
      <w:r>
        <w:rPr>
          <w:iCs/>
        </w:rPr>
        <w:lastRenderedPageBreak/>
        <w:t>The three datasets are joined together by their geography code.</w:t>
      </w:r>
      <w:r w:rsidR="002C6A72">
        <w:rPr>
          <w:iCs/>
        </w:rPr>
        <w:t xml:space="preserve"> By plotting the cases</w:t>
      </w:r>
      <w:r w:rsidR="007D4D52">
        <w:rPr>
          <w:iCs/>
        </w:rPr>
        <w:t xml:space="preserve"> over time</w:t>
      </w:r>
      <w:r w:rsidR="0033298D">
        <w:rPr>
          <w:iCs/>
        </w:rPr>
        <w:t xml:space="preserve"> using Tableau [12]</w:t>
      </w:r>
      <w:r w:rsidR="007D4D52">
        <w:rPr>
          <w:iCs/>
        </w:rPr>
        <w:t>,</w:t>
      </w:r>
      <w:r w:rsidR="002C6A72">
        <w:rPr>
          <w:iCs/>
        </w:rPr>
        <w:t xml:space="preserve"> we could see any obvious anomalies in the case data</w:t>
      </w:r>
      <w:r w:rsidR="007D4D52">
        <w:rPr>
          <w:iCs/>
        </w:rPr>
        <w:t>, such as the giant peak on 1/7/20 which isn’t replicated in the UK wide data (plotted underneath the data</w:t>
      </w:r>
      <w:r w:rsidR="00A81E7D">
        <w:rPr>
          <w:iCs/>
        </w:rPr>
        <w:t>, in figure 1</w:t>
      </w:r>
      <w:r w:rsidR="007D4D52">
        <w:rPr>
          <w:iCs/>
        </w:rPr>
        <w:t>)</w:t>
      </w:r>
      <w:r w:rsidR="002C6A72">
        <w:rPr>
          <w:iCs/>
        </w:rPr>
        <w:t>.</w:t>
      </w:r>
    </w:p>
    <w:p w14:paraId="6C8DCFDF" w14:textId="77777777" w:rsidR="00A81E7D" w:rsidRDefault="00A81E7D" w:rsidP="00A81E7D">
      <w:pPr>
        <w:pStyle w:val="Body"/>
        <w:keepNext/>
      </w:pPr>
      <w:r>
        <w:rPr>
          <w:iCs/>
          <w:noProof/>
        </w:rPr>
        <w:drawing>
          <wp:inline distT="0" distB="0" distL="0" distR="0" wp14:anchorId="1C5CF6D1" wp14:editId="3DAA0EE1">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044003" cy="1640623"/>
                    </a:xfrm>
                    <a:prstGeom prst="rect">
                      <a:avLst/>
                    </a:prstGeom>
                  </pic:spPr>
                </pic:pic>
              </a:graphicData>
            </a:graphic>
          </wp:inline>
        </w:drawing>
      </w:r>
    </w:p>
    <w:p w14:paraId="5435CDA6" w14:textId="53B4D855" w:rsidR="00A81E7D" w:rsidRDefault="00A81E7D" w:rsidP="00A81E7D">
      <w:pPr>
        <w:pStyle w:val="Caption"/>
        <w:jc w:val="both"/>
      </w:pPr>
      <w:r>
        <w:t xml:space="preserve">Fig. </w:t>
      </w:r>
      <w:r w:rsidR="0025496B">
        <w:fldChar w:fldCharType="begin"/>
      </w:r>
      <w:r w:rsidR="0025496B">
        <w:instrText xml:space="preserve"> SEQ Figure \* ARABIC </w:instrText>
      </w:r>
      <w:r w:rsidR="0025496B">
        <w:fldChar w:fldCharType="separate"/>
      </w:r>
      <w:r w:rsidR="00544587">
        <w:rPr>
          <w:noProof/>
        </w:rPr>
        <w:t>1</w:t>
      </w:r>
      <w:r w:rsidR="0025496B">
        <w:rPr>
          <w:noProof/>
        </w:rPr>
        <w:fldChar w:fldCharType="end"/>
      </w:r>
      <w:r>
        <w:t>-District versus UK wide cases</w:t>
      </w:r>
    </w:p>
    <w:p w14:paraId="6D061ACE" w14:textId="717FC6F5" w:rsidR="00F06A10" w:rsidRDefault="00F06A10" w:rsidP="00F06A10">
      <w:r>
        <w:t>On a similar plot</w:t>
      </w:r>
      <w:r w:rsidR="00BA6193">
        <w:t xml:space="preserve"> (fig 2)</w:t>
      </w:r>
      <w:r>
        <w:t xml:space="preserve"> we can see that some individual districts have anomalous spikes in cases (either due to not releasing figures over the weekend or reporting delays).</w:t>
      </w:r>
      <w:r w:rsidR="0075547C">
        <w:t xml:space="preserve"> We can see that there is some variation between the different districts in that some of them have different peaks to the others.</w:t>
      </w:r>
    </w:p>
    <w:p w14:paraId="13F18E9C" w14:textId="77777777" w:rsidR="00BA6193" w:rsidRDefault="00BA6193" w:rsidP="00BA6193">
      <w:pPr>
        <w:keepNext/>
      </w:pPr>
      <w:r>
        <w:rPr>
          <w:noProof/>
        </w:rPr>
        <w:drawing>
          <wp:inline distT="0" distB="0" distL="0" distR="0" wp14:anchorId="74CCB547" wp14:editId="4009ACAD">
            <wp:extent cx="3177540" cy="1917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177540" cy="1917065"/>
                    </a:xfrm>
                    <a:prstGeom prst="rect">
                      <a:avLst/>
                    </a:prstGeom>
                  </pic:spPr>
                </pic:pic>
              </a:graphicData>
            </a:graphic>
          </wp:inline>
        </w:drawing>
      </w:r>
    </w:p>
    <w:p w14:paraId="7CFB4B4F" w14:textId="184560CF" w:rsidR="00BA6193" w:rsidRDefault="00BA6193" w:rsidP="00BA6193">
      <w:pPr>
        <w:pStyle w:val="Caption"/>
      </w:pPr>
      <w:r>
        <w:t xml:space="preserve">Fig. </w:t>
      </w:r>
      <w:r w:rsidR="0025496B">
        <w:fldChar w:fldCharType="begin"/>
      </w:r>
      <w:r w:rsidR="0025496B">
        <w:instrText xml:space="preserve"> SEQ Figure \* ARABIC </w:instrText>
      </w:r>
      <w:r w:rsidR="0025496B">
        <w:fldChar w:fldCharType="separate"/>
      </w:r>
      <w:r w:rsidR="00544587">
        <w:rPr>
          <w:noProof/>
        </w:rPr>
        <w:t>2</w:t>
      </w:r>
      <w:r w:rsidR="0025496B">
        <w:rPr>
          <w:noProof/>
        </w:rPr>
        <w:fldChar w:fldCharType="end"/>
      </w:r>
      <w:r>
        <w:t>- District cases</w:t>
      </w:r>
    </w:p>
    <w:p w14:paraId="7DD879F4" w14:textId="4FBCA3CE" w:rsidR="00075299" w:rsidRDefault="00075299" w:rsidP="00F06A10">
      <w:r>
        <w:t>By looking at the data in Excel we can see many days with zero cases for regions (27k in total) and other cells with null values.</w:t>
      </w:r>
    </w:p>
    <w:p w14:paraId="12E507BB" w14:textId="58FE0B87" w:rsidR="009A3D55" w:rsidRPr="00F06A10" w:rsidRDefault="009A3D55" w:rsidP="00F06A10">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67510A62" w14:textId="77777777" w:rsidR="00A15ECB" w:rsidRDefault="00DB7D28" w:rsidP="00CF2F15">
      <w:pPr>
        <w:pStyle w:val="Body"/>
        <w:rPr>
          <w:iCs/>
          <w:lang w:eastAsia="en-GB"/>
        </w:rPr>
      </w:pPr>
      <w:r>
        <w:rPr>
          <w:iCs/>
          <w:lang w:eastAsia="en-GB"/>
        </w:rPr>
        <w:t xml:space="preserve">To solve the problem of predicting COVID-19 cases at the district level </w:t>
      </w:r>
      <w:r w:rsidR="00146D00">
        <w:rPr>
          <w:iCs/>
          <w:lang w:eastAsia="en-GB"/>
        </w:rPr>
        <w:t xml:space="preserve">we will be following the process set out in Figure 3. </w:t>
      </w:r>
    </w:p>
    <w:p w14:paraId="0AD52FDB" w14:textId="61F0F7E8" w:rsidR="00073854" w:rsidRDefault="00146D00" w:rsidP="00CF2F15">
      <w:pPr>
        <w:pStyle w:val="Body"/>
        <w:rPr>
          <w:iCs/>
          <w:lang w:eastAsia="en-GB"/>
        </w:rPr>
      </w:pPr>
      <w:r>
        <w:rPr>
          <w:iCs/>
          <w:lang w:eastAsia="en-GB"/>
        </w:rPr>
        <w:t>Our first step will be obtaining the data and checking it</w:t>
      </w:r>
      <w:r w:rsidR="00A15ECB">
        <w:rPr>
          <w:iCs/>
          <w:lang w:eastAsia="en-GB"/>
        </w:rPr>
        <w:t xml:space="preserve"> for obvious discrepancies, using Tableau for quick visualisations.</w:t>
      </w:r>
    </w:p>
    <w:p w14:paraId="25F2BC5E" w14:textId="1A8D2CC0" w:rsidR="00D435D4" w:rsidRDefault="00DB7D28" w:rsidP="00CF2F15">
      <w:pPr>
        <w:pStyle w:val="Body"/>
        <w:rPr>
          <w:iCs/>
          <w:lang w:eastAsia="en-GB"/>
        </w:rPr>
      </w:pPr>
      <w:r>
        <w:rPr>
          <w:iCs/>
          <w:lang w:eastAsia="en-GB"/>
        </w:rPr>
        <w:t>As the districts have changed between the dates of the COVID-19 data and the Census data human reasoning is required to match up the merged and split counties</w:t>
      </w:r>
      <w:r w:rsidR="00073854">
        <w:rPr>
          <w:iCs/>
          <w:lang w:eastAsia="en-GB"/>
        </w:rPr>
        <w:t xml:space="preserve"> between the datasets. The human needs to be presented with both lists of countries and where the computer cannot make a one-to-one join between the two datasets (using Excel’s </w:t>
      </w:r>
      <w:proofErr w:type="spellStart"/>
      <w:r w:rsidR="00073854">
        <w:rPr>
          <w:iCs/>
          <w:lang w:eastAsia="en-GB"/>
        </w:rPr>
        <w:t>vlookup</w:t>
      </w:r>
      <w:proofErr w:type="spellEnd"/>
      <w:r w:rsidR="00073854">
        <w:rPr>
          <w:iCs/>
          <w:lang w:eastAsia="en-GB"/>
        </w:rPr>
        <w:t xml:space="preserve"> </w:t>
      </w:r>
      <w:r w:rsidR="00073854">
        <w:rPr>
          <w:iCs/>
          <w:lang w:eastAsia="en-GB"/>
        </w:rPr>
        <w:t>function), the human needs to reason about what to do to make a join.</w:t>
      </w:r>
    </w:p>
    <w:p w14:paraId="34FA7873" w14:textId="3E210F8B" w:rsidR="000B5111" w:rsidRDefault="009A2F20" w:rsidP="00CF2F15">
      <w:pPr>
        <w:pStyle w:val="Body"/>
        <w:rPr>
          <w:iCs/>
          <w:lang w:eastAsia="en-GB"/>
        </w:rPr>
      </w:pPr>
      <w:r>
        <w:rPr>
          <w:iCs/>
          <w:lang w:eastAsia="en-GB"/>
        </w:rPr>
        <w:t>The next step is to create a calculated variable of the relative total number of cases. This is done by taking the total population (number of people 0-59 plus 60+) and dividing the sum of a region’s cases by that. This is then used as the y value in an array of Seaborn</w:t>
      </w:r>
      <w:r w:rsidR="004D1BEC">
        <w:rPr>
          <w:iCs/>
          <w:lang w:eastAsia="en-GB"/>
        </w:rPr>
        <w:t xml:space="preserve"> [13]</w:t>
      </w:r>
      <w:r>
        <w:rPr>
          <w:iCs/>
          <w:lang w:eastAsia="en-GB"/>
        </w:rPr>
        <w:t xml:space="preserve"> regression plots with the various census columns used as the x values. The human analyst then needs to reason about which census columns to use further in the analysis based upon these</w:t>
      </w:r>
      <w:r w:rsidR="004844F3">
        <w:rPr>
          <w:iCs/>
          <w:lang w:eastAsia="en-GB"/>
        </w:rPr>
        <w:t xml:space="preserve"> and their correlation statistics</w:t>
      </w:r>
      <w:r>
        <w:rPr>
          <w:iCs/>
          <w:lang w:eastAsia="en-GB"/>
        </w:rPr>
        <w:t>.</w:t>
      </w:r>
      <w:r w:rsidR="004844F3">
        <w:rPr>
          <w:iCs/>
          <w:lang w:eastAsia="en-GB"/>
        </w:rPr>
        <w:t xml:space="preserve"> This is so that sensible columns are picked to help with the forecasting</w:t>
      </w:r>
      <w:r w:rsidR="004D1BEC">
        <w:rPr>
          <w:iCs/>
          <w:lang w:eastAsia="en-GB"/>
        </w:rPr>
        <w:t>.</w:t>
      </w:r>
    </w:p>
    <w:p w14:paraId="4F1D5D73" w14:textId="1E367CE6" w:rsidR="004D1BEC" w:rsidRDefault="004D1BEC" w:rsidP="00CF2F15">
      <w:pPr>
        <w:pStyle w:val="Body"/>
        <w:rPr>
          <w:iCs/>
          <w:lang w:eastAsia="en-GB"/>
        </w:rPr>
      </w:pPr>
      <w:r>
        <w:rPr>
          <w:iCs/>
          <w:lang w:eastAsia="en-GB"/>
        </w:rPr>
        <w:t xml:space="preserve">Once the relevant variables have been chosen the regions will be clustered based upon these factors. </w:t>
      </w:r>
      <w:r w:rsidR="00F63F50">
        <w:rPr>
          <w:iCs/>
          <w:lang w:eastAsia="en-GB"/>
        </w:rPr>
        <w:t xml:space="preserve">The human analyst will then have to decide upon the optimal number of clusters </w:t>
      </w:r>
      <w:r w:rsidR="00CC5EF5">
        <w:rPr>
          <w:iCs/>
          <w:lang w:eastAsia="en-GB"/>
        </w:rPr>
        <w:t xml:space="preserve">by using the </w:t>
      </w:r>
      <w:proofErr w:type="spellStart"/>
      <w:r w:rsidR="00CC5EF5">
        <w:rPr>
          <w:iCs/>
          <w:lang w:eastAsia="en-GB"/>
        </w:rPr>
        <w:t>Yellowbrick</w:t>
      </w:r>
      <w:proofErr w:type="spellEnd"/>
      <w:r w:rsidR="00CC5EF5">
        <w:rPr>
          <w:iCs/>
          <w:lang w:eastAsia="en-GB"/>
        </w:rPr>
        <w:t xml:space="preserve"> [14] silhouette plot, the seaborn plot of the clustered data</w:t>
      </w:r>
      <w:r w:rsidR="002353FE">
        <w:rPr>
          <w:iCs/>
          <w:lang w:eastAsia="en-GB"/>
        </w:rPr>
        <w:t>, clusters on the geographic map</w:t>
      </w:r>
      <w:r w:rsidR="00CC5EF5">
        <w:rPr>
          <w:iCs/>
          <w:lang w:eastAsia="en-GB"/>
        </w:rPr>
        <w:t xml:space="preserve">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p>
    <w:p w14:paraId="6388F02D" w14:textId="60E377B5" w:rsidR="00FC4B31" w:rsidRDefault="00FC4B31" w:rsidP="00CF2F15">
      <w:pPr>
        <w:pStyle w:val="Body"/>
        <w:rPr>
          <w:iCs/>
          <w:lang w:eastAsia="en-GB"/>
        </w:rPr>
      </w:pPr>
      <w:r>
        <w:rPr>
          <w:iCs/>
          <w:lang w:eastAsia="en-GB"/>
        </w:rPr>
        <w:t>The data will then need to be run through the Dicky-Fuller test to see if it is stationary or non-stationary time-series data so that the appropriate ARIMA model can be decided upon using Stats-models</w:t>
      </w:r>
      <w:r w:rsidR="00017B17">
        <w:rPr>
          <w:iCs/>
          <w:lang w:eastAsia="en-GB"/>
        </w:rPr>
        <w:t xml:space="preserve"> [15] </w:t>
      </w:r>
      <w:proofErr w:type="spellStart"/>
      <w:r w:rsidR="00017B17">
        <w:rPr>
          <w:iCs/>
          <w:lang w:eastAsia="en-GB"/>
        </w:rPr>
        <w:t>AdFuller</w:t>
      </w:r>
      <w:proofErr w:type="spellEnd"/>
      <w:r w:rsidR="00017B17">
        <w:rPr>
          <w:iCs/>
          <w:lang w:eastAsia="en-GB"/>
        </w:rPr>
        <w:t xml:space="preserve"> method</w:t>
      </w:r>
      <w:r>
        <w:rPr>
          <w:iCs/>
          <w:lang w:eastAsia="en-GB"/>
        </w:rPr>
        <w:t>.</w:t>
      </w:r>
    </w:p>
    <w:p w14:paraId="2CEA5AF2" w14:textId="605C83C4" w:rsidR="0062797F" w:rsidRDefault="0062797F" w:rsidP="0062797F">
      <w:pPr>
        <w:pStyle w:val="Body"/>
        <w:rPr>
          <w:iCs/>
          <w:lang w:eastAsia="en-GB"/>
        </w:rPr>
      </w:pPr>
      <w:r>
        <w:rPr>
          <w:iCs/>
          <w:lang w:eastAsia="en-GB"/>
        </w:rPr>
        <w:t xml:space="preserve">An ARIMA model will then be constructed and tested upon the last few time periods of the data. This will be contrasted with an </w:t>
      </w:r>
      <w:r w:rsidR="0075547C">
        <w:rPr>
          <w:iCs/>
          <w:lang w:eastAsia="en-GB"/>
        </w:rPr>
        <w:t>XGB (extreme gradient boost) regression</w:t>
      </w:r>
      <w:r>
        <w:rPr>
          <w:iCs/>
          <w:lang w:eastAsia="en-GB"/>
        </w:rPr>
        <w:t xml:space="preserve"> model to </w:t>
      </w:r>
      <w:r w:rsidR="00C24F77">
        <w:rPr>
          <w:iCs/>
          <w:lang w:eastAsia="en-GB"/>
        </w:rPr>
        <w:t>see which is the better model. The human analyst will be deciding upon this using visualisation of both models predicted data against the actual data.</w:t>
      </w:r>
    </w:p>
    <w:p w14:paraId="35221217" w14:textId="0670ADE9" w:rsidR="00017B17" w:rsidRDefault="002353FE" w:rsidP="00CF2F15">
      <w:pPr>
        <w:pStyle w:val="Body"/>
        <w:rPr>
          <w:iCs/>
          <w:lang w:eastAsia="en-GB"/>
        </w:rPr>
      </w:pPr>
      <w:r>
        <w:rPr>
          <w:iCs/>
          <w:lang w:eastAsia="en-GB"/>
        </w:rPr>
        <w:t>Finally, we will be predicting future cases and plotting these on the geographic map</w:t>
      </w:r>
      <w:r w:rsidR="003F7598">
        <w:rPr>
          <w:iCs/>
          <w:lang w:eastAsia="en-GB"/>
        </w:rPr>
        <w:t>, then unpacking the clusters into regional predictions</w:t>
      </w:r>
      <w:r>
        <w:rPr>
          <w:iCs/>
          <w:lang w:eastAsia="en-GB"/>
        </w:rPr>
        <w:t>.</w:t>
      </w:r>
    </w:p>
    <w:p w14:paraId="69E02CF3" w14:textId="77777777" w:rsidR="00146D00" w:rsidRDefault="00146D00" w:rsidP="00146D00">
      <w:pPr>
        <w:pStyle w:val="Body"/>
        <w:keepNext/>
      </w:pPr>
      <w:r>
        <w:rPr>
          <w:iCs/>
          <w:noProof/>
          <w:lang w:eastAsia="en-GB"/>
        </w:rPr>
        <w:drawing>
          <wp:inline distT="0" distB="0" distL="0" distR="0" wp14:anchorId="3866C1AB" wp14:editId="4E3238A5">
            <wp:extent cx="3177480" cy="2412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177480" cy="2412365"/>
                    </a:xfrm>
                    <a:prstGeom prst="rect">
                      <a:avLst/>
                    </a:prstGeom>
                  </pic:spPr>
                </pic:pic>
              </a:graphicData>
            </a:graphic>
          </wp:inline>
        </w:drawing>
      </w:r>
    </w:p>
    <w:p w14:paraId="13F6E25C" w14:textId="5388C1E4" w:rsidR="00146D00" w:rsidRDefault="00146D00" w:rsidP="00146D00">
      <w:pPr>
        <w:pStyle w:val="Caption"/>
        <w:jc w:val="both"/>
        <w:rPr>
          <w:iCs/>
          <w:lang w:eastAsia="en-GB"/>
        </w:rPr>
      </w:pPr>
      <w:r>
        <w:t xml:space="preserve">Fig. </w:t>
      </w:r>
      <w:fldSimple w:instr=" SEQ Figure \* ARABIC ">
        <w:r w:rsidR="00544587">
          <w:rPr>
            <w:noProof/>
          </w:rPr>
          <w:t>3</w:t>
        </w:r>
      </w:fldSimple>
      <w:r>
        <w:t>-Approach flowchart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32618380" w14:textId="5F959A7E" w:rsidR="0036067B" w:rsidRDefault="00C52287" w:rsidP="0036067B">
      <w:pPr>
        <w:pStyle w:val="Body"/>
        <w:rPr>
          <w:iCs/>
          <w:lang w:eastAsia="en-GB"/>
        </w:rPr>
      </w:pPr>
      <w:r>
        <w:rPr>
          <w:iCs/>
          <w:lang w:eastAsia="en-GB"/>
        </w:rPr>
        <w:t xml:space="preserve">For the process of looking at the various columns and how they interact with the relative number of cases, it was very quickly noticed that there was a problem. Almost every number no matter what it was, when it increased it meant that there was a higher relative number of cases. As unfortunately </w:t>
      </w:r>
      <w:r>
        <w:rPr>
          <w:iCs/>
          <w:lang w:eastAsia="en-GB"/>
        </w:rPr>
        <w:lastRenderedPageBreak/>
        <w:t xml:space="preserve">the total population was a confounder, as there were more people to catch and spread COVID-19. Dividing each column by the total population and then running it through </w:t>
      </w:r>
      <w:proofErr w:type="spellStart"/>
      <w:r>
        <w:rPr>
          <w:iCs/>
          <w:lang w:eastAsia="en-GB"/>
        </w:rPr>
        <w:t>seaborn’s</w:t>
      </w:r>
      <w:proofErr w:type="spellEnd"/>
      <w:r>
        <w:rPr>
          <w:iCs/>
          <w:lang w:eastAsia="en-GB"/>
        </w:rPr>
        <w:t xml:space="preserve"> regression plot function we could see the actual effect of that variable. </w:t>
      </w:r>
      <w:r w:rsidR="00C81BC0">
        <w:rPr>
          <w:iCs/>
          <w:lang w:eastAsia="en-GB"/>
        </w:rPr>
        <w:t xml:space="preserve">Having the computer make the decision on </w:t>
      </w:r>
      <w:r w:rsidR="00847691">
        <w:rPr>
          <w:iCs/>
          <w:lang w:eastAsia="en-GB"/>
        </w:rPr>
        <w:t>the correlation between one of the variables and the relative number of cases would be a quick way of doing things, but the correlation figure can be easily misled by a few extreme points of data. Seeing the data for ourselves allows for more control.</w:t>
      </w:r>
      <w:r w:rsidR="0036067B">
        <w:rPr>
          <w:iCs/>
          <w:lang w:eastAsia="en-GB"/>
        </w:rPr>
        <w:t xml:space="preserve"> Interesting preliminary results from this analysis showed that the relative number of people in each ethnic group appeared to have no effect on the relative number of cases. Un</w:t>
      </w:r>
      <w:r w:rsidR="003D5364">
        <w:rPr>
          <w:iCs/>
          <w:lang w:eastAsia="en-GB"/>
        </w:rPr>
        <w:t xml:space="preserve">surprisingly the more people with lower health rankings the higher the number of cases. Those areas with more people with no qualifications had higher COVID-19 rates, but only the level 4 qualifications had an effect of lowering the rates of COVID-19. For the age groups there was the surprising effect that the younger the relative population the higher the rate of COVID-19, but this effect gradually settled down and </w:t>
      </w:r>
      <w:r w:rsidR="00C362EE">
        <w:rPr>
          <w:iCs/>
          <w:lang w:eastAsia="en-GB"/>
        </w:rPr>
        <w:t xml:space="preserve">then started reversing at 45-49 (or 55-59 if </w:t>
      </w:r>
      <w:proofErr w:type="spellStart"/>
      <w:r w:rsidR="00C362EE">
        <w:rPr>
          <w:iCs/>
          <w:lang w:eastAsia="en-GB"/>
        </w:rPr>
        <w:t>you</w:t>
      </w:r>
      <w:proofErr w:type="spellEnd"/>
      <w:r w:rsidR="00C362EE">
        <w:rPr>
          <w:iCs/>
          <w:lang w:eastAsia="en-GB"/>
        </w:rPr>
        <w:t xml:space="preserve"> account for the fact that the census is 10 years old).</w:t>
      </w:r>
    </w:p>
    <w:p w14:paraId="0954B974" w14:textId="2D85212D" w:rsidR="00200591" w:rsidRDefault="00200591" w:rsidP="0036067B">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w:t>
      </w:r>
      <w:proofErr w:type="spellStart"/>
      <w:r>
        <w:rPr>
          <w:iCs/>
          <w:lang w:eastAsia="en-GB"/>
        </w:rPr>
        <w:t>Learn’s</w:t>
      </w:r>
      <w:proofErr w:type="spellEnd"/>
      <w:r>
        <w:rPr>
          <w:iCs/>
          <w:lang w:eastAsia="en-GB"/>
        </w:rPr>
        <w:t xml:space="preserve"> </w:t>
      </w:r>
      <w:r w:rsidR="00C01EB9">
        <w:rPr>
          <w:iCs/>
          <w:lang w:eastAsia="en-GB"/>
        </w:rPr>
        <w:t>[16] K-Means algorithm “which seeks an optimal partition of the data by minimising the sum-of-squared-error criterion” [17]</w:t>
      </w:r>
      <w:r w:rsidR="00F9218C">
        <w:rPr>
          <w:iCs/>
          <w:lang w:eastAsia="en-GB"/>
        </w:rPr>
        <w:t>, we began clustering up the data. We used the relative numbers for our chosen interesting columns</w:t>
      </w:r>
      <w:r w:rsidR="00BF590B">
        <w:rPr>
          <w:iCs/>
          <w:lang w:eastAsia="en-GB"/>
        </w:rPr>
        <w:t xml:space="preserve">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score, these were then put into a graph so that the analyst could look at the regions with higher scores</w:t>
      </w:r>
      <w:r w:rsidR="00B63FF8">
        <w:rPr>
          <w:iCs/>
          <w:lang w:eastAsia="en-GB"/>
        </w:rPr>
        <w:t xml:space="preserve"> (Fig 4)</w:t>
      </w:r>
      <w:r w:rsidR="00BF590B">
        <w:rPr>
          <w:iCs/>
          <w:lang w:eastAsia="en-GB"/>
        </w:rPr>
        <w:t>.</w:t>
      </w:r>
      <w:r w:rsidR="00B63FF8">
        <w:rPr>
          <w:iCs/>
          <w:lang w:eastAsia="en-GB"/>
        </w:rPr>
        <w:t xml:space="preserve"> As you can see from the graph below 10 clusters seems to be preferable, then any number up to 100 is not too bad and then after that the performance got steadily worse.</w:t>
      </w:r>
    </w:p>
    <w:p w14:paraId="01085267" w14:textId="44BE3E26" w:rsidR="0023500F" w:rsidRDefault="000352B6" w:rsidP="000352B6">
      <w:pPr>
        <w:pStyle w:val="Picture"/>
      </w:pPr>
      <w:r>
        <w:rPr>
          <w:noProof/>
        </w:rPr>
        <w:drawing>
          <wp:inline distT="0" distB="0" distL="0" distR="0" wp14:anchorId="51630E59" wp14:editId="77B3FCF0">
            <wp:extent cx="3177540" cy="2291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3177540" cy="2291680"/>
                    </a:xfrm>
                    <a:prstGeom prst="rect">
                      <a:avLst/>
                    </a:prstGeom>
                  </pic:spPr>
                </pic:pic>
              </a:graphicData>
            </a:graphic>
          </wp:inline>
        </w:drawing>
      </w:r>
    </w:p>
    <w:p w14:paraId="1924178F" w14:textId="67568048" w:rsidR="0023500F" w:rsidRDefault="00B63FF8" w:rsidP="0023500F">
      <w:pPr>
        <w:pStyle w:val="FigureCaption"/>
      </w:pPr>
      <w:r>
        <w:t>Fig 4</w:t>
      </w:r>
      <w:r w:rsidR="0023500F">
        <w:t xml:space="preserve">. </w:t>
      </w:r>
      <w:r>
        <w:t>Potential number of clusters versus average silhouette score</w:t>
      </w:r>
    </w:p>
    <w:p w14:paraId="7C842830" w14:textId="2B67476B" w:rsidR="00B63FF8" w:rsidRDefault="00B63FF8" w:rsidP="0023500F">
      <w:pPr>
        <w:pStyle w:val="FigureCaption"/>
        <w:rPr>
          <w:rFonts w:ascii="Times" w:hAnsi="Times"/>
          <w:iCs/>
          <w:sz w:val="20"/>
          <w:szCs w:val="20"/>
          <w:lang w:val="en-GB" w:eastAsia="en-GB"/>
        </w:rPr>
      </w:pPr>
      <w:r w:rsidRPr="0052525C">
        <w:rPr>
          <w:rFonts w:ascii="Times" w:hAnsi="Times"/>
          <w:iCs/>
          <w:sz w:val="20"/>
          <w:szCs w:val="20"/>
          <w:lang w:val="en-GB" w:eastAsia="en-GB"/>
        </w:rPr>
        <w:t>S</w:t>
      </w:r>
      <w:r w:rsidR="009B0242" w:rsidRPr="0052525C">
        <w:rPr>
          <w:rFonts w:ascii="Times" w:hAnsi="Times"/>
          <w:iCs/>
          <w:sz w:val="20"/>
          <w:szCs w:val="20"/>
          <w:lang w:val="en-GB" w:eastAsia="en-GB"/>
        </w:rPr>
        <w:t xml:space="preserve">o that the human analyst could make the final decision we used </w:t>
      </w:r>
      <w:proofErr w:type="spellStart"/>
      <w:r w:rsidR="009B0242" w:rsidRPr="0052525C">
        <w:rPr>
          <w:rFonts w:ascii="Times" w:hAnsi="Times"/>
          <w:iCs/>
          <w:sz w:val="20"/>
          <w:szCs w:val="20"/>
          <w:lang w:val="en-GB" w:eastAsia="en-GB"/>
        </w:rPr>
        <w:t>Yellowbrick’s</w:t>
      </w:r>
      <w:proofErr w:type="spellEnd"/>
      <w:r w:rsidR="009B0242" w:rsidRPr="0052525C">
        <w:rPr>
          <w:rFonts w:ascii="Times" w:hAnsi="Times"/>
          <w:iCs/>
          <w:sz w:val="20"/>
          <w:szCs w:val="20"/>
          <w:lang w:val="en-GB" w:eastAsia="en-GB"/>
        </w:rPr>
        <w:t xml:space="preserve"> [14] silhouette visualizer and </w:t>
      </w:r>
      <w:proofErr w:type="spellStart"/>
      <w:r w:rsidR="00721694" w:rsidRPr="0052525C">
        <w:rPr>
          <w:rFonts w:ascii="Times" w:hAnsi="Times"/>
          <w:iCs/>
          <w:sz w:val="20"/>
          <w:szCs w:val="20"/>
          <w:lang w:val="en-GB" w:eastAsia="en-GB"/>
        </w:rPr>
        <w:t>GeoPandas</w:t>
      </w:r>
      <w:proofErr w:type="spellEnd"/>
      <w:r w:rsidR="00721694" w:rsidRPr="0052525C">
        <w:rPr>
          <w:rFonts w:ascii="Times" w:hAnsi="Times"/>
          <w:iCs/>
          <w:sz w:val="20"/>
          <w:szCs w:val="20"/>
          <w:lang w:val="en-GB" w:eastAsia="en-GB"/>
        </w:rPr>
        <w:t xml:space="preserve"> [18] to show the cluster’s scores and the clusters’ locations on the map. A balance needed to be struck between using too many clusters and them becoming meaningless and using too few clusters and them not being able to capture the essence of the underlying data</w:t>
      </w:r>
      <w:r w:rsidR="001E380C" w:rsidRPr="0052525C">
        <w:rPr>
          <w:rFonts w:ascii="Times" w:hAnsi="Times"/>
          <w:iCs/>
          <w:sz w:val="20"/>
          <w:szCs w:val="20"/>
          <w:lang w:val="en-GB" w:eastAsia="en-GB"/>
        </w:rPr>
        <w:t xml:space="preserve">. </w:t>
      </w:r>
      <w:r w:rsidR="00B951E0">
        <w:rPr>
          <w:rFonts w:ascii="Times" w:hAnsi="Times"/>
          <w:iCs/>
          <w:sz w:val="20"/>
          <w:szCs w:val="20"/>
          <w:lang w:val="en-GB" w:eastAsia="en-GB"/>
        </w:rPr>
        <w:t>In the end we decided upon six clusters. Its average score is 48% and the area seem to be split out between very rural, rural, suburban, urban and somewhere in between rural and suburban (plus another cluster invisible on the map and silhouette plot)</w:t>
      </w:r>
      <w:r w:rsidR="00A73808">
        <w:rPr>
          <w:rFonts w:ascii="Times" w:hAnsi="Times"/>
          <w:iCs/>
          <w:sz w:val="20"/>
          <w:szCs w:val="20"/>
          <w:lang w:val="en-GB" w:eastAsia="en-GB"/>
        </w:rPr>
        <w:t xml:space="preserve"> as you can see in figure 5</w:t>
      </w:r>
      <w:r w:rsidR="00B951E0">
        <w:rPr>
          <w:rFonts w:ascii="Times" w:hAnsi="Times"/>
          <w:iCs/>
          <w:sz w:val="20"/>
          <w:szCs w:val="20"/>
          <w:lang w:val="en-GB" w:eastAsia="en-GB"/>
        </w:rPr>
        <w:t>.</w:t>
      </w:r>
    </w:p>
    <w:p w14:paraId="32B1F52D" w14:textId="11780480" w:rsidR="004D1B52" w:rsidRDefault="0025496B" w:rsidP="0023500F">
      <w:pPr>
        <w:pStyle w:val="FigureCaption"/>
        <w:rPr>
          <w:rFonts w:ascii="Times" w:hAnsi="Times"/>
          <w:iCs/>
          <w:sz w:val="20"/>
          <w:szCs w:val="20"/>
          <w:lang w:val="en-GB" w:eastAsia="en-GB"/>
        </w:rPr>
      </w:pPr>
      <w:r>
        <w:rPr>
          <w:noProof/>
        </w:rPr>
        <w:pict w14:anchorId="4AA8657A">
          <v:shapetype id="_x0000_t202" coordsize="21600,21600" o:spt="202" path="m,l,21600r21600,l21600,xe">
            <v:stroke joinstyle="miter"/>
            <v:path gradientshapeok="t" o:connecttype="rect"/>
          </v:shapetype>
          <v:shape id="_x0000_s2055" type="#_x0000_t202" style="position:absolute;margin-left:.05pt;margin-top:297.45pt;width:250.2pt;height:.05pt;z-index:251658752;mso-position-horizontal-relative:text;mso-position-vertical-relative:text" wrapcoords="-65 0 -65 20800 21600 20800 21600 0 -65 0" stroked="f">
            <v:textbox style="mso-fit-shape-to-text:t" inset="0,0,0,0">
              <w:txbxContent>
                <w:p w14:paraId="3949E85D" w14:textId="7CCFD12F" w:rsidR="00A73808" w:rsidRPr="00C15D80" w:rsidRDefault="00A73808" w:rsidP="00A73808">
                  <w:pPr>
                    <w:pStyle w:val="Caption"/>
                    <w:rPr>
                      <w:rFonts w:ascii="Times" w:hAnsi="Times"/>
                      <w:iCs/>
                      <w:noProof/>
                      <w:szCs w:val="20"/>
                    </w:rPr>
                  </w:pPr>
                  <w:r>
                    <w:t>Fig. 5-Clustering</w:t>
                  </w:r>
                </w:p>
              </w:txbxContent>
            </v:textbox>
            <w10:wrap type="tight"/>
          </v:shape>
        </w:pict>
      </w:r>
      <w:r w:rsidR="00362628">
        <w:rPr>
          <w:rFonts w:ascii="Times" w:hAnsi="Times"/>
          <w:iCs/>
          <w:noProof/>
          <w:sz w:val="20"/>
          <w:szCs w:val="20"/>
          <w:lang w:val="en-GB" w:eastAsia="en-GB"/>
        </w:rPr>
        <w:drawing>
          <wp:anchor distT="0" distB="0" distL="114300" distR="114300" simplePos="0" relativeHeight="251654656" behindDoc="1" locked="0" layoutInCell="1" allowOverlap="1" wp14:anchorId="7BF2D87B" wp14:editId="4EFB6BB6">
            <wp:simplePos x="0" y="0"/>
            <wp:positionH relativeFrom="column">
              <wp:posOffset>635</wp:posOffset>
            </wp:positionH>
            <wp:positionV relativeFrom="paragraph">
              <wp:posOffset>-5209540</wp:posOffset>
            </wp:positionV>
            <wp:extent cx="3177540" cy="5310505"/>
            <wp:effectExtent l="0" t="0" r="0" b="0"/>
            <wp:wrapTight wrapText="bothSides">
              <wp:wrapPolygon edited="0">
                <wp:start x="0" y="0"/>
                <wp:lineTo x="0" y="21541"/>
                <wp:lineTo x="21496" y="21541"/>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3177540" cy="5310505"/>
                    </a:xfrm>
                    <a:prstGeom prst="rect">
                      <a:avLst/>
                    </a:prstGeom>
                  </pic:spPr>
                </pic:pic>
              </a:graphicData>
            </a:graphic>
            <wp14:sizeRelH relativeFrom="page">
              <wp14:pctWidth>0</wp14:pctWidth>
            </wp14:sizeRelH>
            <wp14:sizeRelV relativeFrom="page">
              <wp14:pctHeight>0</wp14:pctHeight>
            </wp14:sizeRelV>
          </wp:anchor>
        </w:drawing>
      </w:r>
      <w:r w:rsidR="00AF2C00">
        <w:rPr>
          <w:rFonts w:ascii="Times" w:hAnsi="Times"/>
          <w:iCs/>
          <w:sz w:val="20"/>
          <w:szCs w:val="20"/>
          <w:lang w:val="en-GB" w:eastAsia="en-GB"/>
        </w:rPr>
        <w:t>For the process of running the Dicky-Fuller test (used to test if time-series data is stationary or non-stationary (tending around a number or unbound))</w:t>
      </w:r>
      <w:r w:rsidR="00915950">
        <w:rPr>
          <w:rFonts w:ascii="Times" w:hAnsi="Times"/>
          <w:iCs/>
          <w:sz w:val="20"/>
          <w:szCs w:val="20"/>
          <w:lang w:val="en-GB" w:eastAsia="en-GB"/>
        </w:rPr>
        <w:t xml:space="preserve">, we used </w:t>
      </w:r>
      <w:proofErr w:type="spellStart"/>
      <w:r w:rsidR="00915950">
        <w:rPr>
          <w:rFonts w:ascii="Times" w:hAnsi="Times"/>
          <w:iCs/>
          <w:sz w:val="20"/>
          <w:szCs w:val="20"/>
          <w:lang w:val="en-GB" w:eastAsia="en-GB"/>
        </w:rPr>
        <w:t>statsmodels</w:t>
      </w:r>
      <w:proofErr w:type="spellEnd"/>
      <w:r w:rsidR="00915950">
        <w:rPr>
          <w:rFonts w:ascii="Times" w:hAnsi="Times"/>
          <w:iCs/>
          <w:sz w:val="20"/>
          <w:szCs w:val="20"/>
          <w:lang w:val="en-GB" w:eastAsia="en-GB"/>
        </w:rPr>
        <w:t xml:space="preserve"> [15] </w:t>
      </w:r>
      <w:proofErr w:type="spellStart"/>
      <w:r w:rsidR="00915950">
        <w:rPr>
          <w:rFonts w:ascii="Times" w:hAnsi="Times"/>
          <w:iCs/>
          <w:sz w:val="20"/>
          <w:szCs w:val="20"/>
          <w:lang w:val="en-GB" w:eastAsia="en-GB"/>
        </w:rPr>
        <w:t>adfuller</w:t>
      </w:r>
      <w:proofErr w:type="spellEnd"/>
      <w:r w:rsidR="00915950">
        <w:rPr>
          <w:rFonts w:ascii="Times" w:hAnsi="Times"/>
          <w:iCs/>
          <w:sz w:val="20"/>
          <w:szCs w:val="20"/>
          <w:lang w:val="en-GB" w:eastAsia="en-GB"/>
        </w:rPr>
        <w:t xml:space="preserve"> test. From the test statistics </w:t>
      </w:r>
      <w:r w:rsidR="00775E73">
        <w:rPr>
          <w:rFonts w:ascii="Times" w:hAnsi="Times"/>
          <w:iCs/>
          <w:sz w:val="20"/>
          <w:szCs w:val="20"/>
          <w:lang w:val="en-GB" w:eastAsia="en-GB"/>
        </w:rPr>
        <w:t xml:space="preserve">we can see that cluster 2 is the most stationary and 3 is the least stationary. </w:t>
      </w:r>
      <w:r w:rsidR="00B12D8D">
        <w:rPr>
          <w:rFonts w:ascii="Times" w:hAnsi="Times"/>
          <w:iCs/>
          <w:sz w:val="20"/>
          <w:szCs w:val="20"/>
          <w:lang w:val="en-GB" w:eastAsia="en-GB"/>
        </w:rPr>
        <w:t>From the p-values we can accept that the data is stationary. As the case data (as of 28/12/21) is still trending upwards</w:t>
      </w:r>
      <w:r w:rsidR="004D1B52">
        <w:rPr>
          <w:rFonts w:ascii="Times" w:hAnsi="Times"/>
          <w:iCs/>
          <w:sz w:val="20"/>
          <w:szCs w:val="20"/>
          <w:lang w:val="en-GB" w:eastAsia="en-GB"/>
        </w:rPr>
        <w:t xml:space="preserve"> as we can see in figure 6</w:t>
      </w:r>
      <w:r w:rsidR="00B12D8D">
        <w:rPr>
          <w:rFonts w:ascii="Times" w:hAnsi="Times"/>
          <w:iCs/>
          <w:sz w:val="20"/>
          <w:szCs w:val="20"/>
          <w:lang w:val="en-GB" w:eastAsia="en-GB"/>
        </w:rPr>
        <w:t xml:space="preserve"> (and </w:t>
      </w:r>
      <w:r w:rsidR="009E21A9">
        <w:rPr>
          <w:rFonts w:ascii="Times" w:hAnsi="Times"/>
          <w:iCs/>
          <w:sz w:val="20"/>
          <w:szCs w:val="20"/>
          <w:lang w:val="en-GB" w:eastAsia="en-GB"/>
        </w:rPr>
        <w:t>we are assuming that they will fall at some point) this is likely throwing off the test statistics.</w:t>
      </w:r>
      <w:r w:rsidR="004D1B52">
        <w:rPr>
          <w:rFonts w:ascii="Times" w:hAnsi="Times"/>
          <w:iCs/>
          <w:sz w:val="20"/>
          <w:szCs w:val="20"/>
          <w:lang w:val="en-GB" w:eastAsia="en-GB"/>
        </w:rPr>
        <w:t xml:space="preserve"> </w:t>
      </w:r>
    </w:p>
    <w:p w14:paraId="6583230A" w14:textId="3F07562F" w:rsidR="00D63AA5" w:rsidRDefault="00D63AA5" w:rsidP="0023500F">
      <w:pPr>
        <w:pStyle w:val="FigureCaption"/>
        <w:rPr>
          <w:rFonts w:ascii="Times" w:hAnsi="Times"/>
          <w:iCs/>
          <w:sz w:val="20"/>
          <w:szCs w:val="20"/>
          <w:lang w:val="en-GB" w:eastAsia="en-GB"/>
        </w:rPr>
      </w:pPr>
      <w:r>
        <w:rPr>
          <w:rFonts w:ascii="Times" w:hAnsi="Times"/>
          <w:iCs/>
          <w:sz w:val="20"/>
          <w:szCs w:val="20"/>
          <w:lang w:val="en-GB" w:eastAsia="en-GB"/>
        </w:rPr>
        <w:t xml:space="preserve">For the process of running the Partial Autocorrelation Function and Autocorrelation Function graphs using the relevant </w:t>
      </w:r>
      <w:proofErr w:type="spellStart"/>
      <w:r>
        <w:rPr>
          <w:rFonts w:ascii="Times" w:hAnsi="Times"/>
          <w:iCs/>
          <w:sz w:val="20"/>
          <w:szCs w:val="20"/>
          <w:lang w:val="en-GB" w:eastAsia="en-GB"/>
        </w:rPr>
        <w:t>statsmodel</w:t>
      </w:r>
      <w:proofErr w:type="spellEnd"/>
      <w:r>
        <w:rPr>
          <w:rFonts w:ascii="Times" w:hAnsi="Times"/>
          <w:iCs/>
          <w:sz w:val="20"/>
          <w:szCs w:val="20"/>
          <w:lang w:val="en-GB" w:eastAsia="en-GB"/>
        </w:rPr>
        <w:t xml:space="preserve"> functions. We get a series of graphs for the clusters, taking the first difference we can see that the ACF graph cuts off after the first lag and the PACF tails off</w:t>
      </w:r>
      <w:r w:rsidR="001E78F2">
        <w:rPr>
          <w:rFonts w:ascii="Times" w:hAnsi="Times"/>
          <w:iCs/>
          <w:sz w:val="20"/>
          <w:szCs w:val="20"/>
          <w:lang w:val="en-GB" w:eastAsia="en-GB"/>
        </w:rPr>
        <w:t xml:space="preserve">. Using the </w:t>
      </w:r>
      <w:proofErr w:type="spellStart"/>
      <w:r w:rsidR="001E78F2">
        <w:rPr>
          <w:rFonts w:ascii="Times" w:hAnsi="Times"/>
          <w:iCs/>
          <w:sz w:val="20"/>
          <w:szCs w:val="20"/>
          <w:lang w:val="en-GB" w:eastAsia="en-GB"/>
        </w:rPr>
        <w:t>pmdarima</w:t>
      </w:r>
      <w:proofErr w:type="spellEnd"/>
      <w:r w:rsidR="001E78F2">
        <w:rPr>
          <w:rFonts w:ascii="Times" w:hAnsi="Times"/>
          <w:iCs/>
          <w:sz w:val="20"/>
          <w:szCs w:val="20"/>
          <w:lang w:val="en-GB" w:eastAsia="en-GB"/>
        </w:rPr>
        <w:t xml:space="preserve"> [19] package we can run through all of the time series to confirm our analysis, the computer </w:t>
      </w:r>
      <w:r w:rsidR="004122A2">
        <w:rPr>
          <w:rFonts w:ascii="Times" w:hAnsi="Times"/>
          <w:iCs/>
          <w:sz w:val="20"/>
          <w:szCs w:val="20"/>
          <w:lang w:val="en-GB" w:eastAsia="en-GB"/>
        </w:rPr>
        <w:t>disagrees for clusters 2 and 3, but their numbers are not that different to the others. So, we will be disregarding the computer’s answer.</w:t>
      </w:r>
    </w:p>
    <w:p w14:paraId="5A245A64" w14:textId="6BCA1DA3" w:rsidR="00DE2F55" w:rsidRDefault="00264B2B" w:rsidP="0023500F">
      <w:pPr>
        <w:pStyle w:val="FigureCaption"/>
        <w:rPr>
          <w:rFonts w:ascii="Times" w:hAnsi="Times"/>
          <w:iCs/>
          <w:sz w:val="20"/>
          <w:szCs w:val="20"/>
          <w:lang w:val="en-GB" w:eastAsia="en-GB"/>
        </w:rPr>
      </w:pPr>
      <w:r>
        <w:rPr>
          <w:noProof/>
        </w:rPr>
        <w:lastRenderedPageBreak/>
        <w:pict w14:anchorId="4462C6B4">
          <v:shape id="_x0000_s2058" type="#_x0000_t202" style="position:absolute;margin-left:-1.85pt;margin-top:418.75pt;width:250.2pt;height:.05pt;z-index:251660800;mso-position-horizontal-relative:text;mso-position-vertical-relative:text" wrapcoords="-65 0 -65 20800 21600 20800 21600 0 -65 0" stroked="f">
            <v:textbox style="mso-fit-shape-to-text:t" inset="0,0,0,0">
              <w:txbxContent>
                <w:p w14:paraId="1C6DCA86" w14:textId="62B2EBA0" w:rsidR="00264B2B" w:rsidRPr="00596DF1" w:rsidRDefault="00264B2B" w:rsidP="00264B2B">
                  <w:pPr>
                    <w:pStyle w:val="Caption"/>
                    <w:rPr>
                      <w:rFonts w:ascii="Times" w:hAnsi="Times"/>
                      <w:iCs/>
                      <w:noProof/>
                      <w:szCs w:val="20"/>
                    </w:rPr>
                  </w:pPr>
                  <w:r>
                    <w:t>Fig. 7-XGB Cluster 2</w:t>
                  </w:r>
                </w:p>
              </w:txbxContent>
            </v:textbox>
            <w10:wrap type="tight"/>
          </v:shape>
        </w:pict>
      </w:r>
      <w:r>
        <w:rPr>
          <w:rFonts w:ascii="Times" w:hAnsi="Times"/>
          <w:iCs/>
          <w:noProof/>
          <w:sz w:val="20"/>
          <w:szCs w:val="20"/>
          <w:lang w:val="en-GB" w:eastAsia="en-GB"/>
        </w:rPr>
        <w:drawing>
          <wp:anchor distT="0" distB="0" distL="114300" distR="114300" simplePos="0" relativeHeight="251658240" behindDoc="1" locked="0" layoutInCell="1" allowOverlap="1" wp14:anchorId="4FDE3082" wp14:editId="1E600DF2">
            <wp:simplePos x="0" y="0"/>
            <wp:positionH relativeFrom="column">
              <wp:posOffset>-23495</wp:posOffset>
            </wp:positionH>
            <wp:positionV relativeFrom="paragraph">
              <wp:posOffset>3112135</wp:posOffset>
            </wp:positionV>
            <wp:extent cx="3177540" cy="2148840"/>
            <wp:effectExtent l="0" t="0" r="0" b="0"/>
            <wp:wrapTight wrapText="bothSides">
              <wp:wrapPolygon edited="0">
                <wp:start x="0" y="0"/>
                <wp:lineTo x="0" y="21447"/>
                <wp:lineTo x="21496" y="21447"/>
                <wp:lineTo x="2149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a:fillRect/>
                    </a:stretch>
                  </pic:blipFill>
                  <pic:spPr>
                    <a:xfrm>
                      <a:off x="0" y="0"/>
                      <a:ext cx="3177540" cy="2148840"/>
                    </a:xfrm>
                    <a:prstGeom prst="rect">
                      <a:avLst/>
                    </a:prstGeom>
                  </pic:spPr>
                </pic:pic>
              </a:graphicData>
            </a:graphic>
            <wp14:sizeRelH relativeFrom="page">
              <wp14:pctWidth>0</wp14:pctWidth>
            </wp14:sizeRelH>
            <wp14:sizeRelV relativeFrom="page">
              <wp14:pctHeight>0</wp14:pctHeight>
            </wp14:sizeRelV>
          </wp:anchor>
        </w:drawing>
      </w:r>
      <w:r w:rsidR="0025496B">
        <w:rPr>
          <w:noProof/>
        </w:rPr>
        <w:pict w14:anchorId="1EFAC886">
          <v:shape id="_x0000_s2056" type="#_x0000_t202" style="position:absolute;margin-left:-.35pt;margin-top:128.25pt;width:250.2pt;height:.05pt;z-index:251659776;mso-position-horizontal-relative:text;mso-position-vertical-relative:text" wrapcoords="-65 0 -65 20800 21600 20800 21600 0 -65 0" stroked="f">
            <v:textbox style="mso-fit-shape-to-text:t" inset="0,0,0,0">
              <w:txbxContent>
                <w:p w14:paraId="15EB73FB" w14:textId="19473B9F" w:rsidR="00DE2F55" w:rsidRPr="00307280" w:rsidRDefault="00DE2F55" w:rsidP="00DE2F55">
                  <w:pPr>
                    <w:pStyle w:val="Caption"/>
                    <w:rPr>
                      <w:rFonts w:ascii="Times" w:hAnsi="Times"/>
                      <w:iCs/>
                      <w:noProof/>
                      <w:szCs w:val="20"/>
                    </w:rPr>
                  </w:pPr>
                  <w:r>
                    <w:t>Fig. 6-Cluster Time-Series</w:t>
                  </w:r>
                </w:p>
              </w:txbxContent>
            </v:textbox>
            <w10:wrap type="tight"/>
          </v:shape>
        </w:pict>
      </w:r>
      <w:r w:rsidR="00DE2F55">
        <w:rPr>
          <w:rFonts w:ascii="Times" w:hAnsi="Times"/>
          <w:iCs/>
          <w:noProof/>
          <w:sz w:val="20"/>
          <w:szCs w:val="20"/>
          <w:lang w:val="en-GB" w:eastAsia="en-GB"/>
        </w:rPr>
        <w:drawing>
          <wp:anchor distT="0" distB="0" distL="114300" distR="114300" simplePos="0" relativeHeight="251656192" behindDoc="0" locked="0" layoutInCell="1" allowOverlap="1" wp14:anchorId="35C0E8DA" wp14:editId="6603B4CF">
            <wp:simplePos x="0" y="0"/>
            <wp:positionH relativeFrom="column">
              <wp:posOffset>-4445</wp:posOffset>
            </wp:positionH>
            <wp:positionV relativeFrom="paragraph">
              <wp:posOffset>-2104390</wp:posOffset>
            </wp:positionV>
            <wp:extent cx="3177540" cy="22028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3177540" cy="2202815"/>
                    </a:xfrm>
                    <a:prstGeom prst="rect">
                      <a:avLst/>
                    </a:prstGeom>
                  </pic:spPr>
                </pic:pic>
              </a:graphicData>
            </a:graphic>
          </wp:anchor>
        </w:drawing>
      </w:r>
      <w:r w:rsidR="002A455E">
        <w:rPr>
          <w:rFonts w:ascii="Times" w:hAnsi="Times"/>
          <w:iCs/>
          <w:sz w:val="20"/>
          <w:szCs w:val="20"/>
          <w:lang w:val="en-GB" w:eastAsia="en-GB"/>
        </w:rPr>
        <w:t>In making the ARIMA models it does not appear that they are able to generalise to be able the test data (4/10/21 – 28/12/21). Effectively deleting the erroneous records for 1/7/20 improves upon the fit, but the model failed to predict anything other than a straight line for the number of cases</w:t>
      </w:r>
      <w:r w:rsidR="00CF6796">
        <w:rPr>
          <w:rFonts w:ascii="Times" w:hAnsi="Times"/>
          <w:iCs/>
          <w:sz w:val="20"/>
          <w:szCs w:val="20"/>
          <w:lang w:val="en-GB" w:eastAsia="en-GB"/>
        </w:rPr>
        <w:t xml:space="preserve">. </w:t>
      </w:r>
      <w:r w:rsidR="00CF6796">
        <w:rPr>
          <w:rFonts w:ascii="Times" w:hAnsi="Times"/>
          <w:iCs/>
          <w:sz w:val="20"/>
          <w:szCs w:val="20"/>
          <w:lang w:val="en-GB" w:eastAsia="en-GB"/>
        </w:rPr>
        <w:t>Using the weekly data does not improve this and the residual fit is only moderately improved by getting rid of the over-correction on the 1/7/20’s case data. So</w:t>
      </w:r>
      <w:r w:rsidR="00CF6796">
        <w:rPr>
          <w:rFonts w:ascii="Times" w:hAnsi="Times"/>
          <w:iCs/>
          <w:sz w:val="20"/>
          <w:szCs w:val="20"/>
          <w:lang w:val="en-GB" w:eastAsia="en-GB"/>
        </w:rPr>
        <w:t>,</w:t>
      </w:r>
      <w:r w:rsidR="00CF6796">
        <w:rPr>
          <w:rFonts w:ascii="Times" w:hAnsi="Times"/>
          <w:iCs/>
          <w:sz w:val="20"/>
          <w:szCs w:val="20"/>
          <w:lang w:val="en-GB" w:eastAsia="en-GB"/>
        </w:rPr>
        <w:t xml:space="preserve"> it appears that the ARIMA model is not appropriate for predicting the number of new cases.</w:t>
      </w:r>
    </w:p>
    <w:p w14:paraId="39D55318" w14:textId="51AF53D4" w:rsidR="00264B2B" w:rsidRDefault="00544587" w:rsidP="0023500F">
      <w:pPr>
        <w:pStyle w:val="FigureCaption"/>
        <w:rPr>
          <w:rFonts w:ascii="Times" w:hAnsi="Times"/>
          <w:iCs/>
          <w:sz w:val="20"/>
          <w:szCs w:val="20"/>
          <w:lang w:val="en-GB" w:eastAsia="en-GB"/>
        </w:rPr>
      </w:pPr>
      <w:r>
        <w:rPr>
          <w:noProof/>
        </w:rPr>
        <w:pict w14:anchorId="3F045DCE">
          <v:shape id="_x0000_s2059" type="#_x0000_t202" style="position:absolute;margin-left:-1.85pt;margin-top:209.8pt;width:250.2pt;height:.05pt;z-index:251663872;mso-position-horizontal-relative:text;mso-position-vertical-relative:text" wrapcoords="-65 0 -65 20800 21600 20800 21600 0 -65 0" stroked="f">
            <v:textbox style="mso-next-textbox:#_x0000_s2059;mso-fit-shape-to-text:t" inset="0,0,0,0">
              <w:txbxContent>
                <w:p w14:paraId="258F7BFB" w14:textId="191F664B" w:rsidR="00544587" w:rsidRPr="00CC13FD" w:rsidRDefault="00544587" w:rsidP="00544587">
                  <w:pPr>
                    <w:pStyle w:val="Caption"/>
                    <w:rPr>
                      <w:rFonts w:ascii="Times" w:hAnsi="Times"/>
                      <w:iCs/>
                      <w:noProof/>
                      <w:szCs w:val="20"/>
                    </w:rPr>
                  </w:pPr>
                  <w:r>
                    <w:t>Fig</w:t>
                  </w:r>
                  <w:r w:rsidR="00E86645">
                    <w:t>. 8</w:t>
                  </w:r>
                  <w:r>
                    <w:t>- Case age data</w:t>
                  </w:r>
                </w:p>
              </w:txbxContent>
            </v:textbox>
            <w10:wrap type="tight"/>
          </v:shape>
        </w:pict>
      </w:r>
      <w:r>
        <w:rPr>
          <w:rFonts w:ascii="Times" w:hAnsi="Times"/>
          <w:iCs/>
          <w:noProof/>
          <w:sz w:val="20"/>
          <w:szCs w:val="20"/>
          <w:lang w:val="en-GB" w:eastAsia="en-GB"/>
        </w:rPr>
        <w:drawing>
          <wp:anchor distT="0" distB="0" distL="114300" distR="114300" simplePos="0" relativeHeight="251661312" behindDoc="1" locked="0" layoutInCell="1" allowOverlap="1" wp14:anchorId="26590082" wp14:editId="5576E9BC">
            <wp:simplePos x="0" y="0"/>
            <wp:positionH relativeFrom="column">
              <wp:posOffset>-23495</wp:posOffset>
            </wp:positionH>
            <wp:positionV relativeFrom="paragraph">
              <wp:posOffset>955675</wp:posOffset>
            </wp:positionV>
            <wp:extent cx="3177540" cy="1651635"/>
            <wp:effectExtent l="0" t="0" r="0" b="0"/>
            <wp:wrapTight wrapText="bothSides">
              <wp:wrapPolygon edited="0">
                <wp:start x="0" y="0"/>
                <wp:lineTo x="0" y="21426"/>
                <wp:lineTo x="21496" y="21426"/>
                <wp:lineTo x="2149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3177540" cy="1651635"/>
                    </a:xfrm>
                    <a:prstGeom prst="rect">
                      <a:avLst/>
                    </a:prstGeom>
                  </pic:spPr>
                </pic:pic>
              </a:graphicData>
            </a:graphic>
            <wp14:sizeRelH relativeFrom="page">
              <wp14:pctWidth>0</wp14:pctWidth>
            </wp14:sizeRelH>
            <wp14:sizeRelV relativeFrom="page">
              <wp14:pctHeight>0</wp14:pctHeight>
            </wp14:sizeRelV>
          </wp:anchor>
        </w:drawing>
      </w:r>
      <w:r w:rsidR="00264B2B">
        <w:rPr>
          <w:rFonts w:ascii="Times" w:hAnsi="Times"/>
          <w:iCs/>
          <w:sz w:val="20"/>
          <w:szCs w:val="20"/>
          <w:lang w:val="en-GB" w:eastAsia="en-GB"/>
        </w:rPr>
        <w:t>In making the XGB regression model (figure 7)</w:t>
      </w:r>
      <w:r w:rsidR="00B54533">
        <w:rPr>
          <w:rFonts w:ascii="Times" w:hAnsi="Times"/>
          <w:iCs/>
          <w:sz w:val="20"/>
          <w:szCs w:val="20"/>
          <w:lang w:val="en-GB" w:eastAsia="en-GB"/>
        </w:rPr>
        <w:t xml:space="preserve"> using [20]</w:t>
      </w:r>
      <w:r w:rsidR="00264B2B">
        <w:rPr>
          <w:rFonts w:ascii="Times" w:hAnsi="Times"/>
          <w:iCs/>
          <w:sz w:val="20"/>
          <w:szCs w:val="20"/>
          <w:lang w:val="en-GB" w:eastAsia="en-GB"/>
        </w:rPr>
        <w:t xml:space="preserve"> we can </w:t>
      </w:r>
      <w:r w:rsidR="00880275">
        <w:rPr>
          <w:rFonts w:ascii="Times" w:hAnsi="Times"/>
          <w:iCs/>
          <w:sz w:val="20"/>
          <w:szCs w:val="20"/>
          <w:lang w:val="en-GB" w:eastAsia="en-GB"/>
        </w:rPr>
        <w:t xml:space="preserve">that for cluster 2 (the best model) that using the actual previous day’s case data the XGB model tracks fairly close to the actual data. But when the model uses its own previous prediction as input data it very rapidly loses </w:t>
      </w:r>
      <w:r w:rsidR="00A53A8A">
        <w:rPr>
          <w:rFonts w:ascii="Times" w:hAnsi="Times"/>
          <w:iCs/>
          <w:sz w:val="20"/>
          <w:szCs w:val="20"/>
          <w:lang w:val="en-GB" w:eastAsia="en-GB"/>
        </w:rPr>
        <w:t>track with the actual data. The other clusters generally predict an almost straight line for the number of cases.</w:t>
      </w:r>
      <w:r w:rsidR="00CF1D7C">
        <w:rPr>
          <w:rFonts w:ascii="Times" w:hAnsi="Times"/>
          <w:iCs/>
          <w:sz w:val="20"/>
          <w:szCs w:val="20"/>
          <w:lang w:val="en-GB" w:eastAsia="en-GB"/>
        </w:rPr>
        <w:t xml:space="preserve"> XGB creates decision </w:t>
      </w:r>
      <w:r w:rsidR="00CF1D7C">
        <w:rPr>
          <w:rFonts w:ascii="Times" w:hAnsi="Times"/>
          <w:iCs/>
          <w:sz w:val="20"/>
          <w:szCs w:val="20"/>
          <w:lang w:val="en-GB" w:eastAsia="en-GB"/>
        </w:rPr>
        <w:t>trees using boosting so that the next tree is trained on a mixture of the last trees mistakes and unseen data.</w:t>
      </w:r>
    </w:p>
    <w:p w14:paraId="65A6A65E" w14:textId="7FD3A86F" w:rsidR="00FD4B6E" w:rsidRPr="0052525C" w:rsidRDefault="00FD4B6E" w:rsidP="0023500F">
      <w:pPr>
        <w:pStyle w:val="FigureCaption"/>
        <w:rPr>
          <w:rFonts w:ascii="Times" w:hAnsi="Times"/>
          <w:iCs/>
          <w:sz w:val="20"/>
          <w:szCs w:val="20"/>
          <w:lang w:val="en-GB" w:eastAsia="en-GB"/>
        </w:rPr>
      </w:pPr>
      <w:r>
        <w:rPr>
          <w:rFonts w:ascii="Times" w:hAnsi="Times"/>
          <w:iCs/>
          <w:sz w:val="20"/>
          <w:szCs w:val="20"/>
          <w:lang w:val="en-GB" w:eastAsia="en-GB"/>
        </w:rPr>
        <w:t>Looking at the case age data we can see that most of the age groups follows the same sort of trend, a</w:t>
      </w:r>
      <w:r w:rsidR="00B75A87">
        <w:rPr>
          <w:rFonts w:ascii="Times" w:hAnsi="Times"/>
          <w:iCs/>
          <w:sz w:val="20"/>
          <w:szCs w:val="20"/>
          <w:lang w:val="en-GB" w:eastAsia="en-GB"/>
        </w:rPr>
        <w:t>lthough from the age groups from 70 all have lower numbers than the other age groups (which may be because there are fewer people in those groups</w:t>
      </w:r>
      <w:r w:rsidR="00F75CE6">
        <w:rPr>
          <w:rFonts w:ascii="Times" w:hAnsi="Times"/>
          <w:iCs/>
          <w:sz w:val="20"/>
          <w:szCs w:val="20"/>
          <w:lang w:val="en-GB" w:eastAsia="en-GB"/>
        </w:rPr>
        <w:t>,</w:t>
      </w:r>
      <w:r w:rsidR="00B75A87">
        <w:rPr>
          <w:rFonts w:ascii="Times" w:hAnsi="Times"/>
          <w:iCs/>
          <w:sz w:val="20"/>
          <w:szCs w:val="20"/>
          <w:lang w:val="en-GB" w:eastAsia="en-GB"/>
        </w:rPr>
        <w:t xml:space="preserve"> they t</w:t>
      </w:r>
      <w:r w:rsidR="00F75CE6">
        <w:rPr>
          <w:rFonts w:ascii="Times" w:hAnsi="Times"/>
          <w:iCs/>
          <w:sz w:val="20"/>
          <w:szCs w:val="20"/>
          <w:lang w:val="en-GB" w:eastAsia="en-GB"/>
        </w:rPr>
        <w:t>ake more precautions or as they were vaccinated earlier than everyone that restricted the wave). An outlier group are the 10–14-year-olds, who have a third wave of cases in September 2021 (when secondary schools opened up) and then they have a fourth wave with everyone else’s third wave.</w:t>
      </w:r>
    </w:p>
    <w:p w14:paraId="0D8B16F2" w14:textId="4985E09C"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08A11E6" w14:textId="2AA69A0F" w:rsidR="001C1B1F" w:rsidRPr="000D72ED" w:rsidRDefault="001C1B1F" w:rsidP="001C1B1F">
      <w:pPr>
        <w:pStyle w:val="BodyNoIndent"/>
      </w:pPr>
      <w:r>
        <w:t>First paragraph..</w:t>
      </w:r>
      <w:r w:rsidRPr="000D72ED">
        <w:t>.</w:t>
      </w:r>
    </w:p>
    <w:p w14:paraId="3BDD7C99" w14:textId="686C83B3" w:rsidR="001C1B1F" w:rsidRPr="000D72ED" w:rsidRDefault="001C1B1F" w:rsidP="001C1B1F">
      <w:pPr>
        <w:pStyle w:val="Body"/>
      </w:pPr>
      <w:r>
        <w:t>Following paragraphs..</w:t>
      </w:r>
      <w:r w:rsidRPr="000D72ED">
        <w:t>.</w:t>
      </w:r>
    </w:p>
    <w:p w14:paraId="3B01BD78" w14:textId="076A08D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1F0E1262" w:rsidR="00141153" w:rsidRDefault="00EB3A99"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45FC7E87" w:rsidR="00141153" w:rsidRDefault="00EB3A99"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06C3FD8E" w:rsidR="00141153" w:rsidRDefault="00E779D1" w:rsidP="00141153">
            <w:pPr>
              <w:jc w:val="right"/>
              <w:rPr>
                <w:lang w:eastAsia="en-GB"/>
              </w:rPr>
            </w:pPr>
            <w:r>
              <w:rPr>
                <w:lang w:eastAsia="en-GB"/>
              </w:rPr>
              <w:t>387</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061EA286" w:rsidR="00141153" w:rsidRDefault="00E779D1" w:rsidP="00141153">
            <w:pPr>
              <w:jc w:val="right"/>
              <w:rPr>
                <w:lang w:eastAsia="en-GB"/>
              </w:rPr>
            </w:pPr>
            <w:r>
              <w:rPr>
                <w:lang w:eastAsia="en-GB"/>
              </w:rPr>
              <w:t>428</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3C0135A6"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6" w:history="1">
        <w:r w:rsidRPr="00042AAC">
          <w:rPr>
            <w:rStyle w:val="Hyperlink"/>
            <w:lang w:val="en-GB"/>
          </w:rPr>
          <w:t>https://coronavirus.data.gov.uk/details/cases?areaType=overview&amp;areaName=United%20Kingdom</w:t>
        </w:r>
      </w:hyperlink>
      <w:r w:rsidRPr="00A22293">
        <w:rPr>
          <w:lang w:val="en-GB"/>
        </w:rPr>
        <w:t>.</w:t>
      </w:r>
    </w:p>
    <w:p w14:paraId="40096217" w14:textId="58CD6E1F"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17"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18"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19"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20"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21"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proofErr w:type="spellStart"/>
      <w:r w:rsidRPr="009D341C">
        <w:rPr>
          <w:lang w:val="en-GB"/>
        </w:rPr>
        <w:t>Klepac</w:t>
      </w:r>
      <w:proofErr w:type="spellEnd"/>
      <w:r w:rsidRPr="009D341C">
        <w:rPr>
          <w:lang w:val="en-GB"/>
        </w:rPr>
        <w:t xml:space="preserve">, Petra, Adam J. Kucharski, Andrew JK </w:t>
      </w:r>
      <w:proofErr w:type="spellStart"/>
      <w:r w:rsidRPr="009D341C">
        <w:rPr>
          <w:lang w:val="en-GB"/>
        </w:rPr>
        <w:t>Conlan</w:t>
      </w:r>
      <w:proofErr w:type="spellEnd"/>
      <w:r w:rsidRPr="009D341C">
        <w:rPr>
          <w:lang w:val="en-GB"/>
        </w:rPr>
        <w:t xml:space="preserve">, Stephen </w:t>
      </w:r>
      <w:proofErr w:type="spellStart"/>
      <w:r w:rsidRPr="009D341C">
        <w:rPr>
          <w:lang w:val="en-GB"/>
        </w:rPr>
        <w:t>Kissler</w:t>
      </w:r>
      <w:proofErr w:type="spellEnd"/>
      <w:r w:rsidRPr="009D341C">
        <w:rPr>
          <w:lang w:val="en-GB"/>
        </w:rPr>
        <w:t xml:space="preserve">, Maria L. Tang, Hannah Fry, and Julia R. Gog. </w:t>
      </w:r>
      <w:r w:rsidRPr="009D341C">
        <w:rPr>
          <w:lang w:val="en-GB"/>
        </w:rPr>
        <w:lastRenderedPageBreak/>
        <w:t xml:space="preserve">‘Contacts in Context: Large-Scale Setting-Specific Social Mixing Matrices from the BBC Pandemic Project’, 5 March 2020. </w:t>
      </w:r>
      <w:hyperlink r:id="rId22"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w:t>
      </w:r>
      <w:proofErr w:type="spellStart"/>
      <w:r w:rsidRPr="003B74F6">
        <w:rPr>
          <w:lang w:val="en-GB"/>
        </w:rPr>
        <w:t>Vahé</w:t>
      </w:r>
      <w:proofErr w:type="spellEnd"/>
      <w:r w:rsidRPr="003B74F6">
        <w:rPr>
          <w:lang w:val="en-GB"/>
        </w:rPr>
        <w:t xml:space="preserve"> </w:t>
      </w:r>
      <w:proofErr w:type="spellStart"/>
      <w:r w:rsidRPr="003B74F6">
        <w:rPr>
          <w:lang w:val="en-GB"/>
        </w:rPr>
        <w:t>Nafilyan</w:t>
      </w:r>
      <w:proofErr w:type="spellEnd"/>
      <w:r w:rsidRPr="003B74F6">
        <w:rPr>
          <w:lang w:val="en-GB"/>
        </w:rPr>
        <w:t xml:space="preserve">. ‘Updating Ethnic Contrasts in Deaths Involving the Coronavirus (COVID-19), England: 24 January 2020 to 31 March 2021’. Updating ethnic contrasts in deaths involving the coronavirus (COVID-19), England - Office of National Statistics, 2021. </w:t>
      </w:r>
      <w:hyperlink r:id="rId23"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proofErr w:type="spellStart"/>
      <w:r w:rsidRPr="009C1BDF">
        <w:rPr>
          <w:lang w:val="en-GB"/>
        </w:rPr>
        <w:t>Lucic</w:t>
      </w:r>
      <w:proofErr w:type="spellEnd"/>
      <w:r w:rsidRPr="009C1BDF">
        <w:rPr>
          <w:lang w:val="en-GB"/>
        </w:rPr>
        <w:t xml:space="preserve">, Michael C., Hakim </w:t>
      </w:r>
      <w:proofErr w:type="spellStart"/>
      <w:r w:rsidRPr="009C1BDF">
        <w:rPr>
          <w:lang w:val="en-GB"/>
        </w:rPr>
        <w:t>Ghazzai</w:t>
      </w:r>
      <w:proofErr w:type="spellEnd"/>
      <w:r w:rsidRPr="009C1BDF">
        <w:rPr>
          <w:lang w:val="en-GB"/>
        </w:rPr>
        <w:t xml:space="preserve">, Carlo </w:t>
      </w:r>
      <w:proofErr w:type="spellStart"/>
      <w:r w:rsidRPr="009C1BDF">
        <w:rPr>
          <w:lang w:val="en-GB"/>
        </w:rPr>
        <w:t>Lipizzi</w:t>
      </w:r>
      <w:proofErr w:type="spellEnd"/>
      <w:r w:rsidRPr="009C1BDF">
        <w:rPr>
          <w:lang w:val="en-GB"/>
        </w:rPr>
        <w:t xml:space="preserve">, and Yehia </w:t>
      </w:r>
      <w:proofErr w:type="spellStart"/>
      <w:r w:rsidRPr="009C1BDF">
        <w:rPr>
          <w:lang w:val="en-GB"/>
        </w:rPr>
        <w:t>Massoud</w:t>
      </w:r>
      <w:proofErr w:type="spellEnd"/>
      <w:r w:rsidRPr="009C1BDF">
        <w:rPr>
          <w:lang w:val="en-GB"/>
        </w:rPr>
        <w:t xml:space="preserve">. ‘Integrating County-Level Socioeconomic Data for COVID-19 Forecasting in the United States’. IEEE Open Journal of Engineering in Medicine and Biology 2 (2021): 235–48. </w:t>
      </w:r>
      <w:hyperlink r:id="rId24" w:history="1">
        <w:r w:rsidRPr="00E259DD">
          <w:rPr>
            <w:rStyle w:val="Hyperlink"/>
            <w:lang w:val="en-GB"/>
          </w:rPr>
          <w:t>https://doi.org/10.1109/OJEMB.2021.3096135</w:t>
        </w:r>
      </w:hyperlink>
      <w:r w:rsidRPr="009C1BDF">
        <w:rPr>
          <w:lang w:val="en-GB"/>
        </w:rPr>
        <w:t>.</w:t>
      </w:r>
    </w:p>
    <w:p w14:paraId="40580CD9" w14:textId="691B395B" w:rsidR="009C1BDF" w:rsidRDefault="00B25A3B" w:rsidP="00A22293">
      <w:pPr>
        <w:pStyle w:val="Reference"/>
        <w:rPr>
          <w:lang w:val="en-GB"/>
        </w:rPr>
      </w:pPr>
      <w:proofErr w:type="spellStart"/>
      <w:r w:rsidRPr="00B25A3B">
        <w:rPr>
          <w:lang w:val="en-GB"/>
        </w:rPr>
        <w:t>Danon</w:t>
      </w:r>
      <w:proofErr w:type="spellEnd"/>
      <w:r w:rsidRPr="00B25A3B">
        <w:rPr>
          <w:lang w:val="en-GB"/>
        </w:rPr>
        <w:t xml:space="preserve">, Leon, Ellen Brooks-Pollock, Mick Bailey, and Matt Keeling. ‘A Spatial Model of CoVID-19 Transmission in England and Wales: Early Spread and Peak Timing’, 14 February 2020. </w:t>
      </w:r>
      <w:hyperlink r:id="rId25" w:history="1">
        <w:r w:rsidRPr="00E259DD">
          <w:rPr>
            <w:rStyle w:val="Hyperlink"/>
            <w:lang w:val="en-GB"/>
          </w:rPr>
          <w:t>https://doi.org/10.1101/2020.02.12.20022566</w:t>
        </w:r>
      </w:hyperlink>
      <w:r w:rsidRPr="00B25A3B">
        <w:rPr>
          <w:lang w:val="en-GB"/>
        </w:rPr>
        <w:t>.</w:t>
      </w:r>
    </w:p>
    <w:p w14:paraId="0172E4CB" w14:textId="7C81822D" w:rsidR="00B25A3B" w:rsidRDefault="00F479C5" w:rsidP="00A22293">
      <w:pPr>
        <w:pStyle w:val="Reference"/>
        <w:rPr>
          <w:lang w:val="en-GB"/>
        </w:rPr>
      </w:pPr>
      <w:r w:rsidRPr="00F479C5">
        <w:rPr>
          <w:lang w:val="en-GB"/>
        </w:rPr>
        <w:t xml:space="preserve">ONS. ‘Local Authority Districts (May 2021) UK BFE’. Accessed 1 January 2022. </w:t>
      </w:r>
      <w:hyperlink r:id="rId26" w:history="1">
        <w:r w:rsidRPr="00EE051E">
          <w:rPr>
            <w:rStyle w:val="Hyperlink"/>
            <w:lang w:val="en-GB"/>
          </w:rPr>
          <w:t>https://geoportal.statistics.gov.uk/datasets/ons::local-authority-districts-may-2021-uk-bfe/about</w:t>
        </w:r>
      </w:hyperlink>
      <w:r w:rsidRPr="00F479C5">
        <w:rPr>
          <w:lang w:val="en-GB"/>
        </w:rPr>
        <w:t>.</w:t>
      </w:r>
    </w:p>
    <w:p w14:paraId="61EC7FC5" w14:textId="39E0F0FF" w:rsidR="00F479C5" w:rsidRDefault="0033298D" w:rsidP="00A22293">
      <w:pPr>
        <w:pStyle w:val="Reference"/>
        <w:rPr>
          <w:lang w:val="en-GB"/>
        </w:rPr>
      </w:pPr>
      <w:r w:rsidRPr="0033298D">
        <w:rPr>
          <w:lang w:val="en-GB"/>
        </w:rPr>
        <w:t xml:space="preserve">Tableau Software. ‘Tableau: Business Intelligence and Analytics Software’. Tableau. Accessed 1 January 2022. </w:t>
      </w:r>
      <w:hyperlink r:id="rId27" w:history="1">
        <w:r w:rsidRPr="009048E2">
          <w:rPr>
            <w:rStyle w:val="Hyperlink"/>
            <w:lang w:val="en-GB"/>
          </w:rPr>
          <w:t>https://www.tableau.com/node/62770</w:t>
        </w:r>
      </w:hyperlink>
      <w:r w:rsidRPr="0033298D">
        <w:rPr>
          <w:lang w:val="en-GB"/>
        </w:rPr>
        <w:t>.</w:t>
      </w:r>
    </w:p>
    <w:p w14:paraId="5874F203" w14:textId="5D385AE5" w:rsidR="0033298D" w:rsidRDefault="004D1BEC" w:rsidP="00A22293">
      <w:pPr>
        <w:pStyle w:val="Reference"/>
        <w:rPr>
          <w:lang w:val="en-GB"/>
        </w:rPr>
      </w:pPr>
      <w:r w:rsidRPr="004D1BEC">
        <w:rPr>
          <w:lang w:val="en-GB"/>
        </w:rPr>
        <w:t xml:space="preserve">Waskom, Michael. ‘Seaborn: Statistical Data Visualization’. Journal of </w:t>
      </w:r>
      <w:proofErr w:type="gramStart"/>
      <w:r w:rsidRPr="004D1BEC">
        <w:rPr>
          <w:lang w:val="en-GB"/>
        </w:rPr>
        <w:t>Open Source</w:t>
      </w:r>
      <w:proofErr w:type="gramEnd"/>
      <w:r w:rsidRPr="004D1BEC">
        <w:rPr>
          <w:lang w:val="en-GB"/>
        </w:rPr>
        <w:t xml:space="preserve"> Software 6, no. 60 (6 April 2021): 3021. </w:t>
      </w:r>
      <w:hyperlink r:id="rId28" w:history="1">
        <w:r w:rsidRPr="00760219">
          <w:rPr>
            <w:rStyle w:val="Hyperlink"/>
            <w:lang w:val="en-GB"/>
          </w:rPr>
          <w:t>https://doi.org/10.21105/joss.03021</w:t>
        </w:r>
      </w:hyperlink>
      <w:r w:rsidRPr="004D1BEC">
        <w:rPr>
          <w:lang w:val="en-GB"/>
        </w:rPr>
        <w:t>.</w:t>
      </w:r>
    </w:p>
    <w:p w14:paraId="5333635B" w14:textId="1D93FC1B" w:rsidR="004D1BEC" w:rsidRDefault="00F63F50" w:rsidP="00A22293">
      <w:pPr>
        <w:pStyle w:val="Reference"/>
        <w:rPr>
          <w:lang w:val="en-GB"/>
        </w:rPr>
      </w:pPr>
      <w:r w:rsidRPr="00F63F50">
        <w:rPr>
          <w:lang w:val="en-GB"/>
        </w:rPr>
        <w:t>scikit-</w:t>
      </w:r>
      <w:proofErr w:type="spellStart"/>
      <w:r w:rsidRPr="00F63F50">
        <w:rPr>
          <w:lang w:val="en-GB"/>
        </w:rPr>
        <w:t>yb</w:t>
      </w:r>
      <w:proofErr w:type="spellEnd"/>
      <w:r w:rsidRPr="00F63F50">
        <w:rPr>
          <w:lang w:val="en-GB"/>
        </w:rPr>
        <w:t xml:space="preserve"> developers. ‘</w:t>
      </w:r>
      <w:proofErr w:type="spellStart"/>
      <w:r w:rsidRPr="00F63F50">
        <w:rPr>
          <w:lang w:val="en-GB"/>
        </w:rPr>
        <w:t>Yellowbrick</w:t>
      </w:r>
      <w:proofErr w:type="spellEnd"/>
      <w:r w:rsidRPr="00F63F50">
        <w:rPr>
          <w:lang w:val="en-GB"/>
        </w:rPr>
        <w:t xml:space="preserve">: Machine Learning Visualization — </w:t>
      </w:r>
      <w:proofErr w:type="spellStart"/>
      <w:r w:rsidRPr="00F63F50">
        <w:rPr>
          <w:lang w:val="en-GB"/>
        </w:rPr>
        <w:t>Yellowbrick</w:t>
      </w:r>
      <w:proofErr w:type="spellEnd"/>
      <w:r w:rsidRPr="00F63F50">
        <w:rPr>
          <w:lang w:val="en-GB"/>
        </w:rPr>
        <w:t xml:space="preserve"> v1.</w:t>
      </w:r>
      <w:proofErr w:type="gramStart"/>
      <w:r w:rsidRPr="00F63F50">
        <w:rPr>
          <w:lang w:val="en-GB"/>
        </w:rPr>
        <w:t>3.Post</w:t>
      </w:r>
      <w:proofErr w:type="gramEnd"/>
      <w:r w:rsidRPr="00F63F50">
        <w:rPr>
          <w:lang w:val="en-GB"/>
        </w:rPr>
        <w:t xml:space="preserve">1 Documentation’, 2019. </w:t>
      </w:r>
      <w:hyperlink r:id="rId29" w:history="1">
        <w:r w:rsidRPr="00760219">
          <w:rPr>
            <w:rStyle w:val="Hyperlink"/>
            <w:lang w:val="en-GB"/>
          </w:rPr>
          <w:t>https://www.scikit-yb.org/en/latest/index.html</w:t>
        </w:r>
      </w:hyperlink>
      <w:r w:rsidRPr="00F63F50">
        <w:rPr>
          <w:lang w:val="en-GB"/>
        </w:rPr>
        <w:t>.</w:t>
      </w:r>
    </w:p>
    <w:p w14:paraId="48033EB0" w14:textId="7650F9B8" w:rsidR="00F63F50" w:rsidRDefault="00017B17" w:rsidP="00A22293">
      <w:pPr>
        <w:pStyle w:val="Reference"/>
        <w:rPr>
          <w:lang w:val="en-GB"/>
        </w:rPr>
      </w:pPr>
      <w:proofErr w:type="spellStart"/>
      <w:r w:rsidRPr="00017B17">
        <w:rPr>
          <w:lang w:val="en-GB"/>
        </w:rPr>
        <w:t>Perktold</w:t>
      </w:r>
      <w:proofErr w:type="spellEnd"/>
      <w:r w:rsidRPr="00017B17">
        <w:rPr>
          <w:lang w:val="en-GB"/>
        </w:rPr>
        <w:t xml:space="preserve">, Josef, Skipper </w:t>
      </w:r>
      <w:proofErr w:type="spellStart"/>
      <w:r w:rsidRPr="00017B17">
        <w:rPr>
          <w:lang w:val="en-GB"/>
        </w:rPr>
        <w:t>Seabold</w:t>
      </w:r>
      <w:proofErr w:type="spellEnd"/>
      <w:r w:rsidRPr="00017B17">
        <w:rPr>
          <w:lang w:val="en-GB"/>
        </w:rPr>
        <w:t xml:space="preserve">, and Jonathon Taylor. ‘Introduction — </w:t>
      </w:r>
      <w:proofErr w:type="spellStart"/>
      <w:r w:rsidRPr="00017B17">
        <w:rPr>
          <w:lang w:val="en-GB"/>
        </w:rPr>
        <w:t>Statsmodels</w:t>
      </w:r>
      <w:proofErr w:type="spellEnd"/>
      <w:r w:rsidRPr="00017B17">
        <w:rPr>
          <w:lang w:val="en-GB"/>
        </w:rPr>
        <w:t xml:space="preserve">’, 2019. </w:t>
      </w:r>
      <w:hyperlink r:id="rId30" w:history="1">
        <w:r w:rsidRPr="00760219">
          <w:rPr>
            <w:rStyle w:val="Hyperlink"/>
            <w:lang w:val="en-GB"/>
          </w:rPr>
          <w:t>https://www.statsmodels.org/dev/index.html</w:t>
        </w:r>
      </w:hyperlink>
      <w:r w:rsidRPr="00017B17">
        <w:rPr>
          <w:lang w:val="en-GB"/>
        </w:rPr>
        <w:t>.</w:t>
      </w:r>
    </w:p>
    <w:p w14:paraId="3B4EB756" w14:textId="156166CE" w:rsidR="00017B17" w:rsidRDefault="00C01EB9" w:rsidP="00A22293">
      <w:pPr>
        <w:pStyle w:val="Reference"/>
        <w:rPr>
          <w:lang w:val="en-GB"/>
        </w:rPr>
      </w:pPr>
      <w:proofErr w:type="spellStart"/>
      <w:r w:rsidRPr="00C01EB9">
        <w:rPr>
          <w:lang w:val="en-GB"/>
        </w:rPr>
        <w:t>Cournapeau</w:t>
      </w:r>
      <w:proofErr w:type="spellEnd"/>
      <w:r w:rsidRPr="00C01EB9">
        <w:rPr>
          <w:lang w:val="en-GB"/>
        </w:rPr>
        <w:t xml:space="preserve">, David, Matthieu </w:t>
      </w:r>
      <w:proofErr w:type="spellStart"/>
      <w:r w:rsidRPr="00C01EB9">
        <w:rPr>
          <w:lang w:val="en-GB"/>
        </w:rPr>
        <w:t>Brucher</w:t>
      </w:r>
      <w:proofErr w:type="spellEnd"/>
      <w:r w:rsidRPr="00C01EB9">
        <w:rPr>
          <w:lang w:val="en-GB"/>
        </w:rPr>
        <w:t xml:space="preserve">, Fabian </w:t>
      </w:r>
      <w:proofErr w:type="spellStart"/>
      <w:r w:rsidRPr="00C01EB9">
        <w:rPr>
          <w:lang w:val="en-GB"/>
        </w:rPr>
        <w:t>Pedregosa</w:t>
      </w:r>
      <w:proofErr w:type="spellEnd"/>
      <w:r w:rsidRPr="00C01EB9">
        <w:rPr>
          <w:lang w:val="en-GB"/>
        </w:rPr>
        <w:t xml:space="preserve">, Gael </w:t>
      </w:r>
      <w:proofErr w:type="spellStart"/>
      <w:r w:rsidRPr="00C01EB9">
        <w:rPr>
          <w:lang w:val="en-GB"/>
        </w:rPr>
        <w:t>Varoquaux</w:t>
      </w:r>
      <w:proofErr w:type="spellEnd"/>
      <w:r w:rsidRPr="00C01EB9">
        <w:rPr>
          <w:lang w:val="en-GB"/>
        </w:rPr>
        <w:t xml:space="preserve">, </w:t>
      </w:r>
      <w:proofErr w:type="spellStart"/>
      <w:r w:rsidRPr="00C01EB9">
        <w:rPr>
          <w:lang w:val="en-GB"/>
        </w:rPr>
        <w:t>Gramfort</w:t>
      </w:r>
      <w:proofErr w:type="spellEnd"/>
      <w:r w:rsidRPr="00C01EB9">
        <w:rPr>
          <w:lang w:val="en-GB"/>
        </w:rPr>
        <w:t xml:space="preserve"> Alexandre, and Vincent Michel. ‘Scikit-Learn: Machine Learning in Python — Scikit-Learn 1.0.2 Documentation’, 2010. </w:t>
      </w:r>
      <w:hyperlink r:id="rId31" w:history="1">
        <w:r w:rsidRPr="000E1427">
          <w:rPr>
            <w:rStyle w:val="Hyperlink"/>
            <w:lang w:val="en-GB"/>
          </w:rPr>
          <w:t>https://scikit-learn.org/stable/</w:t>
        </w:r>
      </w:hyperlink>
      <w:r w:rsidRPr="00C01EB9">
        <w:rPr>
          <w:lang w:val="en-GB"/>
        </w:rPr>
        <w:t>.</w:t>
      </w:r>
    </w:p>
    <w:p w14:paraId="1DA069FF" w14:textId="0E7873E0" w:rsidR="00C01EB9" w:rsidRDefault="00C01EB9" w:rsidP="00A22293">
      <w:pPr>
        <w:pStyle w:val="Reference"/>
        <w:rPr>
          <w:lang w:val="en-GB"/>
        </w:rPr>
      </w:pPr>
      <w:r w:rsidRPr="00C01EB9">
        <w:rPr>
          <w:lang w:val="en-GB"/>
        </w:rPr>
        <w:t xml:space="preserve">Xu, Rui, and Donald Wunsch II. ‘Partitional Clustering’. In Clustering, 63–110. 68: John Wiley &amp; Sons, Ltd, 2008. </w:t>
      </w:r>
      <w:hyperlink r:id="rId32" w:history="1">
        <w:r w:rsidRPr="000E1427">
          <w:rPr>
            <w:rStyle w:val="Hyperlink"/>
            <w:lang w:val="en-GB"/>
          </w:rPr>
          <w:t>https://doi.org/10.1002/9780470382776.ch4</w:t>
        </w:r>
      </w:hyperlink>
      <w:r w:rsidRPr="00C01EB9">
        <w:rPr>
          <w:lang w:val="en-GB"/>
        </w:rPr>
        <w:t>.</w:t>
      </w:r>
    </w:p>
    <w:p w14:paraId="3E020781" w14:textId="4CF815BC" w:rsidR="00F9218C" w:rsidRDefault="0022627D" w:rsidP="00A22293">
      <w:pPr>
        <w:pStyle w:val="Reference"/>
        <w:rPr>
          <w:lang w:val="en-GB"/>
        </w:rPr>
      </w:pPr>
      <w:r w:rsidRPr="0022627D">
        <w:rPr>
          <w:lang w:val="en-GB"/>
        </w:rPr>
        <w:t xml:space="preserve">Van den </w:t>
      </w:r>
      <w:proofErr w:type="spellStart"/>
      <w:r w:rsidRPr="0022627D">
        <w:rPr>
          <w:lang w:val="en-GB"/>
        </w:rPr>
        <w:t>Bossche</w:t>
      </w:r>
      <w:proofErr w:type="spellEnd"/>
      <w:r w:rsidRPr="0022627D">
        <w:rPr>
          <w:lang w:val="en-GB"/>
        </w:rPr>
        <w:t xml:space="preserve">, Joris, Nick Eubank, Kelsey </w:t>
      </w:r>
      <w:proofErr w:type="spellStart"/>
      <w:r w:rsidRPr="0022627D">
        <w:rPr>
          <w:lang w:val="en-GB"/>
        </w:rPr>
        <w:t>Jordahl</w:t>
      </w:r>
      <w:proofErr w:type="spellEnd"/>
      <w:r w:rsidRPr="0022627D">
        <w:rPr>
          <w:lang w:val="en-GB"/>
        </w:rPr>
        <w:t xml:space="preserve">, Martin Fleischmann, James McBride, Chris </w:t>
      </w:r>
      <w:proofErr w:type="spellStart"/>
      <w:r w:rsidRPr="0022627D">
        <w:rPr>
          <w:lang w:val="en-GB"/>
        </w:rPr>
        <w:t>Holdgraf</w:t>
      </w:r>
      <w:proofErr w:type="spellEnd"/>
      <w:r w:rsidRPr="0022627D">
        <w:rPr>
          <w:lang w:val="en-GB"/>
        </w:rPr>
        <w:t>, and Philipp Kats. ‘</w:t>
      </w:r>
      <w:proofErr w:type="spellStart"/>
      <w:r w:rsidRPr="0022627D">
        <w:rPr>
          <w:lang w:val="en-GB"/>
        </w:rPr>
        <w:t>GeoPandas</w:t>
      </w:r>
      <w:proofErr w:type="spellEnd"/>
      <w:r w:rsidRPr="0022627D">
        <w:rPr>
          <w:lang w:val="en-GB"/>
        </w:rPr>
        <w:t xml:space="preserve"> 0.8.2 — </w:t>
      </w:r>
      <w:proofErr w:type="spellStart"/>
      <w:r w:rsidRPr="0022627D">
        <w:rPr>
          <w:lang w:val="en-GB"/>
        </w:rPr>
        <w:t>GeoPandas</w:t>
      </w:r>
      <w:proofErr w:type="spellEnd"/>
      <w:r w:rsidRPr="0022627D">
        <w:rPr>
          <w:lang w:val="en-GB"/>
        </w:rPr>
        <w:t xml:space="preserve"> 0.8.2 Documentation’. Accessed 4 January 2022. </w:t>
      </w:r>
      <w:hyperlink r:id="rId33" w:history="1">
        <w:r w:rsidRPr="000E1427">
          <w:rPr>
            <w:rStyle w:val="Hyperlink"/>
            <w:lang w:val="en-GB"/>
          </w:rPr>
          <w:t>https://geopandas.org/en/v0.8.2/index.html</w:t>
        </w:r>
      </w:hyperlink>
      <w:r w:rsidRPr="0022627D">
        <w:rPr>
          <w:lang w:val="en-GB"/>
        </w:rPr>
        <w:t>.</w:t>
      </w:r>
    </w:p>
    <w:p w14:paraId="512A9728" w14:textId="71EF00CF" w:rsidR="0022627D" w:rsidRDefault="001E78F2" w:rsidP="00A22293">
      <w:pPr>
        <w:pStyle w:val="Reference"/>
        <w:rPr>
          <w:lang w:val="en-GB"/>
        </w:rPr>
      </w:pPr>
      <w:r w:rsidRPr="001E78F2">
        <w:rPr>
          <w:lang w:val="en-GB"/>
        </w:rPr>
        <w:t xml:space="preserve">Smith, Taylor. </w:t>
      </w:r>
      <w:proofErr w:type="spellStart"/>
      <w:r w:rsidRPr="001E78F2">
        <w:rPr>
          <w:lang w:val="en-GB"/>
        </w:rPr>
        <w:t>Pmdarima</w:t>
      </w:r>
      <w:proofErr w:type="spellEnd"/>
      <w:r w:rsidRPr="001E78F2">
        <w:rPr>
          <w:lang w:val="en-GB"/>
        </w:rPr>
        <w:t xml:space="preserve">: Python’s </w:t>
      </w:r>
      <w:proofErr w:type="gramStart"/>
      <w:r w:rsidRPr="001E78F2">
        <w:rPr>
          <w:lang w:val="en-GB"/>
        </w:rPr>
        <w:t>Forecast::</w:t>
      </w:r>
      <w:proofErr w:type="spellStart"/>
      <w:proofErr w:type="gramEnd"/>
      <w:r w:rsidRPr="001E78F2">
        <w:rPr>
          <w:lang w:val="en-GB"/>
        </w:rPr>
        <w:t>Auto.Arima</w:t>
      </w:r>
      <w:proofErr w:type="spellEnd"/>
      <w:r w:rsidRPr="001E78F2">
        <w:rPr>
          <w:lang w:val="en-GB"/>
        </w:rPr>
        <w:t xml:space="preserve"> Equivalent (version 1.8.4). MacOS, </w:t>
      </w:r>
      <w:proofErr w:type="gramStart"/>
      <w:r w:rsidRPr="001E78F2">
        <w:rPr>
          <w:lang w:val="en-GB"/>
        </w:rPr>
        <w:t>Microsoft :</w:t>
      </w:r>
      <w:proofErr w:type="gramEnd"/>
      <w:r w:rsidRPr="001E78F2">
        <w:rPr>
          <w:lang w:val="en-GB"/>
        </w:rPr>
        <w:t xml:space="preserve">: Windows, POSIX, Unix, C, Python, 2017. </w:t>
      </w:r>
      <w:hyperlink r:id="rId34" w:history="1">
        <w:r w:rsidRPr="00987F93">
          <w:rPr>
            <w:rStyle w:val="Hyperlink"/>
            <w:lang w:val="en-GB"/>
          </w:rPr>
          <w:t>http://alkaline-ml.com/pmdarima</w:t>
        </w:r>
      </w:hyperlink>
      <w:r w:rsidRPr="001E78F2">
        <w:rPr>
          <w:lang w:val="en-GB"/>
        </w:rPr>
        <w:t>.</w:t>
      </w:r>
    </w:p>
    <w:p w14:paraId="469CC759" w14:textId="18F5BAB4" w:rsidR="001E78F2" w:rsidRDefault="00B54533" w:rsidP="00A22293">
      <w:pPr>
        <w:pStyle w:val="Reference"/>
        <w:rPr>
          <w:lang w:val="en-GB"/>
        </w:rPr>
      </w:pPr>
      <w:proofErr w:type="spellStart"/>
      <w:r w:rsidRPr="00B54533">
        <w:rPr>
          <w:lang w:val="en-GB"/>
        </w:rPr>
        <w:t>xgboost</w:t>
      </w:r>
      <w:proofErr w:type="spellEnd"/>
      <w:r w:rsidRPr="00B54533">
        <w:rPr>
          <w:lang w:val="en-GB"/>
        </w:rPr>
        <w:t xml:space="preserve"> developers. ‘</w:t>
      </w:r>
      <w:proofErr w:type="spellStart"/>
      <w:r w:rsidRPr="00B54533">
        <w:rPr>
          <w:lang w:val="en-GB"/>
        </w:rPr>
        <w:t>XGBoost</w:t>
      </w:r>
      <w:proofErr w:type="spellEnd"/>
      <w:r w:rsidRPr="00B54533">
        <w:rPr>
          <w:lang w:val="en-GB"/>
        </w:rPr>
        <w:t xml:space="preserve"> Documentation — </w:t>
      </w:r>
      <w:proofErr w:type="spellStart"/>
      <w:r w:rsidRPr="00B54533">
        <w:rPr>
          <w:lang w:val="en-GB"/>
        </w:rPr>
        <w:t>Xgboost</w:t>
      </w:r>
      <w:proofErr w:type="spellEnd"/>
      <w:r w:rsidRPr="00B54533">
        <w:rPr>
          <w:lang w:val="en-GB"/>
        </w:rPr>
        <w:t xml:space="preserve"> 1.5.1 Documentation’, 2021. </w:t>
      </w:r>
      <w:hyperlink r:id="rId35" w:history="1">
        <w:r w:rsidRPr="006130BE">
          <w:rPr>
            <w:rStyle w:val="Hyperlink"/>
            <w:lang w:val="en-GB"/>
          </w:rPr>
          <w:t>https://xgboost.readthedocs.io/en/stable/</w:t>
        </w:r>
      </w:hyperlink>
      <w:r w:rsidRPr="00B54533">
        <w:rPr>
          <w:lang w:val="en-GB"/>
        </w:rPr>
        <w:t>.</w:t>
      </w:r>
    </w:p>
    <w:p w14:paraId="39E30302" w14:textId="77777777" w:rsidR="00B54533" w:rsidRDefault="00B54533" w:rsidP="00A22293">
      <w:pPr>
        <w:pStyle w:val="Reference"/>
        <w:rPr>
          <w:lang w:val="en-GB"/>
        </w:rPr>
      </w:pPr>
    </w:p>
    <w:p w14:paraId="0896F0EF" w14:textId="29F89622" w:rsidR="00C01EB9" w:rsidRDefault="00C01EB9" w:rsidP="00F9218C">
      <w:pPr>
        <w:pStyle w:val="Reference"/>
        <w:numPr>
          <w:ilvl w:val="0"/>
          <w:numId w:val="0"/>
        </w:numPr>
        <w:ind w:left="360" w:hanging="360"/>
        <w:rPr>
          <w:lang w:val="en-GB"/>
        </w:rPr>
      </w:pPr>
    </w:p>
    <w:p w14:paraId="40A45E35" w14:textId="1DE642A9" w:rsidR="00F9218C" w:rsidRPr="00F9218C" w:rsidRDefault="00F9218C" w:rsidP="00F9218C">
      <w:pPr>
        <w:pStyle w:val="Reference"/>
        <w:numPr>
          <w:ilvl w:val="0"/>
          <w:numId w:val="0"/>
        </w:numPr>
        <w:ind w:left="360" w:hanging="360"/>
        <w:rPr>
          <w:b/>
          <w:bCs/>
          <w:lang w:val="en-GB"/>
        </w:rPr>
      </w:pPr>
      <w:r w:rsidRPr="00F9218C">
        <w:rPr>
          <w:b/>
          <w:bCs/>
          <w:lang w:val="en-GB"/>
        </w:rPr>
        <w:t>Appendix</w:t>
      </w:r>
    </w:p>
    <w:p w14:paraId="25980D63" w14:textId="6FAD315E" w:rsidR="00F9218C" w:rsidRDefault="00F9218C" w:rsidP="00F9218C">
      <w:pPr>
        <w:pStyle w:val="Reference"/>
        <w:numPr>
          <w:ilvl w:val="0"/>
          <w:numId w:val="0"/>
        </w:numPr>
        <w:ind w:left="360" w:hanging="360"/>
        <w:rPr>
          <w:lang w:val="en-GB"/>
        </w:rPr>
      </w:pPr>
      <w:r>
        <w:rPr>
          <w:lang w:val="en-GB"/>
        </w:rPr>
        <w:t>Interesting columns:</w:t>
      </w:r>
    </w:p>
    <w:p w14:paraId="425BAB44"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economic_activity_economically_active_unemployed</w:t>
      </w:r>
      <w:proofErr w:type="spellEnd"/>
    </w:p>
    <w:p w14:paraId="51C61ADB"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economic_activity_economically_active_full-time_student</w:t>
      </w:r>
      <w:proofErr w:type="spellEnd"/>
    </w:p>
    <w:p w14:paraId="38012484" w14:textId="77777777" w:rsidR="00F9218C" w:rsidRPr="00F9218C" w:rsidRDefault="00F9218C" w:rsidP="00F9218C">
      <w:pPr>
        <w:pStyle w:val="Reference"/>
        <w:numPr>
          <w:ilvl w:val="0"/>
          <w:numId w:val="45"/>
        </w:numPr>
        <w:rPr>
          <w:lang w:val="en-GB"/>
        </w:rPr>
      </w:pPr>
      <w:proofErr w:type="spellStart"/>
      <w:r w:rsidRPr="00F9218C">
        <w:rPr>
          <w:lang w:val="en-GB"/>
        </w:rPr>
        <w:t>economic_activity_economically_inactive_total</w:t>
      </w:r>
      <w:proofErr w:type="spellEnd"/>
    </w:p>
    <w:p w14:paraId="1EE2B771" w14:textId="77777777" w:rsidR="00F9218C" w:rsidRPr="00F9218C" w:rsidRDefault="00F9218C" w:rsidP="00F9218C">
      <w:pPr>
        <w:pStyle w:val="Reference"/>
        <w:numPr>
          <w:ilvl w:val="0"/>
          <w:numId w:val="45"/>
        </w:numPr>
        <w:rPr>
          <w:lang w:val="en-GB"/>
        </w:rPr>
      </w:pPr>
      <w:proofErr w:type="spellStart"/>
      <w:r w:rsidRPr="00F9218C">
        <w:rPr>
          <w:lang w:val="en-GB"/>
        </w:rPr>
        <w:t>general_health_bad_health</w:t>
      </w:r>
      <w:proofErr w:type="spellEnd"/>
    </w:p>
    <w:p w14:paraId="7AA43B92" w14:textId="77777777" w:rsidR="00F9218C" w:rsidRPr="00F9218C" w:rsidRDefault="00F9218C" w:rsidP="00F9218C">
      <w:pPr>
        <w:pStyle w:val="Reference"/>
        <w:numPr>
          <w:ilvl w:val="0"/>
          <w:numId w:val="45"/>
        </w:numPr>
        <w:rPr>
          <w:lang w:val="en-GB"/>
        </w:rPr>
      </w:pPr>
      <w:proofErr w:type="spellStart"/>
      <w:r w:rsidRPr="00F9218C">
        <w:rPr>
          <w:lang w:val="en-GB"/>
        </w:rPr>
        <w:t>general_health_very_bad_health</w:t>
      </w:r>
      <w:proofErr w:type="spellEnd"/>
    </w:p>
    <w:p w14:paraId="098E41DC" w14:textId="77777777" w:rsidR="00F9218C" w:rsidRPr="00F9218C" w:rsidRDefault="00F9218C" w:rsidP="00F9218C">
      <w:pPr>
        <w:pStyle w:val="Reference"/>
        <w:numPr>
          <w:ilvl w:val="0"/>
          <w:numId w:val="45"/>
        </w:numPr>
        <w:rPr>
          <w:lang w:val="en-GB"/>
        </w:rPr>
      </w:pPr>
      <w:proofErr w:type="spellStart"/>
      <w:r w:rsidRPr="00F9218C">
        <w:rPr>
          <w:lang w:val="en-GB"/>
        </w:rPr>
        <w:t>qualification_no_qualifications</w:t>
      </w:r>
      <w:proofErr w:type="spellEnd"/>
    </w:p>
    <w:p w14:paraId="3181451A" w14:textId="77777777" w:rsidR="00F9218C" w:rsidRPr="00F9218C" w:rsidRDefault="00F9218C" w:rsidP="00F9218C">
      <w:pPr>
        <w:pStyle w:val="Reference"/>
        <w:numPr>
          <w:ilvl w:val="0"/>
          <w:numId w:val="45"/>
        </w:numPr>
        <w:rPr>
          <w:lang w:val="en-GB"/>
        </w:rPr>
      </w:pPr>
      <w:r w:rsidRPr="00F9218C">
        <w:rPr>
          <w:lang w:val="en-GB"/>
        </w:rPr>
        <w:t>qualification_level_4_qualifications_and_above</w:t>
      </w:r>
    </w:p>
    <w:p w14:paraId="4744C86B" w14:textId="77777777" w:rsidR="00F9218C" w:rsidRPr="00F9218C" w:rsidRDefault="00F9218C" w:rsidP="00F9218C">
      <w:pPr>
        <w:pStyle w:val="Reference"/>
        <w:numPr>
          <w:ilvl w:val="0"/>
          <w:numId w:val="45"/>
        </w:numPr>
        <w:rPr>
          <w:lang w:val="en-GB"/>
        </w:rPr>
      </w:pPr>
      <w:r w:rsidRPr="00F9218C">
        <w:rPr>
          <w:lang w:val="en-GB"/>
        </w:rPr>
        <w:t>residence_type_communal_establishments_with_persons_sleeping_rough</w:t>
      </w:r>
    </w:p>
    <w:p w14:paraId="34C97FC6" w14:textId="77777777" w:rsidR="00F9218C" w:rsidRPr="00F9218C" w:rsidRDefault="00F9218C" w:rsidP="00F9218C">
      <w:pPr>
        <w:pStyle w:val="Reference"/>
        <w:numPr>
          <w:ilvl w:val="0"/>
          <w:numId w:val="45"/>
        </w:numPr>
        <w:rPr>
          <w:lang w:val="en-GB"/>
        </w:rPr>
      </w:pPr>
      <w:r w:rsidRPr="00F9218C">
        <w:rPr>
          <w:lang w:val="en-GB"/>
        </w:rPr>
        <w:t>60+</w:t>
      </w:r>
    </w:p>
    <w:p w14:paraId="31378CAC" w14:textId="77777777" w:rsidR="00F9218C" w:rsidRPr="00F9218C" w:rsidRDefault="00F9218C" w:rsidP="00F9218C">
      <w:pPr>
        <w:pStyle w:val="Reference"/>
        <w:numPr>
          <w:ilvl w:val="0"/>
          <w:numId w:val="45"/>
        </w:numPr>
        <w:rPr>
          <w:lang w:val="en-GB"/>
        </w:rPr>
      </w:pPr>
      <w:r w:rsidRPr="00F9218C">
        <w:rPr>
          <w:lang w:val="en-GB"/>
        </w:rPr>
        <w:t>00_59</w:t>
      </w:r>
    </w:p>
    <w:p w14:paraId="3B1C6FBC"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method_of_travel_to_work_work_mainly_at_or_from_home</w:t>
      </w:r>
      <w:proofErr w:type="spellEnd"/>
    </w:p>
    <w:p w14:paraId="4CF7638D"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method_of_travel_to_work_taxi</w:t>
      </w:r>
      <w:proofErr w:type="spellEnd"/>
    </w:p>
    <w:p w14:paraId="49B2F369"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method_of_travel_to_work_bus_minibus_or_coach</w:t>
      </w:r>
      <w:proofErr w:type="spellEnd"/>
    </w:p>
    <w:p w14:paraId="7130DF27"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method_of_travel_to_work_motorcycle_scooter_or_moped</w:t>
      </w:r>
      <w:proofErr w:type="spellEnd"/>
    </w:p>
    <w:p w14:paraId="7AEDDD77" w14:textId="77777777" w:rsidR="00F9218C" w:rsidRPr="00F9218C" w:rsidRDefault="00F9218C" w:rsidP="00F9218C">
      <w:pPr>
        <w:pStyle w:val="Reference"/>
        <w:numPr>
          <w:ilvl w:val="0"/>
          <w:numId w:val="45"/>
        </w:numPr>
        <w:rPr>
          <w:lang w:val="en-GB"/>
        </w:rPr>
      </w:pPr>
      <w:proofErr w:type="spellStart"/>
      <w:r w:rsidRPr="00F9218C">
        <w:rPr>
          <w:lang w:val="en-GB"/>
        </w:rPr>
        <w:t>method_of_travel_to_work_passenger_in_a_car_or_van</w:t>
      </w:r>
      <w:proofErr w:type="spellEnd"/>
    </w:p>
    <w:p w14:paraId="624BDEA1" w14:textId="125619A4" w:rsidR="00F9218C" w:rsidRPr="00A22293" w:rsidRDefault="00F9218C" w:rsidP="00F9218C">
      <w:pPr>
        <w:pStyle w:val="Reference"/>
        <w:numPr>
          <w:ilvl w:val="0"/>
          <w:numId w:val="45"/>
        </w:numPr>
        <w:rPr>
          <w:lang w:val="en-GB"/>
        </w:rPr>
      </w:pPr>
      <w:proofErr w:type="spellStart"/>
      <w:r w:rsidRPr="00F9218C">
        <w:rPr>
          <w:lang w:val="en-GB"/>
        </w:rPr>
        <w:t>method_of_travel_to_work_on_foot</w:t>
      </w:r>
      <w:proofErr w:type="spellEnd"/>
    </w:p>
    <w:sectPr w:rsidR="00F9218C"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99C5E" w14:textId="77777777" w:rsidR="0025496B" w:rsidRDefault="0025496B" w:rsidP="0023500F">
      <w:r>
        <w:separator/>
      </w:r>
    </w:p>
  </w:endnote>
  <w:endnote w:type="continuationSeparator" w:id="0">
    <w:p w14:paraId="4CEF7A60" w14:textId="77777777" w:rsidR="0025496B" w:rsidRDefault="0025496B"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D2C39" w14:textId="77777777" w:rsidR="0025496B" w:rsidRDefault="0025496B" w:rsidP="0023500F">
      <w:r>
        <w:separator/>
      </w:r>
    </w:p>
  </w:footnote>
  <w:footnote w:type="continuationSeparator" w:id="0">
    <w:p w14:paraId="4C2F2F2C" w14:textId="77777777" w:rsidR="0025496B" w:rsidRDefault="0025496B"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17B17"/>
    <w:rsid w:val="0002261D"/>
    <w:rsid w:val="00022C2C"/>
    <w:rsid w:val="000352B6"/>
    <w:rsid w:val="000424DC"/>
    <w:rsid w:val="00056F0C"/>
    <w:rsid w:val="00057096"/>
    <w:rsid w:val="00073854"/>
    <w:rsid w:val="00075299"/>
    <w:rsid w:val="000A7067"/>
    <w:rsid w:val="000B5111"/>
    <w:rsid w:val="000D72ED"/>
    <w:rsid w:val="00101090"/>
    <w:rsid w:val="00101756"/>
    <w:rsid w:val="00122DAD"/>
    <w:rsid w:val="00136C75"/>
    <w:rsid w:val="00141153"/>
    <w:rsid w:val="00146D00"/>
    <w:rsid w:val="001500EB"/>
    <w:rsid w:val="001530A7"/>
    <w:rsid w:val="00157836"/>
    <w:rsid w:val="00185A50"/>
    <w:rsid w:val="00194142"/>
    <w:rsid w:val="001B6076"/>
    <w:rsid w:val="001C1B1F"/>
    <w:rsid w:val="001D68C4"/>
    <w:rsid w:val="001E380C"/>
    <w:rsid w:val="001E78F2"/>
    <w:rsid w:val="00200591"/>
    <w:rsid w:val="0022627D"/>
    <w:rsid w:val="0023500F"/>
    <w:rsid w:val="002353FE"/>
    <w:rsid w:val="00244BFF"/>
    <w:rsid w:val="0024544E"/>
    <w:rsid w:val="00247256"/>
    <w:rsid w:val="0024739E"/>
    <w:rsid w:val="0025496B"/>
    <w:rsid w:val="00264B2B"/>
    <w:rsid w:val="00291E4B"/>
    <w:rsid w:val="002A455E"/>
    <w:rsid w:val="002C6A72"/>
    <w:rsid w:val="003250BE"/>
    <w:rsid w:val="0033298D"/>
    <w:rsid w:val="0036067B"/>
    <w:rsid w:val="00362628"/>
    <w:rsid w:val="003946F2"/>
    <w:rsid w:val="003B391C"/>
    <w:rsid w:val="003B74F6"/>
    <w:rsid w:val="003C4B72"/>
    <w:rsid w:val="003D5364"/>
    <w:rsid w:val="003F7598"/>
    <w:rsid w:val="0040736F"/>
    <w:rsid w:val="00410F00"/>
    <w:rsid w:val="004122A2"/>
    <w:rsid w:val="00424F89"/>
    <w:rsid w:val="004273E9"/>
    <w:rsid w:val="00466446"/>
    <w:rsid w:val="004844F3"/>
    <w:rsid w:val="0048763D"/>
    <w:rsid w:val="004A59B7"/>
    <w:rsid w:val="004B44B5"/>
    <w:rsid w:val="004D0DB2"/>
    <w:rsid w:val="004D1B52"/>
    <w:rsid w:val="004D1BEC"/>
    <w:rsid w:val="004E4B87"/>
    <w:rsid w:val="004E7CF3"/>
    <w:rsid w:val="00511296"/>
    <w:rsid w:val="0052525C"/>
    <w:rsid w:val="0052549F"/>
    <w:rsid w:val="005355E2"/>
    <w:rsid w:val="00544587"/>
    <w:rsid w:val="00547AE1"/>
    <w:rsid w:val="00577DF8"/>
    <w:rsid w:val="00580E56"/>
    <w:rsid w:val="00587A95"/>
    <w:rsid w:val="005B2617"/>
    <w:rsid w:val="005C3139"/>
    <w:rsid w:val="005F2D01"/>
    <w:rsid w:val="00625F0C"/>
    <w:rsid w:val="0062797F"/>
    <w:rsid w:val="006616A1"/>
    <w:rsid w:val="00685544"/>
    <w:rsid w:val="00697282"/>
    <w:rsid w:val="006B3FFA"/>
    <w:rsid w:val="006B794F"/>
    <w:rsid w:val="006C7588"/>
    <w:rsid w:val="006E2676"/>
    <w:rsid w:val="006F054A"/>
    <w:rsid w:val="00702B24"/>
    <w:rsid w:val="00721694"/>
    <w:rsid w:val="00723A67"/>
    <w:rsid w:val="007401B6"/>
    <w:rsid w:val="0075547C"/>
    <w:rsid w:val="00775E73"/>
    <w:rsid w:val="007B4EB7"/>
    <w:rsid w:val="007B6836"/>
    <w:rsid w:val="007D0776"/>
    <w:rsid w:val="007D34C2"/>
    <w:rsid w:val="007D4D52"/>
    <w:rsid w:val="007E3541"/>
    <w:rsid w:val="007E735D"/>
    <w:rsid w:val="00804616"/>
    <w:rsid w:val="00807E59"/>
    <w:rsid w:val="00811BE1"/>
    <w:rsid w:val="00812256"/>
    <w:rsid w:val="00824DF7"/>
    <w:rsid w:val="00847691"/>
    <w:rsid w:val="00880275"/>
    <w:rsid w:val="00897319"/>
    <w:rsid w:val="008E229D"/>
    <w:rsid w:val="008F7A65"/>
    <w:rsid w:val="00915950"/>
    <w:rsid w:val="00922D03"/>
    <w:rsid w:val="00932509"/>
    <w:rsid w:val="009458D8"/>
    <w:rsid w:val="009641AB"/>
    <w:rsid w:val="009A2F20"/>
    <w:rsid w:val="009A3D55"/>
    <w:rsid w:val="009B0242"/>
    <w:rsid w:val="009C1BDF"/>
    <w:rsid w:val="009C5474"/>
    <w:rsid w:val="009D341C"/>
    <w:rsid w:val="009D6677"/>
    <w:rsid w:val="009D7B61"/>
    <w:rsid w:val="009E21A9"/>
    <w:rsid w:val="009F45A1"/>
    <w:rsid w:val="00A03345"/>
    <w:rsid w:val="00A07B64"/>
    <w:rsid w:val="00A116DD"/>
    <w:rsid w:val="00A15ECB"/>
    <w:rsid w:val="00A22293"/>
    <w:rsid w:val="00A23FFA"/>
    <w:rsid w:val="00A37484"/>
    <w:rsid w:val="00A53A8A"/>
    <w:rsid w:val="00A54F64"/>
    <w:rsid w:val="00A56A37"/>
    <w:rsid w:val="00A73808"/>
    <w:rsid w:val="00A81201"/>
    <w:rsid w:val="00A81E7D"/>
    <w:rsid w:val="00A9412A"/>
    <w:rsid w:val="00AE236F"/>
    <w:rsid w:val="00AF2C00"/>
    <w:rsid w:val="00B12D8D"/>
    <w:rsid w:val="00B25A3B"/>
    <w:rsid w:val="00B30732"/>
    <w:rsid w:val="00B47226"/>
    <w:rsid w:val="00B54533"/>
    <w:rsid w:val="00B6128B"/>
    <w:rsid w:val="00B63FF8"/>
    <w:rsid w:val="00B64FF6"/>
    <w:rsid w:val="00B67DEF"/>
    <w:rsid w:val="00B75A87"/>
    <w:rsid w:val="00B951E0"/>
    <w:rsid w:val="00BA6193"/>
    <w:rsid w:val="00BB30BA"/>
    <w:rsid w:val="00BC7B93"/>
    <w:rsid w:val="00BE1063"/>
    <w:rsid w:val="00BF40C8"/>
    <w:rsid w:val="00BF4F16"/>
    <w:rsid w:val="00BF590B"/>
    <w:rsid w:val="00BF6C08"/>
    <w:rsid w:val="00C01EB9"/>
    <w:rsid w:val="00C24F77"/>
    <w:rsid w:val="00C362EE"/>
    <w:rsid w:val="00C3647A"/>
    <w:rsid w:val="00C46B6F"/>
    <w:rsid w:val="00C52287"/>
    <w:rsid w:val="00C60F4E"/>
    <w:rsid w:val="00C81BC0"/>
    <w:rsid w:val="00CC4341"/>
    <w:rsid w:val="00CC5EF5"/>
    <w:rsid w:val="00CF1D7C"/>
    <w:rsid w:val="00CF2F15"/>
    <w:rsid w:val="00CF6796"/>
    <w:rsid w:val="00D01B4C"/>
    <w:rsid w:val="00D10AAE"/>
    <w:rsid w:val="00D13CA7"/>
    <w:rsid w:val="00D14D97"/>
    <w:rsid w:val="00D234B8"/>
    <w:rsid w:val="00D435D4"/>
    <w:rsid w:val="00D46DA5"/>
    <w:rsid w:val="00D5370A"/>
    <w:rsid w:val="00D56C93"/>
    <w:rsid w:val="00D63AA5"/>
    <w:rsid w:val="00DB7D28"/>
    <w:rsid w:val="00DC211E"/>
    <w:rsid w:val="00DD0E43"/>
    <w:rsid w:val="00DE2F55"/>
    <w:rsid w:val="00DF7EAC"/>
    <w:rsid w:val="00E01066"/>
    <w:rsid w:val="00E02963"/>
    <w:rsid w:val="00E75FC1"/>
    <w:rsid w:val="00E76943"/>
    <w:rsid w:val="00E779D1"/>
    <w:rsid w:val="00E8122C"/>
    <w:rsid w:val="00E86645"/>
    <w:rsid w:val="00E86869"/>
    <w:rsid w:val="00EB3A99"/>
    <w:rsid w:val="00ED294C"/>
    <w:rsid w:val="00F00DF9"/>
    <w:rsid w:val="00F06A10"/>
    <w:rsid w:val="00F20817"/>
    <w:rsid w:val="00F21FEB"/>
    <w:rsid w:val="00F479C5"/>
    <w:rsid w:val="00F529B2"/>
    <w:rsid w:val="00F53FB6"/>
    <w:rsid w:val="00F63F50"/>
    <w:rsid w:val="00F66135"/>
    <w:rsid w:val="00F75CE6"/>
    <w:rsid w:val="00F9218C"/>
    <w:rsid w:val="00FA1791"/>
    <w:rsid w:val="00FA3DF7"/>
    <w:rsid w:val="00FB3DD4"/>
    <w:rsid w:val="00FC38D4"/>
    <w:rsid w:val="00FC4B31"/>
    <w:rsid w:val="00FD4B6E"/>
    <w:rsid w:val="00FD56A7"/>
    <w:rsid w:val="00FF2079"/>
    <w:rsid w:val="00FF7E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0"/>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 w:type="character" w:styleId="CommentReference">
    <w:name w:val="annotation reference"/>
    <w:basedOn w:val="DefaultParagraphFont"/>
    <w:semiHidden/>
    <w:unhideWhenUsed/>
    <w:rsid w:val="009A2F20"/>
    <w:rPr>
      <w:sz w:val="16"/>
      <w:szCs w:val="16"/>
    </w:rPr>
  </w:style>
  <w:style w:type="paragraph" w:styleId="CommentText">
    <w:name w:val="annotation text"/>
    <w:basedOn w:val="Normal"/>
    <w:link w:val="CommentTextChar"/>
    <w:semiHidden/>
    <w:unhideWhenUsed/>
    <w:rsid w:val="009A2F20"/>
    <w:rPr>
      <w:szCs w:val="20"/>
    </w:rPr>
  </w:style>
  <w:style w:type="character" w:customStyle="1" w:styleId="CommentTextChar">
    <w:name w:val="Comment Text Char"/>
    <w:basedOn w:val="DefaultParagraphFont"/>
    <w:link w:val="CommentText"/>
    <w:semiHidden/>
    <w:rsid w:val="009A2F20"/>
  </w:style>
  <w:style w:type="paragraph" w:styleId="CommentSubject">
    <w:name w:val="annotation subject"/>
    <w:basedOn w:val="CommentText"/>
    <w:next w:val="CommentText"/>
    <w:link w:val="CommentSubjectChar"/>
    <w:semiHidden/>
    <w:unhideWhenUsed/>
    <w:rsid w:val="009A2F20"/>
    <w:rPr>
      <w:b/>
      <w:bCs/>
    </w:rPr>
  </w:style>
  <w:style w:type="character" w:customStyle="1" w:styleId="CommentSubjectChar">
    <w:name w:val="Comment Subject Char"/>
    <w:basedOn w:val="CommentTextChar"/>
    <w:link w:val="CommentSubject"/>
    <w:semiHidden/>
    <w:rsid w:val="009A2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census.ukdataservice.ac.uk/get-data/boundary-data.aspx" TargetMode="External"/><Relationship Id="rId26" Type="http://schemas.openxmlformats.org/officeDocument/2006/relationships/hyperlink" Target="https://geoportal.statistics.gov.uk/datasets/ons::local-authority-districts-may-2021-uk-bfe/about" TargetMode="External"/><Relationship Id="rId3" Type="http://schemas.openxmlformats.org/officeDocument/2006/relationships/settings" Target="settings.xml"/><Relationship Id="rId21" Type="http://schemas.openxmlformats.org/officeDocument/2006/relationships/hyperlink" Target="https://doi.org/10.1101/2020.02.26.20028167" TargetMode="External"/><Relationship Id="rId34" Type="http://schemas.openxmlformats.org/officeDocument/2006/relationships/hyperlink" Target="http://alkaline-ml.com/pmdarima" TargetMode="Externa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hyperlink" Target="http://discover.ukdataservice.ac.uk/catalogue/?sn=5819&amp;type=Data%20catalogue" TargetMode="External"/><Relationship Id="rId25" Type="http://schemas.openxmlformats.org/officeDocument/2006/relationships/hyperlink" Target="https://doi.org/10.1101/2020.02.12.20022566" TargetMode="External"/><Relationship Id="rId33" Type="http://schemas.openxmlformats.org/officeDocument/2006/relationships/hyperlink" Target="https://geopandas.org/en/v0.8.2/index.html" TargetMode="External"/><Relationship Id="rId2" Type="http://schemas.openxmlformats.org/officeDocument/2006/relationships/styles" Target="styles.xml"/><Relationship Id="rId16" Type="http://schemas.openxmlformats.org/officeDocument/2006/relationships/hyperlink" Target="https://coronavirus.data.gov.uk/details/cases?areaType=overview&amp;areaName=United%20Kingdom" TargetMode="External"/><Relationship Id="rId20" Type="http://schemas.openxmlformats.org/officeDocument/2006/relationships/hyperlink" Target="https://pandas.pydata.org/" TargetMode="External"/><Relationship Id="rId29" Type="http://schemas.openxmlformats.org/officeDocument/2006/relationships/hyperlink" Target="https://www.scikit-yb.org/en/latest/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109/OJEMB.2021.3096135" TargetMode="External"/><Relationship Id="rId32" Type="http://schemas.openxmlformats.org/officeDocument/2006/relationships/hyperlink" Target="https://doi.org/10.1002/9780470382776.ch4"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28" Type="http://schemas.openxmlformats.org/officeDocument/2006/relationships/hyperlink" Target="https://doi.org/10.21105/joss.03021"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microsoft.com/en-us/microsoft-365/excel" TargetMode="External"/><Relationship Id="rId31" Type="http://schemas.openxmlformats.org/officeDocument/2006/relationships/hyperlink" Target="https://scikit-learn.org/stable/"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doi.org/10.1101/2020.02.16.20023754" TargetMode="External"/><Relationship Id="rId27" Type="http://schemas.openxmlformats.org/officeDocument/2006/relationships/hyperlink" Target="https://www.tableau.com/node/62770" TargetMode="External"/><Relationship Id="rId30" Type="http://schemas.openxmlformats.org/officeDocument/2006/relationships/hyperlink" Target="https://www.statsmodels.org/dev/index.html" TargetMode="External"/><Relationship Id="rId35" Type="http://schemas.openxmlformats.org/officeDocument/2006/relationships/hyperlink" Target="https://xgboost.readthedocs.io/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2288</TotalTime>
  <Pages>5</Pages>
  <Words>3282</Words>
  <Characters>18711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21950</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64</cp:revision>
  <cp:lastPrinted>2009-03-17T19:21:00Z</cp:lastPrinted>
  <dcterms:created xsi:type="dcterms:W3CDTF">2019-09-24T12:47:00Z</dcterms:created>
  <dcterms:modified xsi:type="dcterms:W3CDTF">2022-01-06T13:29:00Z</dcterms:modified>
</cp:coreProperties>
</file>