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8"/>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1F6131"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044003" cy="1640623"/>
                    </a:xfrm>
                    <a:prstGeom prst="rect">
                      <a:avLst/>
                    </a:prstGeom>
                  </pic:spPr>
                </pic:pic>
              </a:graphicData>
            </a:graphic>
          </wp:inline>
        </w:drawing>
      </w:r>
    </w:p>
    <w:p w14:paraId="5435CDA6" w14:textId="39161760" w:rsidR="00A81E7D" w:rsidRDefault="00A81E7D" w:rsidP="00A81E7D">
      <w:pPr>
        <w:pStyle w:val="Caption"/>
        <w:jc w:val="both"/>
      </w:pPr>
      <w:r>
        <w:t xml:space="preserve">Fig. </w:t>
      </w:r>
      <w:r w:rsidR="001F6131">
        <w:fldChar w:fldCharType="begin"/>
      </w:r>
      <w:r w:rsidR="001F6131">
        <w:instrText xml:space="preserve"> SEQ Figure \* ARABIC </w:instrText>
      </w:r>
      <w:r w:rsidR="001F6131">
        <w:fldChar w:fldCharType="separate"/>
      </w:r>
      <w:r w:rsidR="00DF3378">
        <w:rPr>
          <w:noProof/>
        </w:rPr>
        <w:t>1</w:t>
      </w:r>
      <w:r w:rsidR="001F6131">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3177540" cy="1917065"/>
                    </a:xfrm>
                    <a:prstGeom prst="rect">
                      <a:avLst/>
                    </a:prstGeom>
                  </pic:spPr>
                </pic:pic>
              </a:graphicData>
            </a:graphic>
          </wp:inline>
        </w:drawing>
      </w:r>
    </w:p>
    <w:p w14:paraId="7CFB4B4F" w14:textId="4B6DCDC0" w:rsidR="00BA6193" w:rsidRDefault="00BA6193" w:rsidP="00BA6193">
      <w:pPr>
        <w:pStyle w:val="Caption"/>
      </w:pPr>
      <w:r>
        <w:t xml:space="preserve">Fig. </w:t>
      </w:r>
      <w:r w:rsidR="001F6131">
        <w:fldChar w:fldCharType="begin"/>
      </w:r>
      <w:r w:rsidR="001F6131">
        <w:instrText xml:space="preserve"> SEQ Figure \* ARABIC </w:instrText>
      </w:r>
      <w:r w:rsidR="001F6131">
        <w:fldChar w:fldCharType="separate"/>
      </w:r>
      <w:r w:rsidR="00DF3378">
        <w:rPr>
          <w:noProof/>
        </w:rPr>
        <w:t>2</w:t>
      </w:r>
      <w:r w:rsidR="001F6131">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177480" cy="2412365"/>
                    </a:xfrm>
                    <a:prstGeom prst="rect">
                      <a:avLst/>
                    </a:prstGeom>
                  </pic:spPr>
                </pic:pic>
              </a:graphicData>
            </a:graphic>
          </wp:inline>
        </w:drawing>
      </w:r>
    </w:p>
    <w:p w14:paraId="13F6E25C" w14:textId="4E75CD55" w:rsidR="00146D00" w:rsidRDefault="00146D00" w:rsidP="00146D00">
      <w:pPr>
        <w:pStyle w:val="Caption"/>
        <w:jc w:val="both"/>
        <w:rPr>
          <w:iCs/>
          <w:lang w:eastAsia="en-GB"/>
        </w:rPr>
      </w:pPr>
      <w:r>
        <w:t xml:space="preserve">Fig. </w:t>
      </w:r>
      <w:fldSimple w:instr=" SEQ Figure \* ARABIC ">
        <w:r w:rsidR="00DF3378">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1435B093" w14:textId="77777777" w:rsidR="00D56DA0" w:rsidRDefault="00C52287" w:rsidP="00D56DA0">
      <w:pPr>
        <w:pStyle w:val="Body"/>
        <w:keepNext/>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w:t>
      </w:r>
      <w:r>
        <w:rPr>
          <w:iCs/>
          <w:lang w:eastAsia="en-GB"/>
        </w:rPr>
        <w:lastRenderedPageBreak/>
        <w:t>there was a higher relative number of cases. As unfortunately</w:t>
      </w:r>
      <w:r w:rsidR="00D56DA0">
        <w:rPr>
          <w:noProof/>
        </w:rPr>
        <w:drawing>
          <wp:inline distT="0" distB="0" distL="0" distR="0" wp14:anchorId="466124F5" wp14:editId="03F0825E">
            <wp:extent cx="3177540" cy="2291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3177540" cy="2291080"/>
                    </a:xfrm>
                    <a:prstGeom prst="rect">
                      <a:avLst/>
                    </a:prstGeom>
                  </pic:spPr>
                </pic:pic>
              </a:graphicData>
            </a:graphic>
          </wp:inline>
        </w:drawing>
      </w:r>
    </w:p>
    <w:p w14:paraId="6AC3B7B0" w14:textId="2907DC1C" w:rsidR="00D56DA0" w:rsidRDefault="00D56DA0" w:rsidP="00D56DA0">
      <w:pPr>
        <w:pStyle w:val="Caption"/>
        <w:jc w:val="both"/>
      </w:pPr>
      <w:r w:rsidRPr="00763DDA">
        <w:t>Fig 4. - Potential number of clusters versus average silhouette score</w:t>
      </w:r>
    </w:p>
    <w:p w14:paraId="051D148C" w14:textId="06AF755A" w:rsidR="002C0052" w:rsidRDefault="00C52287" w:rsidP="002C0052">
      <w:pPr>
        <w:pStyle w:val="Body"/>
        <w:keepNext/>
      </w:pPr>
      <w:r>
        <w:rPr>
          <w:iCs/>
          <w:lang w:eastAsia="en-GB"/>
        </w:rPr>
        <w:t xml:space="preserve"> </w:t>
      </w:r>
      <w:r w:rsidR="00246422">
        <w:rPr>
          <w:iCs/>
          <w:noProof/>
          <w:lang w:eastAsia="en-GB"/>
        </w:rPr>
        <w:drawing>
          <wp:inline distT="0" distB="0" distL="0" distR="0" wp14:anchorId="7BF2D87B" wp14:editId="535CB41B">
            <wp:extent cx="3177540" cy="531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3177540" cy="5310505"/>
                    </a:xfrm>
                    <a:prstGeom prst="rect">
                      <a:avLst/>
                    </a:prstGeom>
                  </pic:spPr>
                </pic:pic>
              </a:graphicData>
            </a:graphic>
          </wp:inline>
        </w:drawing>
      </w:r>
    </w:p>
    <w:p w14:paraId="30D1E31F" w14:textId="2C18DE1D" w:rsidR="00D56DA0" w:rsidRDefault="002C0052" w:rsidP="002C0052">
      <w:pPr>
        <w:pStyle w:val="Caption"/>
        <w:jc w:val="both"/>
      </w:pPr>
      <w:r>
        <w:t xml:space="preserve">Fig. 5 </w:t>
      </w:r>
      <w:r w:rsidR="00D56DA0">
        <w:t>–</w:t>
      </w:r>
      <w:r>
        <w:t xml:space="preserve"> Clustering</w:t>
      </w:r>
    </w:p>
    <w:p w14:paraId="47A9EFF0" w14:textId="2D5E63A8" w:rsidR="002C0052" w:rsidRDefault="002C0052" w:rsidP="002C0052">
      <w:pPr>
        <w:pStyle w:val="Caption"/>
        <w:jc w:val="both"/>
      </w:pPr>
    </w:p>
    <w:p w14:paraId="32618380" w14:textId="0C070A26" w:rsidR="0036067B" w:rsidRDefault="00C52287" w:rsidP="0036067B">
      <w:pPr>
        <w:pStyle w:val="Body"/>
        <w:rPr>
          <w:iCs/>
          <w:lang w:eastAsia="en-GB"/>
        </w:rPr>
      </w:pPr>
      <w:r>
        <w:rPr>
          <w:iCs/>
          <w:lang w:eastAsia="en-GB"/>
        </w:rPr>
        <w:t xml:space="preserve">the total population was a confounder, as there were more people to catch and spread COVID-19. Dividing each column by the total population and then running it through seaborn’s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489F5E67" w14:textId="0F1ABACE" w:rsidR="00D56DA0" w:rsidRDefault="00200591" w:rsidP="00D56DA0">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F7D2165" w14:textId="77777777" w:rsidR="00D56DA0" w:rsidRPr="00D56DA0" w:rsidRDefault="00D56DA0" w:rsidP="00D56DA0">
      <w:pPr>
        <w:pStyle w:val="Body"/>
        <w:rPr>
          <w:iCs/>
          <w:lang w:eastAsia="en-GB"/>
        </w:rPr>
      </w:pPr>
    </w:p>
    <w:p w14:paraId="7C842830" w14:textId="36B0552D"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Yellowbrick’s [14] silhouette visualizer and </w:t>
      </w:r>
      <w:r w:rsidR="00721694" w:rsidRPr="0052525C">
        <w:rPr>
          <w:rFonts w:ascii="Times" w:hAnsi="Times"/>
          <w:iCs/>
          <w:sz w:val="20"/>
          <w:szCs w:val="20"/>
          <w:lang w:val="en-GB"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6482C8F7" w:rsidR="004D1B52" w:rsidRDefault="001F6131"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58752;mso-position-horizontal-relative:text;mso-position-vertical-relative:text" wrapcoords="-65 0 -65 20800 21600 20800 21600 0 -65 0" stroked="f">
            <v:textbox style="mso-fit-shape-to-text:t" inset="0,0,0,0">
              <w:txbxContent>
                <w:p w14:paraId="3949E85D" w14:textId="76D3CEC5" w:rsidR="00A73808" w:rsidRPr="00C15D80" w:rsidRDefault="00A73808" w:rsidP="00A73808">
                  <w:pPr>
                    <w:pStyle w:val="Caption"/>
                    <w:rPr>
                      <w:rFonts w:ascii="Times" w:hAnsi="Times"/>
                      <w:iCs/>
                      <w:noProof/>
                      <w:szCs w:val="20"/>
                    </w:rPr>
                  </w:pPr>
                </w:p>
              </w:txbxContent>
            </v:textbox>
            <w10:wrap type="tight"/>
          </v:shape>
        </w:pict>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statsmodels [15] adfuller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50B75B2B"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lastRenderedPageBreak/>
        <w:t>For the process of running the Partial Autocorrelation Function and Autocorrelation Function graphs using the relevant statsmodel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pmdarima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2405CEB6" w:rsidR="00DE2F55" w:rsidRDefault="001F6131" w:rsidP="0023500F">
      <w:pPr>
        <w:pStyle w:val="FigureCaption"/>
        <w:rPr>
          <w:rFonts w:ascii="Times" w:hAnsi="Times"/>
          <w:iCs/>
          <w:sz w:val="20"/>
          <w:szCs w:val="20"/>
          <w:lang w:val="en-GB" w:eastAsia="en-GB"/>
        </w:rPr>
      </w:pPr>
      <w:r>
        <w:rPr>
          <w:noProof/>
        </w:rPr>
        <w:pict w14:anchorId="4462C6B4">
          <v:shape id="_x0000_s2058" type="#_x0000_t202" style="position:absolute;margin-left:-1.85pt;margin-top:418.75pt;width:250.2pt;height:.05pt;z-index:-251655680;mso-position-horizontal-relative:text;mso-position-vertical-relative:text" wrapcoords="-65 0 -65 20800 21600 20800 21600 0 -65 0" stroked="f">
            <v:textbox style="mso-fit-shape-to-text:t" inset="0,0,0,0">
              <w:txbxContent>
                <w:p w14:paraId="1C6DCA86" w14:textId="36D06167" w:rsidR="00264B2B" w:rsidRPr="00596DF1" w:rsidRDefault="00264B2B" w:rsidP="00264B2B">
                  <w:pPr>
                    <w:pStyle w:val="Caption"/>
                    <w:rPr>
                      <w:rFonts w:ascii="Times" w:hAnsi="Times"/>
                      <w:iCs/>
                      <w:noProof/>
                      <w:szCs w:val="20"/>
                    </w:rPr>
                  </w:pPr>
                </w:p>
              </w:txbxContent>
            </v:textbox>
          </v:shape>
        </w:pict>
      </w:r>
      <w:r>
        <w:rPr>
          <w:noProof/>
        </w:rPr>
        <w:pict w14:anchorId="1EFAC886">
          <v:shape id="_x0000_s2056" type="#_x0000_t202" style="position:absolute;margin-left:-.35pt;margin-top:128.25pt;width:250.2pt;height:.05pt;z-index:251659776;mso-position-horizontal-relative:text;mso-position-vertical-relative:text" wrapcoords="-65 0 -65 20800 21600 20800 21600 0 -65 0" stroked="f">
            <v:textbox style="mso-fit-shape-to-text:t" inset="0,0,0,0">
              <w:txbxContent>
                <w:p w14:paraId="1B2134DD" w14:textId="77777777" w:rsidR="00DF3378" w:rsidRDefault="00461A25" w:rsidP="00DF3378">
                  <w:pPr>
                    <w:pStyle w:val="Caption"/>
                    <w:keepNext/>
                  </w:pPr>
                  <w:r>
                    <w:rPr>
                      <w:rFonts w:ascii="Times" w:hAnsi="Times"/>
                      <w:iCs/>
                      <w:noProof/>
                      <w:szCs w:val="20"/>
                      <w:lang w:val="en-GB" w:eastAsia="en-GB"/>
                    </w:rPr>
                    <w:drawing>
                      <wp:inline distT="0" distB="0" distL="0" distR="0" wp14:anchorId="2380BCD3" wp14:editId="08F0A2FE">
                        <wp:extent cx="3177540" cy="220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inline>
                    </w:drawing>
                  </w:r>
                </w:p>
                <w:p w14:paraId="63F5C592" w14:textId="4F0B5CEC" w:rsidR="00DF3378" w:rsidRDefault="00DF3378" w:rsidP="00DF3378">
                  <w:pPr>
                    <w:pStyle w:val="Caption"/>
                  </w:pPr>
                  <w:r>
                    <w:t>Fig. 6-Cluster Time-Series</w:t>
                  </w:r>
                </w:p>
                <w:p w14:paraId="15EB73FB" w14:textId="38E09782" w:rsidR="00DE2F55" w:rsidRPr="00307280" w:rsidRDefault="00DE2F55" w:rsidP="00DE2F55">
                  <w:pPr>
                    <w:pStyle w:val="Caption"/>
                    <w:rPr>
                      <w:rFonts w:ascii="Times" w:hAnsi="Times"/>
                      <w:iCs/>
                      <w:noProof/>
                      <w:szCs w:val="20"/>
                    </w:rPr>
                  </w:pPr>
                </w:p>
              </w:txbxContent>
            </v:textbox>
            <w10:wrap type="tight"/>
          </v:shape>
        </w:pict>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Using the weekly data does not improve this and the residual fit is only moderately improved by getting rid of the over-correction on the 1/7/20’s case data. So, it appears that the ARIMA model is not appropriate for predicting the number of new cases.</w:t>
      </w:r>
    </w:p>
    <w:p w14:paraId="6A8228B9" w14:textId="76FB5036" w:rsidR="00DF3378" w:rsidRDefault="001F6131" w:rsidP="009E69A4">
      <w:pPr>
        <w:pStyle w:val="FigureCaption"/>
        <w:spacing w:line="240" w:lineRule="auto"/>
      </w:pPr>
      <w:r>
        <w:rPr>
          <w:noProof/>
        </w:rPr>
        <w:pict w14:anchorId="37C324B5">
          <v:shape id="_x0000_s2064" type="#_x0000_t202" style="position:absolute;margin-left:-.35pt;margin-top:12.25pt;width:250.2pt;height:.05pt;z-index:-251644417;mso-position-horizontal-relative:text;mso-position-vertical-relative:text" wrapcoords="-65 0 -65 20800 21600 20800 21600 0 -65 0" stroked="f">
            <v:textbox style="mso-fit-shape-to-text:t" inset="0,0,0,0">
              <w:txbxContent>
                <w:p w14:paraId="54640ABF" w14:textId="4E9C2E70" w:rsidR="002F009B" w:rsidRDefault="002F009B" w:rsidP="002F009B">
                  <w:pPr>
                    <w:pStyle w:val="Caption"/>
                    <w:rPr>
                      <w:rFonts w:ascii="Times" w:hAnsi="Times"/>
                      <w:iCs/>
                      <w:noProof/>
                      <w:szCs w:val="20"/>
                    </w:rPr>
                  </w:pPr>
                </w:p>
              </w:txbxContent>
            </v:textbox>
          </v:shape>
        </w:pict>
      </w:r>
      <w:r>
        <w:rPr>
          <w:noProof/>
        </w:rPr>
        <w:pict w14:anchorId="3F045DCE">
          <v:shape id="_x0000_s2059" type="#_x0000_t202" style="position:absolute;margin-left:-1.85pt;margin-top:209.8pt;width:250.2pt;height:.05pt;z-index:-251652608;mso-position-horizontal-relative:text;mso-position-vertical-relative:text" wrapcoords="-65 0 -65 20800 21600 20800 21600 0 -65 0" stroked="f">
            <v:textbox style="mso-next-textbox:#_x0000_s2059;mso-fit-shape-to-text:t" inset="0,0,0,0">
              <w:txbxContent>
                <w:p w14:paraId="258F7BFB" w14:textId="404E967D" w:rsidR="00544587" w:rsidRPr="00CC13FD" w:rsidRDefault="00544587" w:rsidP="00544587">
                  <w:pPr>
                    <w:pStyle w:val="Caption"/>
                    <w:rPr>
                      <w:rFonts w:ascii="Times" w:hAnsi="Times"/>
                      <w:iCs/>
                      <w:noProof/>
                      <w:szCs w:val="20"/>
                    </w:rPr>
                  </w:pPr>
                </w:p>
              </w:txbxContent>
            </v:textbox>
          </v:shape>
        </w:pict>
      </w:r>
      <w:r>
        <w:rPr>
          <w:noProof/>
        </w:rPr>
        <w:pict w14:anchorId="0687DE07">
          <v:shape id="_x0000_s2062" type="#_x0000_t202" style="position:absolute;margin-left:-.35pt;margin-top:-16.4pt;width:250.2pt;height:.05pt;z-index:-251645440;mso-position-horizontal-relative:text;mso-position-vertical-relative:text" stroked="f">
            <v:textbox style="mso-fit-shape-to-text:t" inset="0,0,0,0">
              <w:txbxContent>
                <w:p w14:paraId="255D6891" w14:textId="009C1BB8" w:rsidR="002C0052" w:rsidRPr="00DF3378" w:rsidRDefault="002C0052" w:rsidP="002C0052">
                  <w:pPr>
                    <w:pStyle w:val="Caption"/>
                    <w:rPr>
                      <w:rFonts w:ascii="Helvetica" w:hAnsi="Helvetica"/>
                      <w:noProof/>
                      <w:sz w:val="2"/>
                      <w:szCs w:val="2"/>
                    </w:rPr>
                  </w:pPr>
                </w:p>
              </w:txbxContent>
            </v:textbox>
          </v:shape>
        </w:pict>
      </w:r>
      <w:r w:rsidR="00544587">
        <w:rPr>
          <w:rFonts w:ascii="Times" w:hAnsi="Times"/>
          <w:iCs/>
          <w:noProof/>
          <w:sz w:val="20"/>
          <w:szCs w:val="20"/>
          <w:lang w:val="en-GB" w:eastAsia="en-GB"/>
        </w:rPr>
        <w:drawing>
          <wp:inline distT="0" distB="0" distL="0" distR="0" wp14:anchorId="26590082" wp14:editId="673C58ED">
            <wp:extent cx="3178800" cy="16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8800" cy="1652400"/>
                    </a:xfrm>
                    <a:prstGeom prst="rect">
                      <a:avLst/>
                    </a:prstGeom>
                  </pic:spPr>
                </pic:pic>
              </a:graphicData>
            </a:graphic>
          </wp:inline>
        </w:drawing>
      </w:r>
    </w:p>
    <w:p w14:paraId="1E613340" w14:textId="086FA7B3" w:rsidR="00DF3378" w:rsidRDefault="00DF3378" w:rsidP="00DF3378">
      <w:pPr>
        <w:pStyle w:val="Caption"/>
      </w:pPr>
      <w:r>
        <w:t>Fig. 8-Case age data</w:t>
      </w:r>
    </w:p>
    <w:p w14:paraId="39D55318" w14:textId="41C62B91" w:rsidR="00264B2B" w:rsidRDefault="00264B2B" w:rsidP="005347CD">
      <w:pPr>
        <w:pStyle w:val="FigureCaption"/>
        <w:spacing w:line="240" w:lineRule="auto"/>
        <w:rPr>
          <w:rFonts w:ascii="Times" w:hAnsi="Times"/>
          <w:iCs/>
          <w:sz w:val="20"/>
          <w:szCs w:val="20"/>
          <w:lang w:val="en-GB" w:eastAsia="en-GB"/>
        </w:rPr>
      </w:pPr>
      <w:r>
        <w:rPr>
          <w:rFonts w:ascii="Times" w:hAnsi="Times"/>
          <w:iCs/>
          <w:sz w:val="20"/>
          <w:szCs w:val="20"/>
          <w:lang w:val="en-GB" w:eastAsia="en-GB"/>
        </w:rPr>
        <w:t>In making the XGB regression model (figure 7)</w:t>
      </w:r>
      <w:r w:rsidR="00B54533">
        <w:rPr>
          <w:rFonts w:ascii="Times" w:hAnsi="Times"/>
          <w:iCs/>
          <w:sz w:val="20"/>
          <w:szCs w:val="20"/>
          <w:lang w:val="en-GB" w:eastAsia="en-GB"/>
        </w:rPr>
        <w:t xml:space="preserve"> using [20]</w:t>
      </w:r>
      <w:r>
        <w:rPr>
          <w:rFonts w:ascii="Times" w:hAnsi="Times"/>
          <w:iCs/>
          <w:sz w:val="20"/>
          <w:szCs w:val="20"/>
          <w:lang w:val="en-GB" w:eastAsia="en-GB"/>
        </w:rPr>
        <w:t xml:space="preserve"> we</w:t>
      </w:r>
      <w:r w:rsidR="002F009B">
        <w:rPr>
          <w:rFonts w:ascii="Times" w:hAnsi="Times"/>
          <w:iCs/>
          <w:sz w:val="20"/>
          <w:szCs w:val="20"/>
          <w:lang w:val="en-GB" w:eastAsia="en-GB"/>
        </w:rPr>
        <w:t xml:space="preserve"> </w:t>
      </w:r>
      <w:r>
        <w:rPr>
          <w:rFonts w:ascii="Times" w:hAnsi="Times"/>
          <w:iCs/>
          <w:sz w:val="20"/>
          <w:szCs w:val="20"/>
          <w:lang w:val="en-GB" w:eastAsia="en-GB"/>
        </w:rPr>
        <w:t xml:space="preserve">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r w:rsidR="00CF1D7C">
        <w:rPr>
          <w:rFonts w:ascii="Times" w:hAnsi="Times"/>
          <w:iCs/>
          <w:sz w:val="20"/>
          <w:szCs w:val="20"/>
          <w:lang w:val="en-GB" w:eastAsia="en-GB"/>
        </w:rPr>
        <w:t xml:space="preserve"> XGB creates decision </w:t>
      </w:r>
      <w:r w:rsidR="00CF1D7C">
        <w:rPr>
          <w:rFonts w:ascii="Times" w:hAnsi="Times"/>
          <w:iCs/>
          <w:sz w:val="20"/>
          <w:szCs w:val="20"/>
          <w:lang w:val="en-GB" w:eastAsia="en-GB"/>
        </w:rPr>
        <w:t>trees using boosting so that the next tree is trained on a mixture of the last trees mistakes and unseen data.</w:t>
      </w:r>
    </w:p>
    <w:p w14:paraId="1AAC25CF" w14:textId="77777777" w:rsidR="00A27A54" w:rsidRDefault="001F6131" w:rsidP="00A27A54">
      <w:pPr>
        <w:pStyle w:val="FigureCaption"/>
        <w:keepNext/>
        <w:spacing w:line="240" w:lineRule="auto"/>
      </w:pPr>
      <w:r>
        <w:rPr>
          <w:noProof/>
        </w:rPr>
        <w:pict w14:anchorId="6C0B6468">
          <v:shape id="_x0000_s2060" type="#_x0000_t202" style="position:absolute;margin-left:-.3pt;margin-top:171.5pt;width:250.2pt;height:.05pt;z-index:-251649536;mso-position-horizontal-relative:text;mso-position-vertical-relative:text" wrapcoords="-65 0 -65 20800 21600 20800 21600 0 -65 0" stroked="f">
            <v:textbox style="mso-fit-shape-to-text:t" inset="0,0,0,0">
              <w:txbxContent>
                <w:p w14:paraId="0C17E32B" w14:textId="70BAFA1E" w:rsidR="00323220" w:rsidRPr="00D36624" w:rsidRDefault="00323220" w:rsidP="00323220">
                  <w:pPr>
                    <w:pStyle w:val="Caption"/>
                    <w:rPr>
                      <w:rFonts w:ascii="Times" w:hAnsi="Times"/>
                      <w:iCs/>
                      <w:noProof/>
                      <w:szCs w:val="20"/>
                    </w:rPr>
                  </w:pPr>
                </w:p>
              </w:txbxContent>
            </v:textbox>
          </v:shape>
        </w:pict>
      </w:r>
      <w:r w:rsidR="00323220">
        <w:rPr>
          <w:rFonts w:ascii="Times" w:hAnsi="Times"/>
          <w:iCs/>
          <w:noProof/>
          <w:sz w:val="20"/>
          <w:szCs w:val="20"/>
          <w:lang w:val="en-GB" w:eastAsia="en-GB"/>
        </w:rPr>
        <w:drawing>
          <wp:inline distT="0" distB="0" distL="0" distR="0" wp14:anchorId="5000DAA9" wp14:editId="23F55012">
            <wp:extent cx="3177540" cy="85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1D4DE6F1" w14:textId="1DF37464" w:rsidR="00A27A54" w:rsidRDefault="00A27A54" w:rsidP="00A27A54">
      <w:pPr>
        <w:pStyle w:val="Caption"/>
      </w:pPr>
      <w:r w:rsidRPr="00191D2A">
        <w:t>Fig. 9-Monthly Proportional case data</w:t>
      </w:r>
    </w:p>
    <w:p w14:paraId="1EB28B7E" w14:textId="36469F49" w:rsidR="00323220" w:rsidRDefault="00FD4B6E" w:rsidP="009E69A4">
      <w:pPr>
        <w:pStyle w:val="FigureCaption"/>
        <w:spacing w:line="240" w:lineRule="auto"/>
        <w:rPr>
          <w:rFonts w:ascii="Times" w:hAnsi="Times"/>
          <w:iCs/>
          <w:sz w:val="20"/>
          <w:szCs w:val="20"/>
          <w:lang w:val="en-GB" w:eastAsia="en-GB"/>
        </w:rPr>
      </w:pPr>
      <w:r>
        <w:rPr>
          <w:rFonts w:ascii="Times" w:hAnsi="Times"/>
          <w:iCs/>
          <w:sz w:val="20"/>
          <w:szCs w:val="20"/>
          <w:lang w:val="en-GB" w:eastAsia="en-GB"/>
        </w:rPr>
        <w:t>Looking at the case age data we can see that most of the age groups follows the same sort of trend, a</w:t>
      </w:r>
      <w:r w:rsidR="00B75A87">
        <w:rPr>
          <w:rFonts w:ascii="Times" w:hAnsi="Times"/>
          <w:iCs/>
          <w:sz w:val="20"/>
          <w:szCs w:val="20"/>
          <w:lang w:val="en-GB" w:eastAsia="en-GB"/>
        </w:rPr>
        <w:t>lthough from the age groups from 70 all have lower numbers than the other age groups (which may be because there are fewer people in those groups</w:t>
      </w:r>
      <w:r w:rsidR="00F75CE6">
        <w:rPr>
          <w:rFonts w:ascii="Times" w:hAnsi="Times"/>
          <w:iCs/>
          <w:sz w:val="20"/>
          <w:szCs w:val="20"/>
          <w:lang w:val="en-GB" w:eastAsia="en-GB"/>
        </w:rPr>
        <w:t>,</w:t>
      </w:r>
      <w:r w:rsidR="00B75A87">
        <w:rPr>
          <w:rFonts w:ascii="Times" w:hAnsi="Times"/>
          <w:iCs/>
          <w:sz w:val="20"/>
          <w:szCs w:val="20"/>
          <w:lang w:val="en-GB" w:eastAsia="en-GB"/>
        </w:rPr>
        <w:t xml:space="preserve"> they t</w:t>
      </w:r>
      <w:r w:rsidR="00F75CE6">
        <w:rPr>
          <w:rFonts w:ascii="Times" w:hAnsi="Times"/>
          <w:iCs/>
          <w:sz w:val="20"/>
          <w:szCs w:val="20"/>
          <w:lang w:val="en-GB"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4790EB07" w14:textId="77777777" w:rsidR="00A27A54" w:rsidRDefault="001F6131" w:rsidP="00A27A54">
      <w:pPr>
        <w:pStyle w:val="FigureCaption"/>
        <w:keepNext/>
        <w:spacing w:line="240" w:lineRule="auto"/>
      </w:pPr>
      <w:r>
        <w:rPr>
          <w:noProof/>
        </w:rPr>
        <w:pict w14:anchorId="02771E03">
          <v:shape id="_x0000_s2063" type="#_x0000_t202" style="position:absolute;margin-left:1.95pt;margin-top:252.8pt;width:250.2pt;height:.05pt;z-index:-251643392;mso-position-horizontal-relative:text;mso-position-vertical-relative:text" wrapcoords="-65 0 -65 20800 21600 20800 21600 0 -65 0" stroked="f">
            <v:textbox style="mso-fit-shape-to-text:t" inset="0,0,0,0">
              <w:txbxContent>
                <w:p w14:paraId="2EC71A21" w14:textId="611DA25E" w:rsidR="002F009B" w:rsidRPr="00745F16" w:rsidRDefault="002F009B" w:rsidP="002F009B">
                  <w:pPr>
                    <w:pStyle w:val="Caption"/>
                    <w:rPr>
                      <w:rFonts w:ascii="Times" w:hAnsi="Times"/>
                      <w:iCs/>
                      <w:noProof/>
                      <w:szCs w:val="20"/>
                    </w:rPr>
                  </w:pPr>
                </w:p>
              </w:txbxContent>
            </v:textbox>
          </v:shape>
        </w:pict>
      </w:r>
      <w:r w:rsidR="002C0052">
        <w:rPr>
          <w:rFonts w:ascii="Times" w:hAnsi="Times"/>
          <w:iCs/>
          <w:noProof/>
          <w:sz w:val="20"/>
          <w:szCs w:val="20"/>
          <w:lang w:val="en-GB" w:eastAsia="en-GB"/>
        </w:rPr>
        <w:drawing>
          <wp:inline distT="0" distB="0" distL="0" distR="0" wp14:anchorId="4FDE3082" wp14:editId="2C61E3BA">
            <wp:extent cx="317754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177540" cy="2148840"/>
                    </a:xfrm>
                    <a:prstGeom prst="rect">
                      <a:avLst/>
                    </a:prstGeom>
                  </pic:spPr>
                </pic:pic>
              </a:graphicData>
            </a:graphic>
          </wp:inline>
        </w:drawing>
      </w:r>
    </w:p>
    <w:p w14:paraId="1D9559C4" w14:textId="76FEDD49" w:rsidR="00A27A54" w:rsidRDefault="00A27A54" w:rsidP="00A27A54">
      <w:pPr>
        <w:pStyle w:val="Caption"/>
      </w:pPr>
      <w:r>
        <w:t>Fig. 7-XGB Cluster 2</w:t>
      </w:r>
    </w:p>
    <w:p w14:paraId="083E93BD" w14:textId="7AAC85AB" w:rsidR="0097433E" w:rsidRDefault="00D85BC5" w:rsidP="00461A25">
      <w:pPr>
        <w:pStyle w:val="FigureCaption"/>
        <w:spacing w:line="240" w:lineRule="auto"/>
        <w:rPr>
          <w:rFonts w:ascii="Times" w:hAnsi="Times"/>
          <w:iCs/>
          <w:sz w:val="20"/>
          <w:szCs w:val="20"/>
          <w:lang w:val="en-GB" w:eastAsia="en-GB"/>
        </w:rPr>
      </w:pPr>
      <w:r>
        <w:rPr>
          <w:rFonts w:ascii="Times" w:hAnsi="Times"/>
          <w:iCs/>
          <w:sz w:val="20"/>
          <w:szCs w:val="20"/>
          <w:lang w:val="en-GB" w:eastAsia="en-GB"/>
        </w:rPr>
        <w:t xml:space="preserve">Looking at the </w:t>
      </w:r>
      <w:r w:rsidR="00945A22">
        <w:rPr>
          <w:rFonts w:ascii="Times" w:hAnsi="Times"/>
          <w:iCs/>
          <w:sz w:val="20"/>
          <w:szCs w:val="20"/>
          <w:lang w:val="en-GB" w:eastAsia="en-GB"/>
        </w:rPr>
        <w:t>month-by-month</w:t>
      </w:r>
      <w:r>
        <w:rPr>
          <w:rFonts w:ascii="Times" w:hAnsi="Times"/>
          <w:iCs/>
          <w:sz w:val="20"/>
          <w:szCs w:val="20"/>
          <w:lang w:val="en-GB" w:eastAsia="en-GB"/>
        </w:rPr>
        <w:t xml:space="preserve"> case data by Local Authority</w:t>
      </w:r>
      <w:r w:rsidR="001201D7">
        <w:rPr>
          <w:rFonts w:ascii="Times" w:hAnsi="Times"/>
          <w:iCs/>
          <w:sz w:val="20"/>
          <w:szCs w:val="20"/>
          <w:lang w:val="en-GB" w:eastAsia="en-GB"/>
        </w:rPr>
        <w:t xml:space="preserve"> (fig. 9)</w:t>
      </w:r>
      <w:r>
        <w:rPr>
          <w:rFonts w:ascii="Times" w:hAnsi="Times"/>
          <w:iCs/>
          <w:sz w:val="20"/>
          <w:szCs w:val="20"/>
          <w:lang w:val="en-GB" w:eastAsia="en-GB"/>
        </w:rPr>
        <w:t xml:space="preserve"> we can see how the proportion of cases has changed between regions month by month</w:t>
      </w:r>
      <w:r w:rsidR="00A42CCB">
        <w:rPr>
          <w:rFonts w:ascii="Times" w:hAnsi="Times"/>
          <w:iCs/>
          <w:sz w:val="20"/>
          <w:szCs w:val="20"/>
          <w:lang w:val="en-GB" w:eastAsia="en-GB"/>
        </w:rPr>
        <w:t xml:space="preserve"> (dark blue for lower cases going to green for higher </w:t>
      </w:r>
      <w:r w:rsidR="0038226A">
        <w:rPr>
          <w:rFonts w:ascii="Times" w:hAnsi="Times"/>
          <w:iCs/>
          <w:sz w:val="20"/>
          <w:szCs w:val="20"/>
          <w:lang w:val="en-GB" w:eastAsia="en-GB"/>
        </w:rPr>
        <w:t xml:space="preserve">proportional </w:t>
      </w:r>
      <w:r w:rsidR="00A42CCB">
        <w:rPr>
          <w:rFonts w:ascii="Times" w:hAnsi="Times"/>
          <w:iCs/>
          <w:sz w:val="20"/>
          <w:szCs w:val="20"/>
          <w:lang w:val="en-GB" w:eastAsia="en-GB"/>
        </w:rPr>
        <w:t>cases</w:t>
      </w:r>
      <w:r w:rsidR="0070645E">
        <w:rPr>
          <w:rFonts w:ascii="Times" w:hAnsi="Times"/>
          <w:iCs/>
          <w:sz w:val="20"/>
          <w:szCs w:val="20"/>
          <w:lang w:val="en-GB" w:eastAsia="en-GB"/>
        </w:rPr>
        <w:t xml:space="preserve"> (with no data as white)</w:t>
      </w:r>
      <w:r w:rsidR="00A42CCB">
        <w:rPr>
          <w:rFonts w:ascii="Times" w:hAnsi="Times"/>
          <w:iCs/>
          <w:sz w:val="20"/>
          <w:szCs w:val="20"/>
          <w:lang w:val="en-GB" w:eastAsia="en-GB"/>
        </w:rPr>
        <w:t>).</w:t>
      </w:r>
      <w:r w:rsidR="00945A22">
        <w:rPr>
          <w:rFonts w:ascii="Times" w:hAnsi="Times"/>
          <w:iCs/>
          <w:sz w:val="20"/>
          <w:szCs w:val="20"/>
          <w:lang w:val="en-GB" w:eastAsia="en-GB"/>
        </w:rPr>
        <w:t xml:space="preserve"> We can see that Birmingham and the area around Bradford most often have the highest proportion of cases (although the data was not captured for the earliest stages of the pandemic). Northumberland</w:t>
      </w:r>
      <w:r w:rsidR="00483E25">
        <w:rPr>
          <w:rFonts w:ascii="Times" w:hAnsi="Times"/>
          <w:iCs/>
          <w:sz w:val="20"/>
          <w:szCs w:val="20"/>
          <w:lang w:val="en-GB" w:eastAsia="en-GB"/>
        </w:rPr>
        <w:t xml:space="preserve"> has one of the highest proportions April-May 2020. August to December 2021 Cornwall and London have the highest COVID case data.</w:t>
      </w:r>
    </w:p>
    <w:p w14:paraId="252EB309" w14:textId="6C065060" w:rsidR="000A6AE8" w:rsidRDefault="000A6AE8" w:rsidP="0023500F">
      <w:pPr>
        <w:pStyle w:val="FigureCaption"/>
        <w:rPr>
          <w:rFonts w:ascii="Times" w:hAnsi="Times"/>
          <w:iCs/>
          <w:sz w:val="20"/>
          <w:szCs w:val="20"/>
          <w:lang w:val="en-GB" w:eastAsia="en-GB"/>
        </w:rPr>
      </w:pPr>
      <w:r>
        <w:rPr>
          <w:rFonts w:ascii="Times" w:hAnsi="Times"/>
          <w:iCs/>
          <w:sz w:val="20"/>
          <w:szCs w:val="20"/>
          <w:lang w:val="en-GB" w:eastAsia="en-GB"/>
        </w:rPr>
        <w:t xml:space="preserve">From the map of where respondents mostly reported their health as either bad or very </w:t>
      </w:r>
      <w:r w:rsidR="00DB3AAE">
        <w:rPr>
          <w:rFonts w:ascii="Times" w:hAnsi="Times"/>
          <w:iCs/>
          <w:sz w:val="20"/>
          <w:szCs w:val="20"/>
          <w:lang w:val="en-GB" w:eastAsia="en-GB"/>
        </w:rPr>
        <w:t>bad,</w:t>
      </w:r>
      <w:r>
        <w:rPr>
          <w:rFonts w:ascii="Times" w:hAnsi="Times"/>
          <w:iCs/>
          <w:sz w:val="20"/>
          <w:szCs w:val="20"/>
          <w:lang w:val="en-GB" w:eastAsia="en-GB"/>
        </w:rPr>
        <w:t xml:space="preserve"> we can see that Birmingham, County Durham, Cornwall, Bradford and Leeds all score very highly on these metrics and these counties also had higher relative COVID-19 rates per month (although not in the same proportions)</w:t>
      </w:r>
      <w:r w:rsidR="00DB3AAE">
        <w:rPr>
          <w:rFonts w:ascii="Times" w:hAnsi="Times"/>
          <w:iCs/>
          <w:sz w:val="20"/>
          <w:szCs w:val="20"/>
          <w:lang w:val="en-GB" w:eastAsia="en-GB"/>
        </w:rPr>
        <w:t xml:space="preserve">. These areas also have higher numbers of people </w:t>
      </w:r>
      <w:r w:rsidR="001A663E">
        <w:rPr>
          <w:rFonts w:ascii="Times" w:hAnsi="Times"/>
          <w:iCs/>
          <w:sz w:val="20"/>
          <w:szCs w:val="20"/>
          <w:lang w:val="en-GB" w:eastAsia="en-GB"/>
        </w:rPr>
        <w:t>proportionally to other local authorities in England and Wales.</w:t>
      </w:r>
    </w:p>
    <w:p w14:paraId="23EF28C5" w14:textId="2C420CA4" w:rsidR="00246422" w:rsidRDefault="00246422" w:rsidP="00246422">
      <w:pPr>
        <w:pStyle w:val="FigureCaption"/>
        <w:rPr>
          <w:rFonts w:ascii="Times" w:hAnsi="Times"/>
          <w:iCs/>
          <w:sz w:val="20"/>
          <w:szCs w:val="20"/>
          <w:lang w:val="en-GB" w:eastAsia="en-GB"/>
        </w:rPr>
      </w:pPr>
      <w:r w:rsidRPr="00246422">
        <w:rPr>
          <w:rFonts w:ascii="Times" w:hAnsi="Times"/>
          <w:iCs/>
          <w:sz w:val="20"/>
          <w:szCs w:val="20"/>
          <w:lang w:val="en-GB" w:eastAsia="en-GB"/>
        </w:rPr>
        <w:t xml:space="preserve">None of the census variables have an especially strong relationship with the death figures, but this maybe because the deaths were relatively evenly split by population (there is an </w:t>
      </w:r>
      <w:r w:rsidRPr="00246422">
        <w:rPr>
          <w:rFonts w:ascii="Times" w:hAnsi="Times"/>
          <w:iCs/>
          <w:sz w:val="20"/>
          <w:szCs w:val="20"/>
          <w:lang w:val="en-GB" w:eastAsia="en-GB"/>
        </w:rPr>
        <w:lastRenderedPageBreak/>
        <w:t>abnormally high number of deaths in Birmingham compared to its number of cases</w:t>
      </w:r>
      <w:r w:rsidR="00FE7818">
        <w:rPr>
          <w:rFonts w:ascii="Times" w:hAnsi="Times"/>
          <w:iCs/>
          <w:sz w:val="20"/>
          <w:szCs w:val="20"/>
          <w:lang w:val="en-GB" w:eastAsia="en-GB"/>
        </w:rPr>
        <w:t xml:space="preserve"> (212k cases and 3117 deaths), with Leeds (162k cases and 1604 deaths) at the next highest number having a lower proportion</w:t>
      </w:r>
      <w:r w:rsidR="00A273AB">
        <w:rPr>
          <w:rFonts w:ascii="Times" w:hAnsi="Times"/>
          <w:iCs/>
          <w:sz w:val="20"/>
          <w:szCs w:val="20"/>
          <w:lang w:val="en-GB" w:eastAsia="en-GB"/>
        </w:rPr>
        <w:t>.</w:t>
      </w:r>
    </w:p>
    <w:p w14:paraId="7CEBBF73" w14:textId="4250E9EE" w:rsidR="00A273AB" w:rsidRPr="00246422" w:rsidRDefault="00A273AB" w:rsidP="00246422">
      <w:pPr>
        <w:pStyle w:val="FigureCaption"/>
        <w:rPr>
          <w:rFonts w:ascii="Times" w:hAnsi="Times"/>
          <w:iCs/>
          <w:sz w:val="20"/>
          <w:szCs w:val="20"/>
          <w:lang w:val="en-GB" w:eastAsia="en-GB"/>
        </w:rPr>
      </w:pPr>
      <w:r>
        <w:rPr>
          <w:rFonts w:ascii="Times" w:hAnsi="Times"/>
          <w:iCs/>
          <w:sz w:val="20"/>
          <w:szCs w:val="20"/>
          <w:lang w:val="en-GB" w:eastAsia="en-GB"/>
        </w:rPr>
        <w:t xml:space="preserve">For the first </w:t>
      </w:r>
      <w:r w:rsidR="001A7FF0">
        <w:rPr>
          <w:rFonts w:ascii="Times" w:hAnsi="Times"/>
          <w:iCs/>
          <w:sz w:val="20"/>
          <w:szCs w:val="20"/>
          <w:lang w:val="en-GB" w:eastAsia="en-GB"/>
        </w:rPr>
        <w:t xml:space="preserve">and second </w:t>
      </w:r>
      <w:r>
        <w:rPr>
          <w:rFonts w:ascii="Times" w:hAnsi="Times"/>
          <w:iCs/>
          <w:sz w:val="20"/>
          <w:szCs w:val="20"/>
          <w:lang w:val="en-GB" w:eastAsia="en-GB"/>
        </w:rPr>
        <w:t xml:space="preserve">vaccine dose rates, </w:t>
      </w:r>
      <w:r w:rsidR="003D3C55">
        <w:rPr>
          <w:rFonts w:ascii="Times" w:hAnsi="Times"/>
          <w:iCs/>
          <w:sz w:val="20"/>
          <w:szCs w:val="20"/>
          <w:lang w:val="en-GB" w:eastAsia="en-GB"/>
        </w:rPr>
        <w:t>none of the census variables appear to have any more than a negligible effect on the rate (most of the graphs</w:t>
      </w:r>
      <w:r w:rsidR="001A7FF0">
        <w:rPr>
          <w:rFonts w:ascii="Times" w:hAnsi="Times"/>
          <w:iCs/>
          <w:sz w:val="20"/>
          <w:szCs w:val="20"/>
          <w:lang w:val="en-GB" w:eastAsia="en-GB"/>
        </w:rPr>
        <w:t xml:space="preserve"> are relatively flat lines). Very arguably </w:t>
      </w:r>
      <w:r w:rsidR="0003305B">
        <w:rPr>
          <w:rFonts w:ascii="Times" w:hAnsi="Times"/>
          <w:iCs/>
          <w:sz w:val="20"/>
          <w:szCs w:val="20"/>
          <w:lang w:val="en-GB" w:eastAsia="en-GB"/>
        </w:rPr>
        <w:t>areas with high rates of no cars in a household have lower rates of vaccine take up and one or more car rates show it going up, but these are very slight effects.</w:t>
      </w:r>
    </w:p>
    <w:p w14:paraId="58893CD2" w14:textId="77777777" w:rsidR="00246422" w:rsidRPr="0052525C" w:rsidRDefault="00246422" w:rsidP="0023500F">
      <w:pPr>
        <w:pStyle w:val="FigureCaption"/>
        <w:rPr>
          <w:rFonts w:ascii="Times" w:hAnsi="Times"/>
          <w:iCs/>
          <w:sz w:val="20"/>
          <w:szCs w:val="20"/>
          <w:lang w:val="en-GB" w:eastAsia="en-GB"/>
        </w:rPr>
      </w:pP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B01BD78" w14:textId="57B0E3E1" w:rsidR="001C1B1F" w:rsidRDefault="002B5EA1" w:rsidP="001C1B1F">
      <w:pPr>
        <w:pStyle w:val="Body"/>
        <w:rPr>
          <w:iCs/>
          <w:lang w:eastAsia="en-GB"/>
        </w:rPr>
      </w:pPr>
      <w:r>
        <w:rPr>
          <w:iCs/>
          <w:lang w:eastAsia="en-GB"/>
        </w:rPr>
        <w:t xml:space="preserve">From this report we can see that the most important socio-economic factors involved </w:t>
      </w:r>
      <w:r w:rsidR="001C4FE3">
        <w:rPr>
          <w:iCs/>
          <w:lang w:eastAsia="en-GB"/>
        </w:rPr>
        <w:t>in the rates of new cases of COVID-19 are age, underlying health conditions and total population.</w:t>
      </w:r>
      <w:r w:rsidR="001A44AA">
        <w:rPr>
          <w:iCs/>
          <w:lang w:eastAsia="en-GB"/>
        </w:rPr>
        <w:t xml:space="preserve"> As we can see in fig. 10 a lot of the places in fig. 9 with high COVID rates have high numbers of people with bad health conditions.</w:t>
      </w:r>
    </w:p>
    <w:p w14:paraId="3823219B" w14:textId="07570307" w:rsidR="001A44AA" w:rsidRDefault="001A44AA" w:rsidP="001C1B1F">
      <w:pPr>
        <w:pStyle w:val="Body"/>
        <w:rPr>
          <w:iCs/>
          <w:lang w:eastAsia="en-GB"/>
        </w:rPr>
      </w:pPr>
      <w:r>
        <w:rPr>
          <w:iCs/>
          <w:lang w:eastAsia="en-GB"/>
        </w:rPr>
        <w:t>We can also conclude that you cannot predict the next day’s COVID-19 rates from the previous day or the moving average alone. This may be because</w:t>
      </w:r>
      <w:r w:rsidR="006B44CB">
        <w:rPr>
          <w:iCs/>
          <w:lang w:eastAsia="en-GB"/>
        </w:rPr>
        <w:t xml:space="preserve"> these factors alone cannot tell you the direction of the case numbers or because of the different variants of COVID-19 bringing their own new difficulties.</w:t>
      </w:r>
    </w:p>
    <w:p w14:paraId="301BE050" w14:textId="1DCB9B2B" w:rsidR="00BE17DE" w:rsidRDefault="00BE17DE" w:rsidP="001C1B1F">
      <w:pPr>
        <w:pStyle w:val="Body"/>
        <w:rPr>
          <w:iCs/>
          <w:lang w:eastAsia="en-GB"/>
        </w:rPr>
      </w:pPr>
      <w:r>
        <w:rPr>
          <w:iCs/>
          <w:lang w:eastAsia="en-GB"/>
        </w:rPr>
        <w:t>For the death statistics, these are harder to tie back to census figures due to the fortunately low death rate</w:t>
      </w:r>
      <w:r w:rsidR="00365CC4">
        <w:rPr>
          <w:iCs/>
          <w:lang w:eastAsia="en-GB"/>
        </w:rPr>
        <w:t xml:space="preserve"> (2.6% in Rother at the highest, to 0.5% in Moray at the lowest</w:t>
      </w:r>
      <w:r w:rsidR="00935A69">
        <w:rPr>
          <w:iCs/>
          <w:lang w:eastAsia="en-GB"/>
        </w:rPr>
        <w:t xml:space="preserve"> and an average of about 1%).</w:t>
      </w:r>
    </w:p>
    <w:p w14:paraId="580A517B" w14:textId="77777777" w:rsidR="001A44AA" w:rsidRDefault="001A44AA" w:rsidP="001A44AA">
      <w:pPr>
        <w:pStyle w:val="Body"/>
        <w:keepNext/>
      </w:pPr>
      <w:r>
        <w:rPr>
          <w:iCs/>
          <w:noProof/>
          <w:lang w:eastAsia="en-GB"/>
        </w:rPr>
        <w:drawing>
          <wp:inline distT="0" distB="0" distL="0" distR="0" wp14:anchorId="6913528F" wp14:editId="6457BA29">
            <wp:extent cx="3177540" cy="4115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3177540" cy="4115435"/>
                    </a:xfrm>
                    <a:prstGeom prst="rect">
                      <a:avLst/>
                    </a:prstGeom>
                  </pic:spPr>
                </pic:pic>
              </a:graphicData>
            </a:graphic>
          </wp:inline>
        </w:drawing>
      </w:r>
    </w:p>
    <w:p w14:paraId="551DB7C8" w14:textId="45A00005" w:rsidR="001A44AA" w:rsidRDefault="001A44AA" w:rsidP="001A44AA">
      <w:pPr>
        <w:pStyle w:val="Caption"/>
        <w:jc w:val="both"/>
      </w:pPr>
      <w:r>
        <w:t>Fig. 10-Bad Health by Local Authority (darker blue means more)</w:t>
      </w:r>
    </w:p>
    <w:p w14:paraId="08A94B43" w14:textId="77777777" w:rsidR="00581B90" w:rsidRDefault="00581B90" w:rsidP="00581B90">
      <w:pPr>
        <w:keepNext/>
      </w:pPr>
      <w:r>
        <w:rPr>
          <w:noProof/>
        </w:rPr>
        <w:drawing>
          <wp:inline distT="0" distB="0" distL="0" distR="0" wp14:anchorId="727A96AA" wp14:editId="1987A9FC">
            <wp:extent cx="3177540" cy="3973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3177540" cy="3973195"/>
                    </a:xfrm>
                    <a:prstGeom prst="rect">
                      <a:avLst/>
                    </a:prstGeom>
                  </pic:spPr>
                </pic:pic>
              </a:graphicData>
            </a:graphic>
          </wp:inline>
        </w:drawing>
      </w:r>
    </w:p>
    <w:p w14:paraId="262DA978" w14:textId="1C70348F" w:rsidR="00581B90" w:rsidRDefault="00581B90" w:rsidP="00581B90">
      <w:pPr>
        <w:pStyle w:val="Caption"/>
      </w:pPr>
      <w:r>
        <w:t>Fig. 11-Population by local authority</w:t>
      </w:r>
    </w:p>
    <w:p w14:paraId="581B9E26" w14:textId="7E7B1BB6" w:rsidR="00935A69" w:rsidRPr="00935A69" w:rsidRDefault="00935A69" w:rsidP="00935A69">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w:t>
      </w:r>
      <w:r w:rsidR="008506EA">
        <w:rPr>
          <w:lang w:eastAsia="en-GB"/>
        </w:rPr>
        <w:t>the cars/no cars in a household, very little relationships back to the census figures.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19DA3D2F" w14:textId="6289C1F0" w:rsidR="001C1B1F" w:rsidRDefault="00A2548F" w:rsidP="001C1B1F">
      <w:pPr>
        <w:pStyle w:val="Body"/>
        <w:rPr>
          <w:lang w:eastAsia="en-GB"/>
        </w:rPr>
      </w:pPr>
      <w:r w:rsidRPr="00A2548F">
        <w:rPr>
          <w:lang w:eastAsia="en-GB"/>
        </w:rPr>
        <w:t>In this</w:t>
      </w:r>
      <w:r>
        <w:rPr>
          <w:lang w:eastAsia="en-GB"/>
        </w:rPr>
        <w:t xml:space="preserve"> project we often had to rely on critical thinking rather than blindly trust in the computer. For </w:t>
      </w:r>
      <w:r w:rsidR="00DA3ED0">
        <w:rPr>
          <w:lang w:eastAsia="en-GB"/>
        </w:rPr>
        <w:t>example,</w:t>
      </w:r>
      <w:r>
        <w:rPr>
          <w:lang w:eastAsia="en-GB"/>
        </w:rPr>
        <w:t xml:space="preserve"> by using the regression plots along with the correlation figure we could see whether or not the </w:t>
      </w:r>
      <w:r w:rsidR="00F66042">
        <w:rPr>
          <w:lang w:eastAsia="en-GB"/>
        </w:rPr>
        <w:t>correlation was influenced by one or two outliers (which it quite often was).</w:t>
      </w:r>
    </w:p>
    <w:p w14:paraId="4558DA5F" w14:textId="2F45C207" w:rsidR="00DA3ED0" w:rsidRDefault="00DA3ED0" w:rsidP="001C1B1F">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w:t>
      </w:r>
      <w:r w:rsidR="006760D7">
        <w:rPr>
          <w:lang w:eastAsia="en-GB"/>
        </w:rPr>
        <w:t xml:space="preserve"> link the datasets together.</w:t>
      </w:r>
    </w:p>
    <w:p w14:paraId="223150CD" w14:textId="6C7421FC" w:rsidR="008A6CE8" w:rsidRDefault="008A6CE8" w:rsidP="001C1B1F">
      <w:pPr>
        <w:pStyle w:val="Body"/>
        <w:rPr>
          <w:lang w:eastAsia="en-GB"/>
        </w:rPr>
      </w:pPr>
      <w:r>
        <w:rPr>
          <w:lang w:eastAsia="en-GB"/>
        </w:rPr>
        <w:t xml:space="preserve">For clustering the </w:t>
      </w:r>
      <w:r w:rsidR="00333EA4">
        <w:rPr>
          <w:lang w:eastAsia="en-GB"/>
        </w:rPr>
        <w:t>data,</w:t>
      </w:r>
      <w:r>
        <w:rPr>
          <w:lang w:eastAsia="en-GB"/>
        </w:rPr>
        <w:t xml:space="preserve"> the computer was able to</w:t>
      </w:r>
      <w:r w:rsidR="00333EA4">
        <w:rPr>
          <w:lang w:eastAsia="en-GB"/>
        </w:rPr>
        <w:t xml:space="preserve"> divide the data into different clusters, but it needed human reasoning to decide upon the appropriate number of clusters.</w:t>
      </w:r>
    </w:p>
    <w:p w14:paraId="3E48C1A6" w14:textId="5BD6447C" w:rsidR="00333EA4" w:rsidRPr="00A2548F" w:rsidRDefault="00E65A37" w:rsidP="001C1B1F">
      <w:pPr>
        <w:pStyle w:val="Body"/>
        <w:rPr>
          <w:lang w:eastAsia="en-GB"/>
        </w:rPr>
      </w:pPr>
      <w:r>
        <w:rPr>
          <w:lang w:eastAsia="en-GB"/>
        </w:rPr>
        <w:t>In the ARIMA model the computer’s fit had managed to miss the underlying structure and interpret that as noise. This was mostly because the data did not have enough information for the model to learn from it.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191F48AE" w:rsidR="00141153" w:rsidRDefault="00A96783" w:rsidP="00141153">
            <w:pPr>
              <w:jc w:val="right"/>
              <w:rPr>
                <w:lang w:eastAsia="en-GB"/>
              </w:rPr>
            </w:pPr>
            <w:r>
              <w:rPr>
                <w:lang w:eastAsia="en-GB"/>
              </w:rPr>
              <w:t>1381</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lastRenderedPageBreak/>
              <w:t>Analysis: Results</w:t>
            </w:r>
          </w:p>
        </w:tc>
        <w:tc>
          <w:tcPr>
            <w:tcW w:w="1275" w:type="dxa"/>
          </w:tcPr>
          <w:p w14:paraId="4A8726A9" w14:textId="38BFCF96" w:rsidR="00141153" w:rsidRDefault="008506EA"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1BA9E39D" w14:textId="358A7B13" w:rsidR="00E75FC1" w:rsidRPr="002B5EA1" w:rsidRDefault="00BF4F16" w:rsidP="002B5EA1">
      <w:pPr>
        <w:pStyle w:val="ReferenceTitle"/>
        <w:rPr>
          <w:lang w:val="en-GB"/>
        </w:rPr>
      </w:pPr>
      <w:r w:rsidRPr="000D72ED">
        <w:rPr>
          <w:lang w:val="en-GB"/>
        </w:rPr>
        <w:t>References</w:t>
      </w: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20"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2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9"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30"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31"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32"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33"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34"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35"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6"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7"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Forecast::Auto.Arima Equivalent (version 1.8.4). MacOS, Microsoft :: Windows, POSIX, Unix, C, Python, 2017. </w:t>
      </w:r>
      <w:hyperlink r:id="rId38"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r w:rsidRPr="00B54533">
        <w:rPr>
          <w:lang w:val="en-GB"/>
        </w:rPr>
        <w:t xml:space="preserve">xgboost developers. ‘XGBoost Documentation — Xgboost 1.5.1 Documentation’, 2021. </w:t>
      </w:r>
      <w:hyperlink r:id="rId39" w:history="1">
        <w:r w:rsidRPr="006130BE">
          <w:rPr>
            <w:rStyle w:val="Hyperlink"/>
            <w:lang w:val="en-GB"/>
          </w:rPr>
          <w:t>https://xgboost.readthedocs.io/en/stable/</w:t>
        </w:r>
      </w:hyperlink>
      <w:r w:rsidRPr="00B54533">
        <w:rPr>
          <w:lang w:val="en-GB"/>
        </w:rPr>
        <w:t>.</w:t>
      </w:r>
    </w:p>
    <w:p w14:paraId="39E30302" w14:textId="1FCF6A58" w:rsidR="00B54533" w:rsidRDefault="00225A3F" w:rsidP="00A22293">
      <w:pPr>
        <w:pStyle w:val="Reference"/>
        <w:rPr>
          <w:lang w:val="en-GB"/>
        </w:rPr>
      </w:pPr>
      <w:r w:rsidRPr="00225A3F">
        <w:rPr>
          <w:lang w:val="en-GB"/>
        </w:rPr>
        <w:t xml:space="preserve">Fishwick, Thomas. ‘SL477/VA-Coursework: Visual Analytics Coursework’. GitHub, 2022. </w:t>
      </w:r>
      <w:hyperlink r:id="rId40" w:history="1">
        <w:r w:rsidRPr="00AC39F2">
          <w:rPr>
            <w:rStyle w:val="Hyperlink"/>
            <w:lang w:val="en-GB"/>
          </w:rPr>
          <w:t>https://github.com/SL477/VA-Coursework</w:t>
        </w:r>
      </w:hyperlink>
      <w:r w:rsidRPr="00225A3F">
        <w:rPr>
          <w:lang w:val="en-GB"/>
        </w:rPr>
        <w:t>.</w:t>
      </w:r>
    </w:p>
    <w:p w14:paraId="25E59B89" w14:textId="43E9F1D7" w:rsidR="00225A3F" w:rsidRDefault="005F6CB6" w:rsidP="00A22293">
      <w:pPr>
        <w:pStyle w:val="Reference"/>
        <w:rPr>
          <w:lang w:val="en-GB"/>
        </w:rPr>
      </w:pPr>
      <w:r w:rsidRPr="005F6CB6">
        <w:rPr>
          <w:lang w:val="en-GB"/>
        </w:rPr>
        <w:t xml:space="preserve">Bitfuul. ‘Split Your Image Online for Free without Any Limits’, 2021. </w:t>
      </w:r>
      <w:hyperlink r:id="rId41" w:history="1">
        <w:r w:rsidRPr="00AC39F2">
          <w:rPr>
            <w:rStyle w:val="Hyperlink"/>
            <w:lang w:val="en-GB"/>
          </w:rPr>
          <w:t>https://bitfuul.com/split-image</w:t>
        </w:r>
      </w:hyperlink>
      <w:r w:rsidRPr="005F6CB6">
        <w:rPr>
          <w:lang w:val="en-GB"/>
        </w:rPr>
        <w:t>.</w:t>
      </w:r>
    </w:p>
    <w:p w14:paraId="4A685741" w14:textId="79222E15" w:rsidR="005F6CB6" w:rsidRDefault="005F6CB6" w:rsidP="00A22293">
      <w:pPr>
        <w:pStyle w:val="Reference"/>
        <w:rPr>
          <w:lang w:val="en-GB"/>
        </w:rPr>
      </w:pPr>
      <w:r w:rsidRPr="005F6CB6">
        <w:rPr>
          <w:lang w:val="en-GB"/>
        </w:rPr>
        <w:t xml:space="preserve">Imgflip. ‘Imgflip - Create and Share Awesome Images’, 2022. </w:t>
      </w:r>
      <w:hyperlink r:id="rId42" w:history="1">
        <w:r w:rsidRPr="00AC39F2">
          <w:rPr>
            <w:rStyle w:val="Hyperlink"/>
            <w:lang w:val="en-GB"/>
          </w:rPr>
          <w:t>https://imgflip.com/</w:t>
        </w:r>
      </w:hyperlink>
      <w:r w:rsidRPr="005F6CB6">
        <w:rPr>
          <w:lang w:val="en-GB"/>
        </w:rPr>
        <w:t>.</w:t>
      </w:r>
    </w:p>
    <w:p w14:paraId="37A9AD33" w14:textId="77777777" w:rsidR="005F6CB6" w:rsidRDefault="005F6CB6"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57C9F9F5" w:rsid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D2991" w14:textId="77777777" w:rsidR="001F6131" w:rsidRDefault="001F6131" w:rsidP="0023500F">
      <w:r>
        <w:separator/>
      </w:r>
    </w:p>
  </w:endnote>
  <w:endnote w:type="continuationSeparator" w:id="0">
    <w:p w14:paraId="7FE44A39" w14:textId="77777777" w:rsidR="001F6131" w:rsidRDefault="001F6131"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0DB8" w14:textId="77777777" w:rsidR="001F6131" w:rsidRDefault="001F6131" w:rsidP="0023500F">
      <w:r>
        <w:separator/>
      </w:r>
    </w:p>
  </w:footnote>
  <w:footnote w:type="continuationSeparator" w:id="0">
    <w:p w14:paraId="21EEABF4" w14:textId="77777777" w:rsidR="001F6131" w:rsidRDefault="001F6131"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305B"/>
    <w:rsid w:val="000352B6"/>
    <w:rsid w:val="000424DC"/>
    <w:rsid w:val="00056F0C"/>
    <w:rsid w:val="00057096"/>
    <w:rsid w:val="00073854"/>
    <w:rsid w:val="00075299"/>
    <w:rsid w:val="000A6AE8"/>
    <w:rsid w:val="000A7067"/>
    <w:rsid w:val="000B5111"/>
    <w:rsid w:val="000D72ED"/>
    <w:rsid w:val="00101090"/>
    <w:rsid w:val="00101756"/>
    <w:rsid w:val="001201D7"/>
    <w:rsid w:val="00122DAD"/>
    <w:rsid w:val="00136C75"/>
    <w:rsid w:val="00141153"/>
    <w:rsid w:val="00146D00"/>
    <w:rsid w:val="001500EB"/>
    <w:rsid w:val="001530A7"/>
    <w:rsid w:val="00157836"/>
    <w:rsid w:val="00185A50"/>
    <w:rsid w:val="00194142"/>
    <w:rsid w:val="001A44AA"/>
    <w:rsid w:val="001A663E"/>
    <w:rsid w:val="001A7FF0"/>
    <w:rsid w:val="001B6076"/>
    <w:rsid w:val="001C1B1F"/>
    <w:rsid w:val="001C4FE3"/>
    <w:rsid w:val="001D68C4"/>
    <w:rsid w:val="001E380C"/>
    <w:rsid w:val="001E78F2"/>
    <w:rsid w:val="001F6131"/>
    <w:rsid w:val="00200591"/>
    <w:rsid w:val="00225A3F"/>
    <w:rsid w:val="0022627D"/>
    <w:rsid w:val="0023500F"/>
    <w:rsid w:val="002353FE"/>
    <w:rsid w:val="00244BFF"/>
    <w:rsid w:val="0024544E"/>
    <w:rsid w:val="00246422"/>
    <w:rsid w:val="00247256"/>
    <w:rsid w:val="0024739E"/>
    <w:rsid w:val="00264B2B"/>
    <w:rsid w:val="00271122"/>
    <w:rsid w:val="00291E4B"/>
    <w:rsid w:val="002A455E"/>
    <w:rsid w:val="002A7C8B"/>
    <w:rsid w:val="002B5EA1"/>
    <w:rsid w:val="002C0052"/>
    <w:rsid w:val="002C6A72"/>
    <w:rsid w:val="002F009B"/>
    <w:rsid w:val="00323220"/>
    <w:rsid w:val="003250BE"/>
    <w:rsid w:val="0033298D"/>
    <w:rsid w:val="00333EA4"/>
    <w:rsid w:val="0036067B"/>
    <w:rsid w:val="00362628"/>
    <w:rsid w:val="00365CC4"/>
    <w:rsid w:val="0038226A"/>
    <w:rsid w:val="003946F2"/>
    <w:rsid w:val="003B391C"/>
    <w:rsid w:val="003B74F6"/>
    <w:rsid w:val="003C4B72"/>
    <w:rsid w:val="003D3C55"/>
    <w:rsid w:val="003D5364"/>
    <w:rsid w:val="003F7598"/>
    <w:rsid w:val="0040736F"/>
    <w:rsid w:val="00410F00"/>
    <w:rsid w:val="004122A2"/>
    <w:rsid w:val="00424F89"/>
    <w:rsid w:val="004273E9"/>
    <w:rsid w:val="00461A25"/>
    <w:rsid w:val="00466446"/>
    <w:rsid w:val="00483E25"/>
    <w:rsid w:val="004844F3"/>
    <w:rsid w:val="0048763D"/>
    <w:rsid w:val="004A59B7"/>
    <w:rsid w:val="004B44B5"/>
    <w:rsid w:val="004D0DB2"/>
    <w:rsid w:val="004D1B52"/>
    <w:rsid w:val="004D1BEC"/>
    <w:rsid w:val="004E4B87"/>
    <w:rsid w:val="004E7CF3"/>
    <w:rsid w:val="00511296"/>
    <w:rsid w:val="0052525C"/>
    <w:rsid w:val="0052549F"/>
    <w:rsid w:val="005347CD"/>
    <w:rsid w:val="005355E2"/>
    <w:rsid w:val="00544587"/>
    <w:rsid w:val="00547AE1"/>
    <w:rsid w:val="00577DF8"/>
    <w:rsid w:val="00580E56"/>
    <w:rsid w:val="00581B90"/>
    <w:rsid w:val="00587A95"/>
    <w:rsid w:val="005B2617"/>
    <w:rsid w:val="005C3139"/>
    <w:rsid w:val="005F2D01"/>
    <w:rsid w:val="005F6CB6"/>
    <w:rsid w:val="00625F0C"/>
    <w:rsid w:val="0062797F"/>
    <w:rsid w:val="006616A1"/>
    <w:rsid w:val="006760D7"/>
    <w:rsid w:val="00685544"/>
    <w:rsid w:val="00692D65"/>
    <w:rsid w:val="00697282"/>
    <w:rsid w:val="006B3FFA"/>
    <w:rsid w:val="006B44CB"/>
    <w:rsid w:val="006B794F"/>
    <w:rsid w:val="006C7588"/>
    <w:rsid w:val="006E2676"/>
    <w:rsid w:val="006F054A"/>
    <w:rsid w:val="00702B24"/>
    <w:rsid w:val="0070645E"/>
    <w:rsid w:val="00721694"/>
    <w:rsid w:val="00723A67"/>
    <w:rsid w:val="007401B6"/>
    <w:rsid w:val="007424E6"/>
    <w:rsid w:val="0075547C"/>
    <w:rsid w:val="00775E73"/>
    <w:rsid w:val="00785DC0"/>
    <w:rsid w:val="007B4EB7"/>
    <w:rsid w:val="007B6836"/>
    <w:rsid w:val="007D0776"/>
    <w:rsid w:val="007D34C2"/>
    <w:rsid w:val="007D4D52"/>
    <w:rsid w:val="007E3541"/>
    <w:rsid w:val="007E735D"/>
    <w:rsid w:val="00804616"/>
    <w:rsid w:val="00807E59"/>
    <w:rsid w:val="00811BE1"/>
    <w:rsid w:val="00812256"/>
    <w:rsid w:val="00824DF7"/>
    <w:rsid w:val="00847691"/>
    <w:rsid w:val="008506EA"/>
    <w:rsid w:val="00880275"/>
    <w:rsid w:val="00897319"/>
    <w:rsid w:val="008A6CE8"/>
    <w:rsid w:val="008E229D"/>
    <w:rsid w:val="008E69DB"/>
    <w:rsid w:val="008F7A65"/>
    <w:rsid w:val="00915950"/>
    <w:rsid w:val="00922D03"/>
    <w:rsid w:val="00932509"/>
    <w:rsid w:val="00935A69"/>
    <w:rsid w:val="009458D8"/>
    <w:rsid w:val="00945A22"/>
    <w:rsid w:val="009641AB"/>
    <w:rsid w:val="0097433E"/>
    <w:rsid w:val="009A2F20"/>
    <w:rsid w:val="009A3D55"/>
    <w:rsid w:val="009B0242"/>
    <w:rsid w:val="009C1BDF"/>
    <w:rsid w:val="009C5474"/>
    <w:rsid w:val="009D341C"/>
    <w:rsid w:val="009D6677"/>
    <w:rsid w:val="009D7B61"/>
    <w:rsid w:val="009E21A9"/>
    <w:rsid w:val="009E69A4"/>
    <w:rsid w:val="009F45A1"/>
    <w:rsid w:val="00A03345"/>
    <w:rsid w:val="00A07B64"/>
    <w:rsid w:val="00A116DD"/>
    <w:rsid w:val="00A15ECB"/>
    <w:rsid w:val="00A22293"/>
    <w:rsid w:val="00A23FFA"/>
    <w:rsid w:val="00A2548F"/>
    <w:rsid w:val="00A273AB"/>
    <w:rsid w:val="00A27A54"/>
    <w:rsid w:val="00A37484"/>
    <w:rsid w:val="00A42CCB"/>
    <w:rsid w:val="00A53A8A"/>
    <w:rsid w:val="00A54F64"/>
    <w:rsid w:val="00A56A37"/>
    <w:rsid w:val="00A71230"/>
    <w:rsid w:val="00A73808"/>
    <w:rsid w:val="00A81201"/>
    <w:rsid w:val="00A81E7D"/>
    <w:rsid w:val="00A9412A"/>
    <w:rsid w:val="00A96783"/>
    <w:rsid w:val="00AD7CF2"/>
    <w:rsid w:val="00AE236F"/>
    <w:rsid w:val="00AF2C00"/>
    <w:rsid w:val="00B12D8D"/>
    <w:rsid w:val="00B25A3B"/>
    <w:rsid w:val="00B30732"/>
    <w:rsid w:val="00B47226"/>
    <w:rsid w:val="00B54533"/>
    <w:rsid w:val="00B6128B"/>
    <w:rsid w:val="00B63FF8"/>
    <w:rsid w:val="00B64FF6"/>
    <w:rsid w:val="00B67DEF"/>
    <w:rsid w:val="00B75A87"/>
    <w:rsid w:val="00B951E0"/>
    <w:rsid w:val="00BA6193"/>
    <w:rsid w:val="00BB30BA"/>
    <w:rsid w:val="00BC7B93"/>
    <w:rsid w:val="00BE1063"/>
    <w:rsid w:val="00BE17DE"/>
    <w:rsid w:val="00BF2DE5"/>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56DA0"/>
    <w:rsid w:val="00D63AA5"/>
    <w:rsid w:val="00D65AAB"/>
    <w:rsid w:val="00D85BC5"/>
    <w:rsid w:val="00DA3ED0"/>
    <w:rsid w:val="00DB3AAE"/>
    <w:rsid w:val="00DB7D28"/>
    <w:rsid w:val="00DC211E"/>
    <w:rsid w:val="00DD0E43"/>
    <w:rsid w:val="00DE2F55"/>
    <w:rsid w:val="00DF3378"/>
    <w:rsid w:val="00DF7EAC"/>
    <w:rsid w:val="00E01066"/>
    <w:rsid w:val="00E02963"/>
    <w:rsid w:val="00E65A37"/>
    <w:rsid w:val="00E75FC1"/>
    <w:rsid w:val="00E76943"/>
    <w:rsid w:val="00E779D1"/>
    <w:rsid w:val="00E8122C"/>
    <w:rsid w:val="00E86645"/>
    <w:rsid w:val="00E86869"/>
    <w:rsid w:val="00EB3A99"/>
    <w:rsid w:val="00ED294C"/>
    <w:rsid w:val="00F00DF9"/>
    <w:rsid w:val="00F06A10"/>
    <w:rsid w:val="00F20817"/>
    <w:rsid w:val="00F21FEB"/>
    <w:rsid w:val="00F479C5"/>
    <w:rsid w:val="00F529B2"/>
    <w:rsid w:val="00F53FB6"/>
    <w:rsid w:val="00F63F50"/>
    <w:rsid w:val="00F66042"/>
    <w:rsid w:val="00F66135"/>
    <w:rsid w:val="00F75CE6"/>
    <w:rsid w:val="00F9218C"/>
    <w:rsid w:val="00FA1791"/>
    <w:rsid w:val="00FA3DF7"/>
    <w:rsid w:val="00FB3DD4"/>
    <w:rsid w:val="00FC38D4"/>
    <w:rsid w:val="00FC4B31"/>
    <w:rsid w:val="00FD4B6E"/>
    <w:rsid w:val="00FD56A7"/>
    <w:rsid w:val="00FE7818"/>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doi.org/10.1101/2020.02.16.20023754" TargetMode="External"/><Relationship Id="rId39"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discover.ukdataservice.ac.uk/catalogue/?sn=5819&amp;type=Data%20catalogue" TargetMode="External"/><Relationship Id="rId34" Type="http://schemas.openxmlformats.org/officeDocument/2006/relationships/hyperlink" Target="https://www.statsmodels.org/dev/index.html" TargetMode="External"/><Relationship Id="rId42" Type="http://schemas.openxmlformats.org/officeDocument/2006/relationships/hyperlink" Target="https://imgflip.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101/2020.02.26.20028167" TargetMode="External"/><Relationship Id="rId33" Type="http://schemas.openxmlformats.org/officeDocument/2006/relationships/hyperlink" Target="https://www.scikit-yb.org/en/latest/index.html" TargetMode="External"/><Relationship Id="rId38" Type="http://schemas.openxmlformats.org/officeDocument/2006/relationships/hyperlink" Target="http://alkaline-ml.com/pmdarim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ronavirus.data.gov.uk/details/cases?areaType=overview&amp;areaName=United%20Kingdom" TargetMode="External"/><Relationship Id="rId29" Type="http://schemas.openxmlformats.org/officeDocument/2006/relationships/hyperlink" Target="https://doi.org/10.1101/2020.02.12.20022566" TargetMode="External"/><Relationship Id="rId41" Type="http://schemas.openxmlformats.org/officeDocument/2006/relationships/hyperlink" Target="https://bitfuul.com/split-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andas.pydata.org/" TargetMode="External"/><Relationship Id="rId32" Type="http://schemas.openxmlformats.org/officeDocument/2006/relationships/hyperlink" Target="https://doi.org/10.21105/joss.03021" TargetMode="External"/><Relationship Id="rId37" Type="http://schemas.openxmlformats.org/officeDocument/2006/relationships/hyperlink" Target="https://geopandas.org/en/v0.8.2/index.html" TargetMode="External"/><Relationship Id="rId40" Type="http://schemas.openxmlformats.org/officeDocument/2006/relationships/hyperlink" Target="https://github.com/SL477/VA-Coursework"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icrosoft.com/en-us/microsoft-365/excel" TargetMode="External"/><Relationship Id="rId28" Type="http://schemas.openxmlformats.org/officeDocument/2006/relationships/hyperlink" Target="https://doi.org/10.1109/OJEMB.2021.3096135" TargetMode="External"/><Relationship Id="rId36" Type="http://schemas.openxmlformats.org/officeDocument/2006/relationships/hyperlink" Target="https://doi.org/10.1002/9780470382776.ch4"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www.tableau.com/node/6277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census.ukdataservice.ac.uk/get-data/boundary-data.aspx" TargetMode="External"/><Relationship Id="rId2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0" Type="http://schemas.openxmlformats.org/officeDocument/2006/relationships/hyperlink" Target="https://geoportal.statistics.gov.uk/datasets/ons::local-authority-districts-may-2021-uk-bfe/about" TargetMode="External"/><Relationship Id="rId35" Type="http://schemas.openxmlformats.org/officeDocument/2006/relationships/hyperlink" Target="https://scikit-learn.org/stab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8FA01-9B43-4F55-AD70-1C350519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6</Pages>
  <Words>3908</Words>
  <Characters>22281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26137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89</cp:revision>
  <cp:lastPrinted>2009-03-17T19:21:00Z</cp:lastPrinted>
  <dcterms:created xsi:type="dcterms:W3CDTF">2019-09-24T12:47:00Z</dcterms:created>
  <dcterms:modified xsi:type="dcterms:W3CDTF">2022-01-07T18:30:00Z</dcterms:modified>
</cp:coreProperties>
</file>