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DC92B10"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Pr>
          <w:b/>
        </w:rPr>
        <w:t>In this report we look at the COVID-</w:t>
      </w:r>
      <w:r w:rsidR="00203F7D">
        <w:t>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on it. Both models fail to map onto the underlying structure of the data, with ARIMA being worse. For the socio-economic factors which influence your COVID-19 infection likelihood we conclude that underlying health conditions, being younger and 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77777777" w:rsidR="00203F7D" w:rsidRDefault="00203F7D" w:rsidP="00203F7D">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0CBE6FE" w14:textId="77777777" w:rsidR="00203F7D" w:rsidRDefault="00203F7D" w:rsidP="00203F7D">
      <w:pPr>
        <w:pStyle w:val="Body"/>
        <w:rPr>
          <w:iCs/>
        </w:rPr>
      </w:pPr>
      <w:r>
        <w:rPr>
          <w:iCs/>
        </w:rPr>
        <w:t>To solve this problem, we have the COVID 19 case, death and Vaccine rates by UK region [2]. The ONS estimated age breakdown by region (as of August 2021). COVID 19 cases by age and region. A portion of the 2011 Census data showing the shared/unshared dwellings, number of cars, long term health and household deprivation [1]. Ideally, we would be using the 2021 census data, but it will not be released until 2023. We also have the geographic boundaries of the UK Local governments [11], so that we can plot this data onto a map.</w:t>
      </w:r>
    </w:p>
    <w:p w14:paraId="29694FCE" w14:textId="77777777" w:rsidR="00203F7D" w:rsidRPr="00FA1791" w:rsidRDefault="00203F7D" w:rsidP="00203F7D">
      <w:pPr>
        <w:pStyle w:val="Body"/>
        <w:rPr>
          <w:iCs/>
        </w:rPr>
      </w:pPr>
      <w:r>
        <w:rPr>
          <w:iCs/>
        </w:rPr>
        <w:t>We will look at the overall trends of the virus spread. Then look at various local risk factors and how they may interact with the spread, mortality and vaccination rates. Then look at whether we can make a predictive model for the virus spread at the Local authority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77777777" w:rsidR="00203F7D" w:rsidRDefault="00203F7D" w:rsidP="00203F7D">
      <w:pPr>
        <w:pStyle w:val="Body"/>
        <w:rPr>
          <w:iCs/>
        </w:rPr>
      </w:pPr>
      <w:r>
        <w:rPr>
          <w:iCs/>
        </w:rPr>
        <w:t>In the Office of National Statistics paper [8] the authors look at the breakdowns of the COVID 19 deaths by different ethnic groups and gender. The article links individuals’ census and NHS records (patient register and pandemic planning dataset) and looks at other health conditions the individuals might have. The authors were looking to get a risk factor for different ethnic groups for how likely they are to die of COVID 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 19 mortality and we have a risk factor for these groups. They use various visualisations to show the differing rates of death between different ethnic groups. The paper makes some assumptions in linking NHS records to census data where there was not a direct link. For the district level data, they assume that the 2011 census records are still relevant.</w:t>
      </w:r>
    </w:p>
    <w:p w14:paraId="1B1E85DF" w14:textId="77777777" w:rsidR="00203F7D" w:rsidRDefault="00203F7D" w:rsidP="00203F7D">
      <w:pPr>
        <w:pStyle w:val="Body"/>
        <w:rPr>
          <w:iCs/>
        </w:rPr>
      </w:pPr>
      <w:r>
        <w:rPr>
          <w:iCs/>
        </w:rPr>
        <w:t>Within this paper [9] from IEEE, the authors look at clustering US counties by various socio-economic factors and building time series forecasting models. They use various visualisations in their approach to decide upon how many clusters to use. They used GDP data and population breakdowns for US counties along with infection data. To cluster the counties, they used the k-means algorithm. They then compared ARIMA (auto-regressive integrated moving average) against Seasonal Trend Random Walk models to see which performed better, concluding that ARIMA was better. Their data is not usable due to being the wrong country, but their methods of normalising age and other data is very useable. One of their assumptions was that the 2019 socio-economic data could be used.</w:t>
      </w:r>
    </w:p>
    <w:p w14:paraId="7D0280DE" w14:textId="77777777" w:rsidR="00203F7D" w:rsidRPr="007D34C2" w:rsidRDefault="00203F7D" w:rsidP="00203F7D">
      <w:pPr>
        <w:pStyle w:val="Body"/>
        <w:rPr>
          <w:iCs/>
        </w:rPr>
      </w:pPr>
      <w:r>
        <w:rPr>
          <w:iCs/>
        </w:rPr>
        <w:t>From one of SAGE’s reference papers [10] from February 2020 the authors were attempting to make a mathematical model to predict potential spreads of COVID 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theoretical spread data. The authors have generated various visualisations of the virus transmission data. The authors separated the data out into the main regions of England and Wales, so we can see that our idea of looking at the lower-level data is valid. This paper assumed that COVID 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77777777" w:rsidR="00203F7D" w:rsidRDefault="00203F7D" w:rsidP="00203F7D">
      <w:pPr>
        <w:pStyle w:val="Body"/>
        <w:rPr>
          <w:iCs/>
        </w:rPr>
      </w:pPr>
      <w:r>
        <w:rPr>
          <w:iCs/>
        </w:rPr>
        <w:t xml:space="preserve">Our COVID-19 case data [2] is at the local authority level (LTLA) from the results of PCR tests and positive lateral flow tests (which are reported, from 21/10/20). This data is collected from the various local authorities and then checked and published by Public Health England. The data itself is 8 columns by 244,442 rows from 13/3/20 to 28/12/21, with at least one row per day. There is an issue with the data for 1/7/20, which appears to be a correction for earlier data points. Generally, the aggregated local authority data matches </w:t>
      </w:r>
      <w:r>
        <w:rPr>
          <w:iCs/>
        </w:rPr>
        <w:lastRenderedPageBreak/>
        <w:t>the UK wide data, but does not face the same level of scrutiny as the UK wide data (being presented by the Prime Minister).</w:t>
      </w:r>
    </w:p>
    <w:p w14:paraId="7C05D588" w14:textId="77777777" w:rsidR="00203F7D" w:rsidRDefault="00203F7D" w:rsidP="00203F7D">
      <w:pPr>
        <w:pStyle w:val="Body"/>
        <w:rPr>
          <w:iCs/>
        </w:rPr>
      </w:pPr>
      <w:r>
        <w:rPr>
          <w:iCs/>
        </w:rPr>
        <w:t>The data we have from the census [1] is at the same level, but some of the councils have been merged or split apart. Using Excel [4] we investigated the differences in councils, for the new merged councils we summed together their census data and for those splitting apart (Suffolk) we divided the data equally between them. We used Python’s Pandas library [5] to join up all of the census tables into one sheet. The census data was collected through questionnaires presented to every household in the UK. These were then aggregated by the Office of National Statistics. This dataset has 95 columns and 343 rows.</w:t>
      </w:r>
    </w:p>
    <w:p w14:paraId="06DDCC6E" w14:textId="77777777" w:rsidR="00203F7D" w:rsidRDefault="00203F7D" w:rsidP="00203F7D">
      <w:pPr>
        <w:pStyle w:val="Body"/>
        <w:rPr>
          <w:iCs/>
        </w:rPr>
      </w:pPr>
      <w:r>
        <w:rPr>
          <w:iCs/>
        </w:rPr>
        <w:t>Finally, we have the local authority boundary data for 2020 from [11], which is from the ONS. This dataset has the various local authorities and their geographic properties.</w:t>
      </w:r>
    </w:p>
    <w:p w14:paraId="05F83B8E" w14:textId="4BDD4898" w:rsidR="00203F7D" w:rsidRDefault="00203F7D" w:rsidP="00203F7D">
      <w:pPr>
        <w:pStyle w:val="Body"/>
        <w:rPr>
          <w:iCs/>
        </w:rPr>
      </w:pPr>
      <w:r>
        <w:rPr>
          <w:iCs/>
        </w:rPr>
        <w:t>The three datasets are joined together by their geography code. By plotting the cases over time using Tableau [12],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0336D68D" w14:textId="369F8D3E" w:rsidR="00203F7D" w:rsidRDefault="00203F7D" w:rsidP="00203F7D">
      <w:pPr>
        <w:pStyle w:val="Caption"/>
        <w:jc w:val="both"/>
      </w:pPr>
      <w:r>
        <w:t xml:space="preserve">Fig. </w:t>
      </w:r>
      <w:fldSimple w:instr=" SEQ Figure \* ARABIC ">
        <w:r w:rsidR="00ED27A2">
          <w:rPr>
            <w:noProof/>
          </w:rPr>
          <w:t>1</w:t>
        </w:r>
      </w:fldSimple>
      <w:r>
        <w:t>-District versus UK wide cases</w:t>
      </w:r>
    </w:p>
    <w:p w14:paraId="13E6346E" w14:textId="77777777"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the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3F073E1A" w14:textId="23915AD3" w:rsidR="00203F7D" w:rsidRDefault="00203F7D" w:rsidP="00203F7D">
      <w:pPr>
        <w:pStyle w:val="Caption"/>
      </w:pPr>
      <w:r>
        <w:t xml:space="preserve">Fig. </w:t>
      </w:r>
      <w:fldSimple w:instr=" SEQ Figure \* ARABIC ">
        <w:r w:rsidR="00ED27A2">
          <w:rPr>
            <w:noProof/>
          </w:rPr>
          <w:t>2</w:t>
        </w:r>
      </w:fldSimple>
      <w:r>
        <w:t>-District cases</w:t>
      </w:r>
    </w:p>
    <w:p w14:paraId="4CDB3119" w14:textId="77777777"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77777777"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p>
    <w:p w14:paraId="48E6E6AD" w14:textId="77777777"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countries and where the computer cannot make a one-to-one join between the two datasets (using Excel’s </w:t>
      </w:r>
      <w:proofErr w:type="spellStart"/>
      <w:r>
        <w:rPr>
          <w:iCs/>
          <w:lang w:eastAsia="en-GB"/>
        </w:rPr>
        <w:t>vlookup</w:t>
      </w:r>
      <w:proofErr w:type="spellEnd"/>
      <w:r>
        <w:rPr>
          <w:iCs/>
          <w:lang w:eastAsia="en-GB"/>
        </w:rPr>
        <w:t xml:space="preserve"> function), the human needs to reason about what to do to make a join.</w:t>
      </w:r>
    </w:p>
    <w:p w14:paraId="5D2C641F" w14:textId="77777777"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p>
    <w:p w14:paraId="0B09DAF9" w14:textId="77777777"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w:t>
      </w:r>
      <w:proofErr w:type="spellStart"/>
      <w:r>
        <w:rPr>
          <w:iCs/>
          <w:lang w:eastAsia="en-GB"/>
        </w:rPr>
        <w:t>Yellowbrick</w:t>
      </w:r>
      <w:proofErr w:type="spellEnd"/>
      <w:r>
        <w:rPr>
          <w:iCs/>
          <w:lang w:eastAsia="en-GB"/>
        </w:rPr>
        <w:t xml:space="preserve"> [14]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1422308A" w14:textId="77777777" w:rsidR="00203F7D" w:rsidRDefault="00203F7D" w:rsidP="00203F7D">
      <w:pPr>
        <w:pStyle w:val="Body"/>
        <w:rPr>
          <w:iCs/>
          <w:lang w:eastAsia="en-GB"/>
        </w:rPr>
      </w:pPr>
      <w:r>
        <w:rPr>
          <w:iCs/>
          <w:lang w:eastAsia="en-GB"/>
        </w:rPr>
        <w:t xml:space="preserve">The data will then need to be run through the Dicky-Fuller test to see if it is stationary or non-stationary time-series data so that the appropriate ARIMA model can be decided upon using Stats-models [15] </w:t>
      </w:r>
      <w:proofErr w:type="spellStart"/>
      <w:r>
        <w:rPr>
          <w:iCs/>
          <w:lang w:eastAsia="en-GB"/>
        </w:rPr>
        <w:t>AdFuller</w:t>
      </w:r>
      <w:proofErr w:type="spellEnd"/>
      <w:r>
        <w:rPr>
          <w:iCs/>
          <w:lang w:eastAsia="en-GB"/>
        </w:rPr>
        <w:t xml:space="preserve">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5762C439" w:rsidR="00CF2F15" w:rsidRDefault="00203F7D" w:rsidP="00203F7D">
      <w:pPr>
        <w:pStyle w:val="Body"/>
        <w:rPr>
          <w:iCs/>
          <w:lang w:eastAsia="en-GB"/>
        </w:rPr>
      </w:pPr>
      <w:r>
        <w:rPr>
          <w:iCs/>
          <w:lang w:eastAsia="en-GB"/>
        </w:rPr>
        <w:t>Finally, we will be predicting future cases and plotting these on the geographic map, then unpacking the clusters into regional predictions.</w:t>
      </w:r>
    </w:p>
    <w:p w14:paraId="2939F667" w14:textId="77777777" w:rsidR="00203F7D" w:rsidRDefault="00203F7D" w:rsidP="00203F7D">
      <w:pPr>
        <w:pStyle w:val="Body"/>
        <w:keepNext/>
      </w:pPr>
      <w:r>
        <w:rPr>
          <w:iCs/>
          <w:noProof/>
          <w:lang w:eastAsia="en-GB"/>
        </w:rPr>
        <w:lastRenderedPageBreak/>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030EAF1B" w14:textId="6F9F4EB7" w:rsidR="00203F7D" w:rsidRPr="00203F7D" w:rsidRDefault="00203F7D" w:rsidP="00203F7D">
      <w:pPr>
        <w:pStyle w:val="Caption"/>
        <w:jc w:val="both"/>
        <w:rPr>
          <w:iCs/>
          <w:lang w:eastAsia="en-GB"/>
        </w:rPr>
      </w:pPr>
      <w:r>
        <w:t xml:space="preserve">Fig. </w:t>
      </w:r>
      <w:fldSimple w:instr=" SEQ Figure \* ARABIC ">
        <w:r w:rsidR="00ED27A2">
          <w:rPr>
            <w:noProof/>
          </w:rPr>
          <w:t>3</w:t>
        </w:r>
      </w:fldSimple>
      <w:r>
        <w:t>-Approach flowchart</w:t>
      </w:r>
    </w:p>
    <w:p w14:paraId="46A6CF4D" w14:textId="2342AE65" w:rsidR="00BF4F16" w:rsidRPr="000D72ED" w:rsidRDefault="000352B6" w:rsidP="0023500F">
      <w:pPr>
        <w:pStyle w:val="Heading2"/>
        <w:rPr>
          <w:lang w:val="en-GB"/>
        </w:rPr>
      </w:pPr>
      <w:r>
        <w:rPr>
          <w:lang w:val="en-GB"/>
        </w:rPr>
        <w:t>Process</w:t>
      </w:r>
    </w:p>
    <w:p w14:paraId="01085267" w14:textId="1183BD21" w:rsidR="0023500F" w:rsidRDefault="001A7E71" w:rsidP="001A7E71">
      <w:pPr>
        <w:pStyle w:val="Body"/>
        <w:ind w:firstLine="0"/>
        <w:rPr>
          <w:lang w:eastAsia="en-GB"/>
        </w:rPr>
      </w:pPr>
      <w:r>
        <w:rPr>
          <w:iCs/>
          <w:lang w:eastAsia="en-GB"/>
        </w:rPr>
        <w:t>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w:t>
      </w:r>
      <w:r w:rsidRPr="001A7E71">
        <w:rPr>
          <w:lang w:eastAsia="en-GB"/>
        </w:rPr>
        <w:t xml:space="preserve"> </w:t>
      </w:r>
      <w:r>
        <w:rPr>
          <w:lang w:eastAsia="en-GB"/>
        </w:rPr>
        <w:t xml:space="preserve">the total population was a confounder, as there were more people to catch and spread COVID-19. Dividing each column by the total population and then running it through </w:t>
      </w:r>
      <w:proofErr w:type="spellStart"/>
      <w:r>
        <w:rPr>
          <w:lang w:eastAsia="en-GB"/>
        </w:rPr>
        <w:t>seaborn’s</w:t>
      </w:r>
      <w:proofErr w:type="spellEnd"/>
      <w:r>
        <w:rPr>
          <w:lang w:eastAsia="en-GB"/>
        </w:rPr>
        <w:t xml:space="preserve"> regression plot function we could see the actual effect of that variable. Having the computer make the decision on the correlation between one of the variables and the relative number of cases would be a quick way of doing things, but the correlation figure can be easily misled by a few extreme points of data. Seeing the data for ourselves allows for more control.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then started reversing at 45-49 (or 55-59 if </w:t>
      </w:r>
      <w:proofErr w:type="spellStart"/>
      <w:r>
        <w:rPr>
          <w:lang w:eastAsia="en-GB"/>
        </w:rPr>
        <w:t>you</w:t>
      </w:r>
      <w:proofErr w:type="spellEnd"/>
      <w:r>
        <w:rPr>
          <w:lang w:eastAsia="en-GB"/>
        </w:rPr>
        <w:t xml:space="preserve"> account for the fact that the census is 10 years old).</w:t>
      </w:r>
    </w:p>
    <w:p w14:paraId="1795FF08" w14:textId="54CE3C6F"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[16] K-Means algorithm “which seeks an optimal partition of the data by minimising the sum-of-squared-error criterion” [17],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w:t>
      </w:r>
      <w:r>
        <w:rPr>
          <w:iCs/>
          <w:lang w:eastAsia="en-GB"/>
        </w:rPr>
        <w:t>set the task of looking at each number and calculating the average silhouette score, these were then put into a graph so that the analyst could look at the regions with higher scores (Fig 4). As you can see from the graph below 10 clusters seems to be preferable, then any number up to 100 is not too bad and then after that the performance got steadily worse.</w:t>
      </w:r>
    </w:p>
    <w:p w14:paraId="712827E7" w14:textId="77777777" w:rsidR="001A7E71" w:rsidRDefault="001A7E71" w:rsidP="001A7E71">
      <w:pPr>
        <w:pStyle w:val="Body"/>
        <w:rPr>
          <w:lang w:eastAsia="en-GB"/>
        </w:rPr>
      </w:pPr>
      <w:r w:rsidRPr="0052525C">
        <w:rPr>
          <w:lang w:eastAsia="en-GB"/>
        </w:rPr>
        <w:t xml:space="preserve">So that the human analyst could make the final decision we used </w:t>
      </w:r>
      <w:proofErr w:type="spellStart"/>
      <w:r w:rsidRPr="0052525C">
        <w:rPr>
          <w:lang w:eastAsia="en-GB"/>
        </w:rPr>
        <w:t>Yellowbrick’s</w:t>
      </w:r>
      <w:proofErr w:type="spellEnd"/>
      <w:r w:rsidRPr="0052525C">
        <w:rPr>
          <w:lang w:eastAsia="en-GB"/>
        </w:rPr>
        <w:t xml:space="preserve"> [14] silhouette visualizer and </w:t>
      </w:r>
      <w:proofErr w:type="spellStart"/>
      <w:r w:rsidRPr="0052525C">
        <w:rPr>
          <w:lang w:eastAsia="en-GB"/>
        </w:rPr>
        <w:t>GeoPandas</w:t>
      </w:r>
      <w:proofErr w:type="spellEnd"/>
      <w:r w:rsidRPr="0052525C">
        <w:rPr>
          <w:lang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1CEFA8F4"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w:t>
      </w:r>
      <w:proofErr w:type="spellStart"/>
      <w:r>
        <w:rPr>
          <w:lang w:eastAsia="en-GB"/>
        </w:rPr>
        <w:t>statsmodels</w:t>
      </w:r>
      <w:proofErr w:type="spellEnd"/>
      <w:r>
        <w:rPr>
          <w:lang w:eastAsia="en-GB"/>
        </w:rPr>
        <w:t xml:space="preserve"> [15] </w:t>
      </w:r>
      <w:proofErr w:type="spellStart"/>
      <w:r>
        <w:rPr>
          <w:lang w:eastAsia="en-GB"/>
        </w:rPr>
        <w:t>adfuller</w:t>
      </w:r>
      <w:proofErr w:type="spellEnd"/>
      <w:r>
        <w:rPr>
          <w:lang w:eastAsia="en-GB"/>
        </w:rPr>
        <w:t xml:space="preserve"> test. From the test statistics we can see that cluster 2 is the most stationary and 3 is the least stationary. From the p-values we can accept that the data is stationary. As the case data (as of 28/12/21) is still trending upwards as we can see in figure 6 (and we are assuming that they will fall at some point) this is likely throwing off the test statistics. </w:t>
      </w:r>
    </w:p>
    <w:p w14:paraId="59BD5309" w14:textId="6FEA202B" w:rsidR="00184F25" w:rsidRPr="00184F25" w:rsidRDefault="00184F25" w:rsidP="00184F25">
      <w:pPr>
        <w:pStyle w:val="Body"/>
        <w:rPr>
          <w:lang w:eastAsia="en-GB"/>
        </w:rPr>
      </w:pPr>
      <w:r>
        <w:rPr>
          <w:lang w:eastAsia="en-GB"/>
        </w:rPr>
        <w:t xml:space="preserve">For the process of running the Partial Autocorrelation Function and Autocorrelation Function graphs using the relevant </w:t>
      </w:r>
      <w:proofErr w:type="spellStart"/>
      <w:r>
        <w:rPr>
          <w:lang w:eastAsia="en-GB"/>
        </w:rPr>
        <w:t>statsmodel</w:t>
      </w:r>
      <w:proofErr w:type="spellEnd"/>
      <w:r>
        <w:rPr>
          <w:lang w:eastAsia="en-GB"/>
        </w:rPr>
        <w:t xml:space="preserve"> functions. We get a series of graphs for</w:t>
      </w:r>
      <w:r w:rsidRPr="00184F25">
        <w:rPr>
          <w:lang w:eastAsia="en-GB"/>
        </w:rPr>
        <w:t xml:space="preserve"> </w:t>
      </w:r>
      <w:r>
        <w:rPr>
          <w:lang w:eastAsia="en-GB"/>
        </w:rPr>
        <w:t xml:space="preserve">the clusters, taking the first difference we can see that the ACF graph cuts off after the first lag and the PACF tails off. Using the </w:t>
      </w:r>
      <w:proofErr w:type="spellStart"/>
      <w:r>
        <w:rPr>
          <w:lang w:eastAsia="en-GB"/>
        </w:rPr>
        <w:t>pmdarima</w:t>
      </w:r>
      <w:proofErr w:type="spellEnd"/>
      <w:r>
        <w:rPr>
          <w:lang w:eastAsia="en-GB"/>
        </w:rPr>
        <w:t xml:space="preserve"> [19] package we can run through all of the time series to confirm our analysis, the computer disagrees for clusters 2 and 3, but their numbers are not that different to the others. So,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080"/>
                    </a:xfrm>
                    <a:prstGeom prst="rect">
                      <a:avLst/>
                    </a:prstGeom>
                  </pic:spPr>
                </pic:pic>
              </a:graphicData>
            </a:graphic>
          </wp:inline>
        </w:drawing>
      </w:r>
    </w:p>
    <w:p w14:paraId="52C54E2B" w14:textId="3C25E019" w:rsidR="001A7E71" w:rsidRDefault="001A7E71" w:rsidP="001A7E71">
      <w:pPr>
        <w:pStyle w:val="Caption"/>
        <w:jc w:val="both"/>
      </w:pPr>
      <w:r>
        <w:t xml:space="preserve">Fig. </w:t>
      </w:r>
      <w:fldSimple w:instr=" SEQ Figure \* ARABIC ">
        <w:r w:rsidR="00ED27A2">
          <w:rPr>
            <w:noProof/>
          </w:rPr>
          <w:t>4</w:t>
        </w:r>
      </w:fldSimple>
      <w:r>
        <w:t>-Potential number of clusters versus average silhouette score</w:t>
      </w:r>
    </w:p>
    <w:p w14:paraId="08703F9D" w14:textId="28AA905F" w:rsidR="001A7E71" w:rsidRDefault="0001351C" w:rsidP="001A7E71">
      <w:pPr>
        <w:keepNext/>
      </w:pPr>
      <w:r>
        <w:rPr>
          <w:lang w:eastAsia="en-GB"/>
        </w:rPr>
        <w:t xml:space="preserve">In making the ARIMA models it does not appear that they are able to </w:t>
      </w:r>
      <w:proofErr w:type="spellStart"/>
      <w:r>
        <w:rPr>
          <w:lang w:eastAsia="en-GB"/>
        </w:rPr>
        <w:t>generalise</w:t>
      </w:r>
      <w:proofErr w:type="spellEnd"/>
      <w:r>
        <w:rPr>
          <w:lang w:eastAsia="en-GB"/>
        </w:rPr>
        <w:t xml:space="preserve"> to be able the test data (4/10/21 – 28/12/21). Effectively deleting the erroneous records for 1/7/20 improves upon the fit, but the model failed to predict anything other than a straight line for the number of cases. Using the weekly </w:t>
      </w:r>
      <w:r>
        <w:rPr>
          <w:lang w:eastAsia="en-GB"/>
        </w:rPr>
        <w:lastRenderedPageBreak/>
        <w:t>data does not improve this and the residual fit is only moderately improved by getting rid of the over-correction on the 1/7/20’s case data. So, it appears that the ARIMA model is not appropriate for predicting the number of new cases</w:t>
      </w:r>
      <w:r>
        <w:rPr>
          <w:lang w:eastAsia="en-GB"/>
        </w:rPr>
        <w:t>.</w:t>
      </w:r>
      <w:r w:rsidR="001A7E71">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inline>
        </w:drawing>
      </w:r>
    </w:p>
    <w:p w14:paraId="53B84097" w14:textId="0EABB432" w:rsidR="001A7E71" w:rsidRDefault="001A7E71" w:rsidP="001A7E71">
      <w:pPr>
        <w:pStyle w:val="Caption"/>
      </w:pPr>
      <w:r>
        <w:t xml:space="preserve">Fig. </w:t>
      </w:r>
      <w:fldSimple w:instr=" SEQ Figure \* ARABIC ">
        <w:r w:rsidR="00ED27A2">
          <w:rPr>
            <w:noProof/>
          </w:rPr>
          <w:t>5</w:t>
        </w:r>
      </w:fldSimple>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inline>
        </w:drawing>
      </w:r>
    </w:p>
    <w:p w14:paraId="2D46E887" w14:textId="12C2A428" w:rsidR="00184F25" w:rsidRDefault="00184F25" w:rsidP="00184F25">
      <w:pPr>
        <w:pStyle w:val="Caption"/>
      </w:pPr>
      <w:r>
        <w:t xml:space="preserve">Fig. </w:t>
      </w:r>
      <w:fldSimple w:instr=" SEQ Figure \* ARABIC ">
        <w:r w:rsidR="00ED27A2">
          <w:rPr>
            <w:noProof/>
          </w:rPr>
          <w:t>6</w:t>
        </w:r>
      </w:fldSimple>
      <w:r>
        <w:t>-Cluster Time-Series</w:t>
      </w:r>
    </w:p>
    <w:p w14:paraId="5892ABE0" w14:textId="77777777" w:rsidR="00184F25" w:rsidRDefault="00184F25" w:rsidP="00184F25">
      <w:pPr>
        <w:keepNext/>
      </w:pPr>
      <w:r>
        <w:rPr>
          <w:rFonts w:ascii="Times" w:hAnsi="Times"/>
          <w:iCs/>
          <w:noProof/>
          <w:szCs w:val="20"/>
          <w:lang w:val="en-GB" w:eastAsia="en-GB"/>
        </w:rPr>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3177540" cy="2148840"/>
                    </a:xfrm>
                    <a:prstGeom prst="rect">
                      <a:avLst/>
                    </a:prstGeom>
                  </pic:spPr>
                </pic:pic>
              </a:graphicData>
            </a:graphic>
          </wp:inline>
        </w:drawing>
      </w:r>
    </w:p>
    <w:p w14:paraId="397AE91F" w14:textId="4AABE73F" w:rsidR="00184F25" w:rsidRDefault="00184F25" w:rsidP="00184F25">
      <w:pPr>
        <w:pStyle w:val="Caption"/>
      </w:pPr>
      <w:r>
        <w:t>Fig</w:t>
      </w:r>
      <w:r w:rsidR="0001351C">
        <w:t>.</w:t>
      </w:r>
      <w:r>
        <w:t xml:space="preserve"> </w:t>
      </w:r>
      <w:fldSimple w:instr=" SEQ Figure \* ARABIC ">
        <w:r w:rsidR="00ED27A2">
          <w:rPr>
            <w:noProof/>
          </w:rPr>
          <w:t>7</w:t>
        </w:r>
      </w:fldSimple>
      <w:r>
        <w:t>-XGB Cluster 2</w:t>
      </w:r>
    </w:p>
    <w:p w14:paraId="49235035" w14:textId="6ED29AA1" w:rsidR="0001351C" w:rsidRDefault="0001351C" w:rsidP="0001351C">
      <w:pPr>
        <w:pStyle w:val="Body"/>
        <w:rPr>
          <w:lang w:eastAsia="en-GB"/>
        </w:rPr>
      </w:pPr>
      <w:r>
        <w:rPr>
          <w:lang w:eastAsia="en-GB"/>
        </w:rPr>
        <w:t>In making the XGB regression model (figure 7) using [20] we can that for cluster 2 (the best model) that using the actual previous day’s case data the XGB model tracks fairly close to the actual data. But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r>
        <w:rPr>
          <w:lang w:eastAsia="en-GB"/>
        </w:rPr>
        <w:t>.</w:t>
      </w:r>
    </w:p>
    <w:p w14:paraId="27D0A478" w14:textId="77777777" w:rsidR="0001351C" w:rsidRDefault="0001351C" w:rsidP="0001351C">
      <w:pPr>
        <w:pStyle w:val="Body"/>
        <w:keepNext/>
      </w:pPr>
      <w:r>
        <w:rPr>
          <w:iCs/>
          <w:noProof/>
          <w:lang w:eastAsia="en-GB"/>
        </w:rPr>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7540" cy="1651940"/>
                    </a:xfrm>
                    <a:prstGeom prst="rect">
                      <a:avLst/>
                    </a:prstGeom>
                  </pic:spPr>
                </pic:pic>
              </a:graphicData>
            </a:graphic>
          </wp:inline>
        </w:drawing>
      </w:r>
    </w:p>
    <w:p w14:paraId="20831205" w14:textId="78A55697" w:rsidR="0001351C" w:rsidRDefault="0001351C" w:rsidP="0001351C">
      <w:pPr>
        <w:pStyle w:val="Caption"/>
        <w:jc w:val="both"/>
      </w:pPr>
      <w:r>
        <w:t xml:space="preserve">Fig. </w:t>
      </w:r>
      <w:fldSimple w:instr=" SEQ Figure \* ARABIC ">
        <w:r w:rsidR="00ED27A2">
          <w:rPr>
            <w:noProof/>
          </w:rPr>
          <w:t>8</w:t>
        </w:r>
      </w:fldSimple>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5C8AAEC2" w14:textId="68871739" w:rsidR="0001351C" w:rsidRDefault="0001351C" w:rsidP="0001351C">
      <w:pPr>
        <w:pStyle w:val="Caption"/>
      </w:pPr>
      <w:r>
        <w:t xml:space="preserve">Fig. </w:t>
      </w:r>
      <w:fldSimple w:instr=" SEQ Figure \* ARABIC ">
        <w:r w:rsidR="00ED27A2">
          <w:rPr>
            <w:noProof/>
          </w:rPr>
          <w:t>9</w:t>
        </w:r>
      </w:fldSimple>
      <w:r>
        <w:t>-Monthly Proportional case data</w:t>
      </w:r>
    </w:p>
    <w:p w14:paraId="3FEAD688" w14:textId="422B8236" w:rsidR="0001351C" w:rsidRDefault="0001351C" w:rsidP="00ED27A2">
      <w:pPr>
        <w:pStyle w:val="Body"/>
        <w:rPr>
          <w:lang w:eastAsia="en-GB"/>
        </w:rPr>
      </w:pPr>
      <w:r>
        <w:rPr>
          <w:lang w:eastAsia="en-GB"/>
        </w:rPr>
        <w:t>Looking at the case age data we can see that most of the age groups follows the same sort of trend, although from the age groups from 70 all have lower numbers than the other age groups (which may be because there are fewer people in those groups, they 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r w:rsidR="00ED27A2">
        <w:rPr>
          <w:lang w:eastAsia="en-GB"/>
        </w:rPr>
        <w:t>.</w:t>
      </w:r>
    </w:p>
    <w:p w14:paraId="1C9D9075" w14:textId="77777777"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w:t>
      </w:r>
      <w:r>
        <w:rPr>
          <w:lang w:eastAsia="en-GB"/>
        </w:rPr>
        <w:lastRenderedPageBreak/>
        <w:t>lower cases going to green for higher proportional cases (with no data as white)). We can see that Birmingham and the area around Bradford most often have the highest proportion of cases (although the data was not captured for the earliest stages of the pandemic). Northumberland has one of the highest proportions April-May 2020. August to December 2021 Cornwall and London have the highest COVID case data.</w:t>
      </w:r>
    </w:p>
    <w:p w14:paraId="63BB986A" w14:textId="77777777"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 numbers of people proportionally to other local authorities in England and Wales.</w:t>
      </w:r>
    </w:p>
    <w:p w14:paraId="2ED31864" w14:textId="77777777" w:rsidR="00ED27A2" w:rsidRDefault="00ED27A2" w:rsidP="00ED27A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3EB80296" w:rsidR="00ED27A2" w:rsidRPr="0001351C" w:rsidRDefault="00ED27A2" w:rsidP="00ED27A2">
      <w:pPr>
        <w:pStyle w:val="Body"/>
        <w:rPr>
          <w:lang w:eastAsia="en-GB"/>
        </w:rPr>
      </w:pPr>
      <w:r>
        <w:rPr>
          <w:lang w:eastAsia="en-GB"/>
        </w:rPr>
        <w:t>For the first and second vaccine dose rates, none of the census variables appear to have any more than a negligible effect on the rate (most of the graphs are relatively flat lines). Very arguably areas with high rates of no cars in a household have lower rates of vaccine take up and one or more car rates show it going up, but these are very slight effects.</w:t>
      </w:r>
    </w:p>
    <w:p w14:paraId="0D8B16F2" w14:textId="6054BB88" w:rsidR="000D72ED" w:rsidRPr="000D72ED" w:rsidRDefault="000D72ED" w:rsidP="0023500F">
      <w:pPr>
        <w:pStyle w:val="Heading2"/>
        <w:rPr>
          <w:lang w:val="en-GB"/>
        </w:rPr>
      </w:pPr>
      <w:r w:rsidRPr="000D72ED">
        <w:rPr>
          <w:lang w:val="en-GB"/>
        </w:rPr>
        <w:t>Results</w:t>
      </w:r>
    </w:p>
    <w:p w14:paraId="4BC7DFA3" w14:textId="134953D8"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 As we can see in fig. 10 a lot of the places in fig. 9 with high COVID rates have high numbers of people with bad health conditions.</w:t>
      </w:r>
    </w:p>
    <w:p w14:paraId="62116981" w14:textId="77777777"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6DF9B0C4" w14:textId="77777777" w:rsidR="00ED27A2" w:rsidRPr="00935A69" w:rsidRDefault="00ED27A2" w:rsidP="00ED27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relationships back to the census figures.</w:t>
      </w:r>
    </w:p>
    <w:p w14:paraId="04E90B46" w14:textId="77777777" w:rsidR="00ED27A2" w:rsidRDefault="00ED27A2" w:rsidP="00ED27A2">
      <w:pPr>
        <w:pStyle w:val="Body"/>
        <w:keepNext/>
      </w:pPr>
      <w:r>
        <w:rPr>
          <w:iCs/>
          <w:noProof/>
          <w:lang w:eastAsia="en-GB"/>
        </w:rPr>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3177540" cy="4115435"/>
                    </a:xfrm>
                    <a:prstGeom prst="rect">
                      <a:avLst/>
                    </a:prstGeom>
                  </pic:spPr>
                </pic:pic>
              </a:graphicData>
            </a:graphic>
          </wp:inline>
        </w:drawing>
      </w:r>
    </w:p>
    <w:p w14:paraId="7F224DD9" w14:textId="6310A589" w:rsidR="00ED27A2" w:rsidRDefault="00ED27A2" w:rsidP="00ED27A2">
      <w:pPr>
        <w:pStyle w:val="Caption"/>
        <w:jc w:val="both"/>
      </w:pPr>
      <w:r>
        <w:t xml:space="preserve">Fig. </w:t>
      </w:r>
      <w:fldSimple w:instr=" SEQ Figure \* ARABIC ">
        <w:r>
          <w:rPr>
            <w:noProof/>
          </w:rPr>
          <w:t>10</w:t>
        </w:r>
      </w:fldSimple>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177540" cy="3973195"/>
                    </a:xfrm>
                    <a:prstGeom prst="rect">
                      <a:avLst/>
                    </a:prstGeom>
                  </pic:spPr>
                </pic:pic>
              </a:graphicData>
            </a:graphic>
          </wp:inline>
        </w:drawing>
      </w:r>
    </w:p>
    <w:p w14:paraId="1178A1F7" w14:textId="1FAE21F0" w:rsidR="00ED27A2" w:rsidRPr="00ED27A2" w:rsidRDefault="00ED27A2" w:rsidP="00ED27A2">
      <w:pPr>
        <w:pStyle w:val="Caption"/>
      </w:pPr>
      <w:r>
        <w:t xml:space="preserve">Fig. </w:t>
      </w:r>
      <w:fldSimple w:instr=" SEQ Figure \* ARABIC ">
        <w:r>
          <w:rPr>
            <w:noProof/>
          </w:rPr>
          <w:t>11</w:t>
        </w:r>
      </w:fldSimple>
      <w:r>
        <w:t>-Population by Local Authority</w:t>
      </w:r>
    </w:p>
    <w:p w14:paraId="13D2406E" w14:textId="3AC0B9F4" w:rsidR="00BF4F16" w:rsidRPr="000D72ED" w:rsidRDefault="001C1B1F" w:rsidP="0023500F">
      <w:pPr>
        <w:pStyle w:val="Heading1"/>
        <w:rPr>
          <w:lang w:val="en-GB"/>
        </w:rPr>
      </w:pPr>
      <w:r>
        <w:rPr>
          <w:lang w:eastAsia="en-GB"/>
        </w:rPr>
        <w:lastRenderedPageBreak/>
        <w:t>Critical reflection</w:t>
      </w:r>
    </w:p>
    <w:p w14:paraId="3DB0861C" w14:textId="77777777"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77777777" w:rsidR="00ED27A2" w:rsidRDefault="00ED27A2" w:rsidP="00ED27A2">
      <w:pPr>
        <w:pStyle w:val="Body"/>
        <w:rPr>
          <w:lang w:eastAsia="en-GB"/>
        </w:rPr>
      </w:pPr>
      <w:r>
        <w:rPr>
          <w:lang w:eastAsia="en-GB"/>
        </w:rPr>
        <w:t>In the ARIMA model the computer’s fit had managed to miss the underlying structure and interpret that as noise. This was mostly because the data did not have enough information for the model to learn from it.</w:t>
      </w:r>
    </w:p>
    <w:p w14:paraId="33910369" w14:textId="77777777" w:rsidR="00ED27A2" w:rsidRDefault="00ED27A2" w:rsidP="00ED27A2">
      <w:pPr>
        <w:pStyle w:val="Body"/>
        <w:rPr>
          <w:lang w:eastAsia="en-GB"/>
        </w:rPr>
      </w:pPr>
      <w:r>
        <w:rPr>
          <w:lang w:eastAsia="en-GB"/>
        </w:rPr>
        <w:t>In a similar manner the XGB Regressor was able be follow the structure of the data when it was relying upon the actual previous days data, but fell over when it had to work out this data for itself.</w:t>
      </w:r>
    </w:p>
    <w:p w14:paraId="5D3CA916" w14:textId="77777777"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[8]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7777777"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 and being killed by something else after a positive test would count.</w:t>
      </w:r>
    </w:p>
    <w:p w14:paraId="6BE4E86B" w14:textId="77777777"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p>
    <w:p w14:paraId="47B5320E" w14:textId="77777777" w:rsidR="00ED27A2" w:rsidRDefault="00ED27A2" w:rsidP="00ED27A2">
      <w:pPr>
        <w:pStyle w:val="Body"/>
        <w:rPr>
          <w:lang w:eastAsia="en-GB"/>
        </w:rPr>
      </w:pPr>
      <w:r>
        <w:rPr>
          <w:lang w:eastAsia="en-GB"/>
        </w:rPr>
        <w:t xml:space="preserve">Another piece of software that would have been nice would be a sci-kit learn style API for the ARIMA algorithms. As the </w:t>
      </w:r>
      <w:proofErr w:type="spellStart"/>
      <w:r>
        <w:rPr>
          <w:lang w:eastAsia="en-GB"/>
        </w:rPr>
        <w:t>Statsmodel</w:t>
      </w:r>
      <w:proofErr w:type="spellEnd"/>
      <w:r>
        <w:rPr>
          <w:lang w:eastAsia="en-GB"/>
        </w:rPr>
        <w:t xml:space="preserve">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25E59DA1" w:rsidR="00141153" w:rsidRDefault="00ED27A2"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79CE8DDE" w:rsidR="00141153" w:rsidRDefault="00ED27A2"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49B3FE2D" w:rsidR="00141153" w:rsidRDefault="00ED27A2" w:rsidP="00141153">
            <w:pPr>
              <w:jc w:val="right"/>
              <w:rPr>
                <w:lang w:eastAsia="en-GB"/>
              </w:rPr>
            </w:pPr>
            <w:r>
              <w:rPr>
                <w:lang w:eastAsia="en-GB"/>
              </w:rPr>
              <w:t>410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36259872" w:rsidR="00141153" w:rsidRDefault="00ED27A2" w:rsidP="00141153">
            <w:pPr>
              <w:jc w:val="right"/>
              <w:rPr>
                <w:lang w:eastAsia="en-GB"/>
              </w:rPr>
            </w:pPr>
            <w:r>
              <w:rPr>
                <w:lang w:eastAsia="en-GB"/>
              </w:rPr>
              <w:t>429</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48A7918A" w:rsidR="00141153" w:rsidRDefault="00141153" w:rsidP="00141153">
            <w:pPr>
              <w:jc w:val="right"/>
              <w:rPr>
                <w:lang w:eastAsia="en-GB"/>
              </w:rPr>
            </w:pPr>
            <w:r>
              <w:rPr>
                <w:lang w:eastAsia="en-GB"/>
              </w:rPr>
              <w:t>1</w:t>
            </w:r>
            <w:r w:rsidR="00ED27A2">
              <w:rPr>
                <w:lang w:eastAsia="en-GB"/>
              </w:rPr>
              <w:t>381</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3BB97EB" w:rsidR="00141153" w:rsidRDefault="00ED27A2"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5666B0C8" w:rsidR="00141153" w:rsidRDefault="00ED27A2" w:rsidP="00141153">
            <w:pPr>
              <w:jc w:val="right"/>
              <w:rPr>
                <w:lang w:eastAsia="en-GB"/>
              </w:rPr>
            </w:pPr>
            <w:r>
              <w:rPr>
                <w:lang w:eastAsia="en-GB"/>
              </w:rPr>
              <w:t>467</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8D620DB" w14:textId="77777777" w:rsidR="00ED27A2" w:rsidRDefault="00ED27A2" w:rsidP="00ED27A2">
      <w:pPr>
        <w:pStyle w:val="Reference"/>
        <w:numPr>
          <w:ilvl w:val="0"/>
          <w:numId w:val="6"/>
        </w:numPr>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9" w:history="1">
        <w:r w:rsidRPr="00042AAC">
          <w:rPr>
            <w:rStyle w:val="Hyperlink"/>
            <w:lang w:val="en-GB"/>
          </w:rPr>
          <w:t>https://coronavirus.data.gov.uk/details/cases?areaType=overview&amp;areaName=United%20Kingdom</w:t>
        </w:r>
      </w:hyperlink>
      <w:r w:rsidRPr="00A22293">
        <w:rPr>
          <w:lang w:val="en-GB"/>
        </w:rPr>
        <w:t>.</w:t>
      </w:r>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0"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1"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r w:rsidRPr="007E3541">
        <w:rPr>
          <w:lang w:val="en-GB"/>
        </w:rPr>
        <w:t xml:space="preserve">‘Microsoft Excel Spreadsheet Software | Microsoft 365’. Accessed 30 December 2021. </w:t>
      </w:r>
      <w:hyperlink r:id="rId22" w:history="1">
        <w:r w:rsidRPr="00042AAC">
          <w:rPr>
            <w:rStyle w:val="Hyperlink"/>
            <w:lang w:val="en-GB"/>
          </w:rPr>
          <w:t>https://www.microsoft.com/en-us/microsoft-365/excel</w:t>
        </w:r>
      </w:hyperlink>
      <w:r w:rsidRPr="007E3541">
        <w:rPr>
          <w:lang w:val="en-GB"/>
        </w:rPr>
        <w:t>.</w:t>
      </w:r>
    </w:p>
    <w:p w14:paraId="6814CA61" w14:textId="77777777" w:rsidR="00ED27A2" w:rsidRDefault="00ED27A2" w:rsidP="00ED27A2">
      <w:pPr>
        <w:pStyle w:val="Reference"/>
        <w:numPr>
          <w:ilvl w:val="0"/>
          <w:numId w:val="6"/>
        </w:numPr>
        <w:rPr>
          <w:szCs w:val="24"/>
        </w:rPr>
      </w:pPr>
      <w:r>
        <w:t xml:space="preserve">‘Pandas - Python Data Analysis Library’. Accessed 30 December 2021. </w:t>
      </w:r>
      <w:hyperlink r:id="rId23" w:history="1">
        <w:r>
          <w:rPr>
            <w:rStyle w:val="Hyperlink"/>
          </w:rPr>
          <w:t>https://pandas.pydata.org/</w:t>
        </w:r>
      </w:hyperlink>
      <w:r>
        <w:t>.</w:t>
      </w:r>
    </w:p>
    <w:p w14:paraId="00A4CDFF" w14:textId="77777777"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4"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5"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6" w:history="1">
        <w:r w:rsidRPr="00E259DD">
          <w:rPr>
            <w:rStyle w:val="Hyperlink"/>
            <w:lang w:val="en-GB"/>
          </w:rPr>
          <w:t>https://www.ons.gov.uk/peoplepopulationandcommunity/birthsdeathsandmarriages/</w:t>
        </w:r>
        <w:r w:rsidRPr="00E259DD">
          <w:rPr>
            <w:rStyle w:val="Hyperlink"/>
            <w:lang w:val="en-GB"/>
          </w:rPr>
          <w:t>d</w:t>
        </w:r>
        <w:r w:rsidRPr="00E259DD">
          <w:rPr>
            <w:rStyle w:val="Hyperlink"/>
            <w:lang w:val="en-GB"/>
          </w:rPr>
          <w:t>eaths/articles/updatingethniccontrastsindeathsinvolvingthecoronaviruscovid19englandandwales/24january2020to31march2021</w:t>
        </w:r>
      </w:hyperlink>
      <w:r w:rsidRPr="003B74F6">
        <w:rPr>
          <w:lang w:val="en-GB"/>
        </w:rPr>
        <w:t>.</w:t>
      </w:r>
    </w:p>
    <w:p w14:paraId="7B520895" w14:textId="77777777" w:rsidR="00ED27A2" w:rsidRDefault="00ED27A2" w:rsidP="00ED27A2">
      <w:pPr>
        <w:pStyle w:val="Reference"/>
        <w:numPr>
          <w:ilvl w:val="0"/>
          <w:numId w:val="6"/>
        </w:numPr>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7" w:history="1">
        <w:r w:rsidRPr="00E259DD">
          <w:rPr>
            <w:rStyle w:val="Hyperlink"/>
            <w:lang w:val="en-GB"/>
          </w:rPr>
          <w:t>https://doi.org/10.1109/OJEMB.2021.3096135</w:t>
        </w:r>
      </w:hyperlink>
      <w:r w:rsidRPr="009C1BDF">
        <w:rPr>
          <w:lang w:val="en-GB"/>
        </w:rPr>
        <w:t>.</w:t>
      </w:r>
    </w:p>
    <w:p w14:paraId="15202927" w14:textId="77777777" w:rsidR="00ED27A2" w:rsidRDefault="00ED27A2" w:rsidP="00ED27A2">
      <w:pPr>
        <w:pStyle w:val="Reference"/>
        <w:numPr>
          <w:ilvl w:val="0"/>
          <w:numId w:val="6"/>
        </w:numPr>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8" w:history="1">
        <w:r w:rsidRPr="00E259DD">
          <w:rPr>
            <w:rStyle w:val="Hyperlink"/>
            <w:lang w:val="en-GB"/>
          </w:rPr>
          <w:t>https://doi.org/10.1101/2020.02.12.20022566</w:t>
        </w:r>
      </w:hyperlink>
      <w:r w:rsidRPr="00B25A3B">
        <w:rPr>
          <w:lang w:val="en-GB"/>
        </w:rPr>
        <w:t>.</w:t>
      </w:r>
    </w:p>
    <w:p w14:paraId="0DD77BBD" w14:textId="77777777" w:rsidR="00ED27A2" w:rsidRDefault="00ED27A2" w:rsidP="00ED27A2">
      <w:pPr>
        <w:pStyle w:val="Reference"/>
        <w:numPr>
          <w:ilvl w:val="0"/>
          <w:numId w:val="6"/>
        </w:numPr>
        <w:rPr>
          <w:lang w:val="en-GB"/>
        </w:rPr>
      </w:pPr>
      <w:r w:rsidRPr="00F479C5">
        <w:rPr>
          <w:lang w:val="en-GB"/>
        </w:rPr>
        <w:t xml:space="preserve">ONS. ‘Local Authority Districts (May 2021) UK BFE’. Accessed 1 January 2022. </w:t>
      </w:r>
      <w:hyperlink r:id="rId29" w:history="1">
        <w:r w:rsidRPr="00EE051E">
          <w:rPr>
            <w:rStyle w:val="Hyperlink"/>
            <w:lang w:val="en-GB"/>
          </w:rPr>
          <w:t>https://geoportal.statistics.gov.uk/datasets/ons::local-authority-districts-may-2021-uk-bfe/about</w:t>
        </w:r>
      </w:hyperlink>
      <w:r w:rsidRPr="00F479C5">
        <w:rPr>
          <w:lang w:val="en-GB"/>
        </w:rPr>
        <w:t>.</w:t>
      </w:r>
    </w:p>
    <w:p w14:paraId="1EB2A87A" w14:textId="77777777" w:rsidR="00ED27A2" w:rsidRDefault="00ED27A2" w:rsidP="00ED27A2">
      <w:pPr>
        <w:pStyle w:val="Reference"/>
        <w:numPr>
          <w:ilvl w:val="0"/>
          <w:numId w:val="6"/>
        </w:numPr>
        <w:rPr>
          <w:lang w:val="en-GB"/>
        </w:rPr>
      </w:pPr>
      <w:r w:rsidRPr="0033298D">
        <w:rPr>
          <w:lang w:val="en-GB"/>
        </w:rPr>
        <w:t xml:space="preserve">Tableau Software. ‘Tableau: Business Intelligence and Analytics Software’. Tableau. Accessed 1 January 2022. </w:t>
      </w:r>
      <w:hyperlink r:id="rId30" w:history="1">
        <w:r w:rsidRPr="009048E2">
          <w:rPr>
            <w:rStyle w:val="Hyperlink"/>
            <w:lang w:val="en-GB"/>
          </w:rPr>
          <w:t>https://www.tableau.com/node/62770</w:t>
        </w:r>
      </w:hyperlink>
      <w:r w:rsidRPr="0033298D">
        <w:rPr>
          <w:lang w:val="en-GB"/>
        </w:rPr>
        <w:t>.</w:t>
      </w:r>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1"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2" w:history="1">
        <w:r w:rsidRPr="00760219">
          <w:rPr>
            <w:rStyle w:val="Hyperlink"/>
            <w:lang w:val="en-GB"/>
          </w:rPr>
          <w:t>https://www.scikit-yb.org/en/latest/index.html</w:t>
        </w:r>
      </w:hyperlink>
      <w:r w:rsidRPr="00F63F50">
        <w:rPr>
          <w:lang w:val="en-GB"/>
        </w:rPr>
        <w:t>.</w:t>
      </w:r>
    </w:p>
    <w:p w14:paraId="4FA62B04" w14:textId="77777777" w:rsidR="00ED27A2" w:rsidRDefault="00ED27A2" w:rsidP="00ED27A2">
      <w:pPr>
        <w:pStyle w:val="Reference"/>
        <w:numPr>
          <w:ilvl w:val="0"/>
          <w:numId w:val="6"/>
        </w:numPr>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3" w:history="1">
        <w:r w:rsidRPr="00760219">
          <w:rPr>
            <w:rStyle w:val="Hyperlink"/>
            <w:lang w:val="en-GB"/>
          </w:rPr>
          <w:t>https://www.statsmodels.org/dev/index.html</w:t>
        </w:r>
      </w:hyperlink>
      <w:r w:rsidRPr="00017B17">
        <w:rPr>
          <w:lang w:val="en-GB"/>
        </w:rPr>
        <w:t>.</w:t>
      </w:r>
    </w:p>
    <w:p w14:paraId="34CD17EA" w14:textId="77777777" w:rsidR="00ED27A2" w:rsidRDefault="00ED27A2" w:rsidP="00ED27A2">
      <w:pPr>
        <w:pStyle w:val="Reference"/>
        <w:numPr>
          <w:ilvl w:val="0"/>
          <w:numId w:val="6"/>
        </w:numPr>
        <w:rPr>
          <w:lang w:val="en-GB"/>
        </w:rPr>
      </w:pPr>
      <w:proofErr w:type="spellStart"/>
      <w:r w:rsidRPr="00C01EB9">
        <w:rPr>
          <w:lang w:val="en-GB"/>
        </w:rPr>
        <w:lastRenderedPageBreak/>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4" w:history="1">
        <w:r w:rsidRPr="000E1427">
          <w:rPr>
            <w:rStyle w:val="Hyperlink"/>
            <w:lang w:val="en-GB"/>
          </w:rPr>
          <w:t>https://scikit-learn.org/stable/</w:t>
        </w:r>
      </w:hyperlink>
      <w:r w:rsidRPr="00C01EB9">
        <w:rPr>
          <w:lang w:val="en-GB"/>
        </w:rPr>
        <w:t>.</w:t>
      </w:r>
    </w:p>
    <w:p w14:paraId="3B1B2F38" w14:textId="77777777" w:rsidR="00ED27A2" w:rsidRDefault="00ED27A2" w:rsidP="00ED27A2">
      <w:pPr>
        <w:pStyle w:val="Reference"/>
        <w:numPr>
          <w:ilvl w:val="0"/>
          <w:numId w:val="6"/>
        </w:numPr>
        <w:rPr>
          <w:lang w:val="en-GB"/>
        </w:rPr>
      </w:pPr>
      <w:r w:rsidRPr="00C01EB9">
        <w:rPr>
          <w:lang w:val="en-GB"/>
        </w:rPr>
        <w:t xml:space="preserve">Xu, Rui, and Donald Wunsch II. ‘Partitional Clustering’. In Clustering, 63–110. 68: John Wiley &amp; Sons, Ltd, 2008. </w:t>
      </w:r>
      <w:hyperlink r:id="rId35" w:history="1">
        <w:r w:rsidRPr="000E1427">
          <w:rPr>
            <w:rStyle w:val="Hyperlink"/>
            <w:lang w:val="en-GB"/>
          </w:rPr>
          <w:t>https://doi.org/10.1002/9780470382776.ch4</w:t>
        </w:r>
      </w:hyperlink>
      <w:r w:rsidRPr="00C01EB9">
        <w:rPr>
          <w:lang w:val="en-GB"/>
        </w:rPr>
        <w:t>.</w:t>
      </w:r>
    </w:p>
    <w:p w14:paraId="1CEF4E90" w14:textId="77777777" w:rsidR="00ED27A2" w:rsidRDefault="00ED27A2" w:rsidP="00ED27A2">
      <w:pPr>
        <w:pStyle w:val="Reference"/>
        <w:numPr>
          <w:ilvl w:val="0"/>
          <w:numId w:val="6"/>
        </w:numPr>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6" w:history="1">
        <w:r w:rsidRPr="000E1427">
          <w:rPr>
            <w:rStyle w:val="Hyperlink"/>
            <w:lang w:val="en-GB"/>
          </w:rPr>
          <w:t>https://geopandas.org/en/v0.8.2/index.html</w:t>
        </w:r>
      </w:hyperlink>
      <w:r w:rsidRPr="0022627D">
        <w:rPr>
          <w:lang w:val="en-GB"/>
        </w:rPr>
        <w:t>.</w:t>
      </w:r>
    </w:p>
    <w:p w14:paraId="23A5AE46" w14:textId="77777777" w:rsidR="00ED27A2" w:rsidRDefault="00ED27A2" w:rsidP="00ED27A2">
      <w:pPr>
        <w:pStyle w:val="Reference"/>
        <w:numPr>
          <w:ilvl w:val="0"/>
          <w:numId w:val="6"/>
        </w:numPr>
        <w:rPr>
          <w:lang w:val="en-GB"/>
        </w:rPr>
      </w:pPr>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7" w:history="1">
        <w:r w:rsidRPr="00987F93">
          <w:rPr>
            <w:rStyle w:val="Hyperlink"/>
            <w:lang w:val="en-GB"/>
          </w:rPr>
          <w:t>http://alkaline-ml.com/pmdarima</w:t>
        </w:r>
      </w:hyperlink>
      <w:r w:rsidRPr="001E78F2">
        <w:rPr>
          <w:lang w:val="en-GB"/>
        </w:rPr>
        <w:t>.</w:t>
      </w:r>
    </w:p>
    <w:p w14:paraId="261B839B" w14:textId="77777777" w:rsidR="00ED27A2" w:rsidRDefault="00ED27A2" w:rsidP="00ED27A2">
      <w:pPr>
        <w:pStyle w:val="Reference"/>
        <w:numPr>
          <w:ilvl w:val="0"/>
          <w:numId w:val="6"/>
        </w:numPr>
        <w:rPr>
          <w:lang w:val="en-GB"/>
        </w:rPr>
      </w:pPr>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8" w:history="1">
        <w:r w:rsidRPr="006130BE">
          <w:rPr>
            <w:rStyle w:val="Hyperlink"/>
            <w:lang w:val="en-GB"/>
          </w:rPr>
          <w:t>https://xgboost.readthedocs.io/en/stable/</w:t>
        </w:r>
      </w:hyperlink>
      <w:r w:rsidRPr="00B54533">
        <w:rPr>
          <w:lang w:val="en-GB"/>
        </w:rPr>
        <w:t>.</w:t>
      </w:r>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39"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proofErr w:type="spellStart"/>
      <w:r w:rsidRPr="005F6CB6">
        <w:rPr>
          <w:lang w:val="en-GB"/>
        </w:rPr>
        <w:t>Bitfuul</w:t>
      </w:r>
      <w:proofErr w:type="spellEnd"/>
      <w:r w:rsidRPr="005F6CB6">
        <w:rPr>
          <w:lang w:val="en-GB"/>
        </w:rPr>
        <w:t xml:space="preserve">. ‘Split Your Image Online for Free without Any Limits’, 2021. </w:t>
      </w:r>
      <w:hyperlink r:id="rId40" w:history="1">
        <w:r w:rsidRPr="00AC39F2">
          <w:rPr>
            <w:rStyle w:val="Hyperlink"/>
            <w:lang w:val="en-GB"/>
          </w:rPr>
          <w:t>https://bitfuul.com/split-image</w:t>
        </w:r>
      </w:hyperlink>
      <w:r w:rsidRPr="005F6CB6">
        <w:rPr>
          <w:lang w:val="en-GB"/>
        </w:rPr>
        <w:t>.</w:t>
      </w:r>
    </w:p>
    <w:p w14:paraId="1D7F7BCB" w14:textId="77777777" w:rsidR="00ED27A2" w:rsidRPr="00667650" w:rsidRDefault="00ED27A2" w:rsidP="00ED27A2">
      <w:pPr>
        <w:pStyle w:val="Reference"/>
        <w:numPr>
          <w:ilvl w:val="0"/>
          <w:numId w:val="6"/>
        </w:numPr>
        <w:rPr>
          <w:lang w:val="en-GB"/>
        </w:rPr>
      </w:pPr>
      <w:proofErr w:type="spellStart"/>
      <w:r w:rsidRPr="005F6CB6">
        <w:rPr>
          <w:lang w:val="en-GB"/>
        </w:rPr>
        <w:t>Imgflip</w:t>
      </w:r>
      <w:proofErr w:type="spellEnd"/>
      <w:r w:rsidRPr="005F6CB6">
        <w:rPr>
          <w:lang w:val="en-GB"/>
        </w:rPr>
        <w:t>. ‘</w:t>
      </w:r>
      <w:proofErr w:type="spellStart"/>
      <w:r w:rsidRPr="005F6CB6">
        <w:rPr>
          <w:lang w:val="en-GB"/>
        </w:rPr>
        <w:t>Imgflip</w:t>
      </w:r>
      <w:proofErr w:type="spellEnd"/>
      <w:r w:rsidRPr="005F6CB6">
        <w:rPr>
          <w:lang w:val="en-GB"/>
        </w:rPr>
        <w:t xml:space="preserve"> - Create and Share Awesome Images’, 2022. </w:t>
      </w:r>
      <w:hyperlink r:id="rId41" w:history="1">
        <w:r w:rsidRPr="00AC39F2">
          <w:rPr>
            <w:rStyle w:val="Hyperlink"/>
            <w:lang w:val="en-GB"/>
          </w:rPr>
          <w:t>https://imgflip.com/</w:t>
        </w:r>
      </w:hyperlink>
      <w:r w:rsidRPr="005F6CB6">
        <w:rPr>
          <w:lang w:val="en-GB"/>
        </w:rPr>
        <w:t>.</w:t>
      </w:r>
    </w:p>
    <w:p w14:paraId="3EBCE06E" w14:textId="77777777" w:rsidR="00ED27A2" w:rsidRDefault="00ED27A2" w:rsidP="00ED27A2">
      <w:pPr>
        <w:pStyle w:val="Reference"/>
        <w:numPr>
          <w:ilvl w:val="0"/>
          <w:numId w:val="0"/>
        </w:numPr>
        <w:ind w:left="360" w:hanging="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economic_activity_economically_active_unemployed</w:t>
      </w:r>
      <w:proofErr w:type="spellEnd"/>
    </w:p>
    <w:p w14:paraId="55BE08E6"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economic_activity_economically_active_full-time_student</w:t>
      </w:r>
      <w:proofErr w:type="spellEnd"/>
    </w:p>
    <w:p w14:paraId="76683E09"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economic_activity_economically_inactive_total</w:t>
      </w:r>
      <w:proofErr w:type="spellEnd"/>
    </w:p>
    <w:p w14:paraId="1820E159" w14:textId="77777777" w:rsidR="00ED27A2" w:rsidRPr="00F9218C" w:rsidRDefault="00ED27A2" w:rsidP="00ED27A2">
      <w:pPr>
        <w:pStyle w:val="Reference"/>
        <w:numPr>
          <w:ilvl w:val="0"/>
          <w:numId w:val="45"/>
        </w:numPr>
        <w:rPr>
          <w:lang w:val="en-GB"/>
        </w:rPr>
      </w:pPr>
      <w:proofErr w:type="spellStart"/>
      <w:r w:rsidRPr="00F9218C">
        <w:rPr>
          <w:lang w:val="en-GB"/>
        </w:rPr>
        <w:t>general_health_bad_health</w:t>
      </w:r>
      <w:proofErr w:type="spellEnd"/>
    </w:p>
    <w:p w14:paraId="4071D365" w14:textId="77777777" w:rsidR="00ED27A2" w:rsidRPr="00F9218C" w:rsidRDefault="00ED27A2" w:rsidP="00ED27A2">
      <w:pPr>
        <w:pStyle w:val="Reference"/>
        <w:numPr>
          <w:ilvl w:val="0"/>
          <w:numId w:val="45"/>
        </w:numPr>
        <w:rPr>
          <w:lang w:val="en-GB"/>
        </w:rPr>
      </w:pPr>
      <w:proofErr w:type="spellStart"/>
      <w:r w:rsidRPr="00F9218C">
        <w:rPr>
          <w:lang w:val="en-GB"/>
        </w:rPr>
        <w:t>general_health_very_bad_health</w:t>
      </w:r>
      <w:proofErr w:type="spellEnd"/>
    </w:p>
    <w:p w14:paraId="69C7AF24" w14:textId="77777777" w:rsidR="00ED27A2" w:rsidRPr="00F9218C" w:rsidRDefault="00ED27A2" w:rsidP="00ED27A2">
      <w:pPr>
        <w:pStyle w:val="Reference"/>
        <w:numPr>
          <w:ilvl w:val="0"/>
          <w:numId w:val="45"/>
        </w:numPr>
        <w:rPr>
          <w:lang w:val="en-GB"/>
        </w:rPr>
      </w:pPr>
      <w:proofErr w:type="spellStart"/>
      <w:r w:rsidRPr="00F9218C">
        <w:rPr>
          <w:lang w:val="en-GB"/>
        </w:rPr>
        <w:t>qualification_no_qualifications</w:t>
      </w:r>
      <w:proofErr w:type="spellEnd"/>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method_of_travel_to_work_work_mainly_at_or_from_home</w:t>
      </w:r>
      <w:proofErr w:type="spellEnd"/>
    </w:p>
    <w:p w14:paraId="1068D879"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method_of_travel_to_work_taxi</w:t>
      </w:r>
      <w:proofErr w:type="spellEnd"/>
    </w:p>
    <w:p w14:paraId="214542A5"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method_of_travel_to_work_bus_minibus_or_coach</w:t>
      </w:r>
      <w:proofErr w:type="spellEnd"/>
    </w:p>
    <w:p w14:paraId="791A7F9E"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method_of_travel_to_work_motorcycle_scooter_or_moped</w:t>
      </w:r>
      <w:proofErr w:type="spellEnd"/>
    </w:p>
    <w:p w14:paraId="089EBBC6"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method_of_travel_to_work_passenger_in_a_car_or_van</w:t>
      </w:r>
      <w:proofErr w:type="spellEnd"/>
    </w:p>
    <w:p w14:paraId="628B5132" w14:textId="71427D16" w:rsidR="00D14D97" w:rsidRPr="00ED27A2" w:rsidRDefault="00ED27A2" w:rsidP="00ED27A2">
      <w:pPr>
        <w:pStyle w:val="Reference"/>
        <w:numPr>
          <w:ilvl w:val="0"/>
          <w:numId w:val="45"/>
        </w:numPr>
        <w:rPr>
          <w:lang w:val="en-GB"/>
        </w:rPr>
      </w:pPr>
      <w:proofErr w:type="spellStart"/>
      <w:r w:rsidRPr="00F9218C">
        <w:rPr>
          <w:lang w:val="en-GB"/>
        </w:rPr>
        <w:t>method_of_travel_to_work_on_foot</w:t>
      </w:r>
      <w:proofErr w:type="spellEnd"/>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EC9D4" w14:textId="77777777" w:rsidR="0008144B" w:rsidRDefault="0008144B" w:rsidP="0023500F">
      <w:r>
        <w:separator/>
      </w:r>
    </w:p>
  </w:endnote>
  <w:endnote w:type="continuationSeparator" w:id="0">
    <w:p w14:paraId="7B5C60E5" w14:textId="77777777" w:rsidR="0008144B" w:rsidRDefault="0008144B"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0453D" w14:textId="77777777" w:rsidR="0008144B" w:rsidRDefault="0008144B" w:rsidP="0023500F">
      <w:r>
        <w:separator/>
      </w:r>
    </w:p>
  </w:footnote>
  <w:footnote w:type="continuationSeparator" w:id="0">
    <w:p w14:paraId="1C602CD2" w14:textId="77777777" w:rsidR="0008144B" w:rsidRDefault="0008144B"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52B6"/>
    <w:rsid w:val="0008144B"/>
    <w:rsid w:val="000A7067"/>
    <w:rsid w:val="000D72ED"/>
    <w:rsid w:val="00101090"/>
    <w:rsid w:val="00101756"/>
    <w:rsid w:val="00122DAD"/>
    <w:rsid w:val="00141153"/>
    <w:rsid w:val="001530A7"/>
    <w:rsid w:val="00157836"/>
    <w:rsid w:val="00184F25"/>
    <w:rsid w:val="00194142"/>
    <w:rsid w:val="001A7E71"/>
    <w:rsid w:val="001C1B1F"/>
    <w:rsid w:val="001D68C4"/>
    <w:rsid w:val="00203F7D"/>
    <w:rsid w:val="0023500F"/>
    <w:rsid w:val="003250BE"/>
    <w:rsid w:val="003946F2"/>
    <w:rsid w:val="003B391C"/>
    <w:rsid w:val="0040736F"/>
    <w:rsid w:val="004273E9"/>
    <w:rsid w:val="004B44B5"/>
    <w:rsid w:val="004E7CF3"/>
    <w:rsid w:val="005355E2"/>
    <w:rsid w:val="00577DF8"/>
    <w:rsid w:val="005F2D01"/>
    <w:rsid w:val="006616A1"/>
    <w:rsid w:val="006F054A"/>
    <w:rsid w:val="00702B24"/>
    <w:rsid w:val="00723A67"/>
    <w:rsid w:val="007401B6"/>
    <w:rsid w:val="007B6836"/>
    <w:rsid w:val="007D0776"/>
    <w:rsid w:val="00804616"/>
    <w:rsid w:val="00807E59"/>
    <w:rsid w:val="008E229D"/>
    <w:rsid w:val="00922D03"/>
    <w:rsid w:val="009458D8"/>
    <w:rsid w:val="009D6677"/>
    <w:rsid w:val="009D7B61"/>
    <w:rsid w:val="009F45A1"/>
    <w:rsid w:val="00A07B64"/>
    <w:rsid w:val="00A116DD"/>
    <w:rsid w:val="00A23FFA"/>
    <w:rsid w:val="00A56A37"/>
    <w:rsid w:val="00B30732"/>
    <w:rsid w:val="00B64FF6"/>
    <w:rsid w:val="00BC7B93"/>
    <w:rsid w:val="00BF40C8"/>
    <w:rsid w:val="00BF4F16"/>
    <w:rsid w:val="00C32EF4"/>
    <w:rsid w:val="00C3647A"/>
    <w:rsid w:val="00C46B6F"/>
    <w:rsid w:val="00C60F4E"/>
    <w:rsid w:val="00CF2F15"/>
    <w:rsid w:val="00D01B4C"/>
    <w:rsid w:val="00D13CA7"/>
    <w:rsid w:val="00D14D97"/>
    <w:rsid w:val="00D435D4"/>
    <w:rsid w:val="00D46DA5"/>
    <w:rsid w:val="00DC211E"/>
    <w:rsid w:val="00DD0E43"/>
    <w:rsid w:val="00DF7EAC"/>
    <w:rsid w:val="00E01066"/>
    <w:rsid w:val="00E75FC1"/>
    <w:rsid w:val="00ED27A2"/>
    <w:rsid w:val="00ED294C"/>
    <w:rsid w:val="00F20817"/>
    <w:rsid w:val="00F53FB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9" Type="http://schemas.openxmlformats.org/officeDocument/2006/relationships/hyperlink" Target="https://github.com/SL477/VA-Coursework" TargetMode="External"/><Relationship Id="rId3" Type="http://schemas.openxmlformats.org/officeDocument/2006/relationships/settings" Target="settings.xml"/><Relationship Id="rId21" Type="http://schemas.openxmlformats.org/officeDocument/2006/relationships/hyperlink" Target="http://census.ukdataservice.ac.uk/get-data/boundary-data.aspx" TargetMode="External"/><Relationship Id="rId34" Type="http://schemas.openxmlformats.org/officeDocument/2006/relationships/hyperlink" Target="https://scikit-learn.org/stable/" TargetMode="External"/><Relationship Id="rId42"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doi.org/10.1101/2020.02.16.20023754" TargetMode="External"/><Relationship Id="rId33" Type="http://schemas.openxmlformats.org/officeDocument/2006/relationships/hyperlink" Target="https://www.statsmodels.org/dev/index.html" TargetMode="External"/><Relationship Id="rId38" Type="http://schemas.openxmlformats.org/officeDocument/2006/relationships/hyperlink" Target="https://xgboost.readthedocs.io/en/stabl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iscover.ukdataservice.ac.uk/catalogue/?sn=5819&amp;type=Data%20catalogue" TargetMode="External"/><Relationship Id="rId29" Type="http://schemas.openxmlformats.org/officeDocument/2006/relationships/hyperlink" Target="https://geoportal.statistics.gov.uk/datasets/ons::local-authority-districts-may-2021-uk-bfe/about" TargetMode="External"/><Relationship Id="rId41" Type="http://schemas.openxmlformats.org/officeDocument/2006/relationships/hyperlink" Target="https://imgfli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1/2020.02.26.20028167" TargetMode="External"/><Relationship Id="rId32" Type="http://schemas.openxmlformats.org/officeDocument/2006/relationships/hyperlink" Target="https://www.scikit-yb.org/en/latest/index.html" TargetMode="External"/><Relationship Id="rId37" Type="http://schemas.openxmlformats.org/officeDocument/2006/relationships/hyperlink" Target="http://alkaline-ml.com/pmdarima" TargetMode="External"/><Relationship Id="rId40" Type="http://schemas.openxmlformats.org/officeDocument/2006/relationships/hyperlink" Target="https://bitfuul.com/split-image"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pandas.pydata.org/" TargetMode="External"/><Relationship Id="rId28" Type="http://schemas.openxmlformats.org/officeDocument/2006/relationships/hyperlink" Target="https://doi.org/10.1101/2020.02.12.20022566" TargetMode="External"/><Relationship Id="rId36" Type="http://schemas.openxmlformats.org/officeDocument/2006/relationships/hyperlink" Target="https://geopandas.org/en/v0.8.2/index.html" TargetMode="External"/><Relationship Id="rId10" Type="http://schemas.openxmlformats.org/officeDocument/2006/relationships/image" Target="media/image3.png"/><Relationship Id="rId19" Type="http://schemas.openxmlformats.org/officeDocument/2006/relationships/hyperlink" Target="https://coronavirus.data.gov.uk/details/cases?areaType=overview&amp;areaName=United%20Kingdom" TargetMode="External"/><Relationship Id="rId31" Type="http://schemas.openxmlformats.org/officeDocument/2006/relationships/hyperlink" Target="https://doi.org/10.21105/joss.0302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microsoft.com/en-us/microsoft-365/excel" TargetMode="External"/><Relationship Id="rId27" Type="http://schemas.openxmlformats.org/officeDocument/2006/relationships/hyperlink" Target="https://doi.org/10.1109/OJEMB.2021.3096135" TargetMode="External"/><Relationship Id="rId30" Type="http://schemas.openxmlformats.org/officeDocument/2006/relationships/hyperlink" Target="https://www.tableau.com/node/62770" TargetMode="External"/><Relationship Id="rId35" Type="http://schemas.openxmlformats.org/officeDocument/2006/relationships/hyperlink" Target="https://doi.org/10.1002/9780470382776.ch4"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4351</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29094</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2</cp:revision>
  <cp:lastPrinted>2009-03-17T19:21:00Z</cp:lastPrinted>
  <dcterms:created xsi:type="dcterms:W3CDTF">2022-01-07T20:59:00Z</dcterms:created>
  <dcterms:modified xsi:type="dcterms:W3CDTF">2022-01-07T20:59:00Z</dcterms:modified>
</cp:coreProperties>
</file>