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BA1" w:rsidRDefault="00CD6BA1" w:rsidP="007C53D4">
      <w:pPr>
        <w:jc w:val="center"/>
        <w:rPr>
          <w:b/>
          <w:sz w:val="36"/>
        </w:rPr>
      </w:pPr>
      <w:r w:rsidRPr="007C53D4">
        <w:rPr>
          <w:b/>
          <w:sz w:val="36"/>
        </w:rPr>
        <w:t>FY13 This is GSA</w:t>
      </w:r>
    </w:p>
    <w:p w:rsidR="007C53D4" w:rsidRPr="007C53D4" w:rsidRDefault="007C53D4" w:rsidP="007C53D4">
      <w:pPr>
        <w:jc w:val="center"/>
        <w:rPr>
          <w:b/>
          <w:sz w:val="36"/>
        </w:rPr>
      </w:pPr>
    </w:p>
    <w:p w:rsidR="00CD6BA1" w:rsidRDefault="00CD6BA1" w:rsidP="00CD6BA1">
      <w:pPr>
        <w:jc w:val="center"/>
        <w:rPr>
          <w:b/>
        </w:rPr>
      </w:pPr>
    </w:p>
    <w:p w:rsidR="001C265C" w:rsidRPr="008D2978" w:rsidRDefault="00CD6BA1">
      <w:pPr>
        <w:pBdr>
          <w:bottom w:val="single" w:sz="6" w:space="1" w:color="auto"/>
        </w:pBdr>
        <w:rPr>
          <w:b/>
          <w:sz w:val="28"/>
        </w:rPr>
      </w:pPr>
      <w:r w:rsidRPr="008D2978">
        <w:rPr>
          <w:b/>
          <w:sz w:val="28"/>
        </w:rPr>
        <w:t>A</w:t>
      </w:r>
      <w:r w:rsidR="008D2978">
        <w:rPr>
          <w:b/>
          <w:sz w:val="28"/>
        </w:rPr>
        <w:t>GENCY DATA</w:t>
      </w:r>
    </w:p>
    <w:p w:rsidR="008D2978" w:rsidRDefault="008D2978">
      <w:pPr>
        <w:rPr>
          <w:b/>
        </w:rPr>
      </w:pPr>
    </w:p>
    <w:p w:rsidR="00CD6BA1" w:rsidRDefault="00CD6BA1">
      <w:pPr>
        <w:rPr>
          <w:b/>
        </w:rPr>
      </w:pPr>
      <w:r w:rsidRPr="00CD6BA1">
        <w:rPr>
          <w:b/>
        </w:rPr>
        <w:t>Revenue, Expenses and Net Cost</w:t>
      </w:r>
    </w:p>
    <w:p w:rsidR="00CD6BA1" w:rsidRPr="00CD6BA1" w:rsidRDefault="00CD6BA1" w:rsidP="00CD6BA1">
      <w:pPr>
        <w:rPr>
          <w:sz w:val="20"/>
          <w:szCs w:val="20"/>
        </w:rPr>
      </w:pPr>
      <w:r w:rsidRPr="00CD6BA1">
        <w:rPr>
          <w:sz w:val="20"/>
          <w:szCs w:val="20"/>
        </w:rPr>
        <w:t xml:space="preserve">GSA’s revenues and expenses have consistently shown gradual increases over time, as the level of business in building space rentals and acquisition of goods and services for other agencies have grown.  Net Revenues are generated in the two major revolving funds in order to support continued capital investments in building modernization and alterations, as well as fleet vehicle replacement, and other investment initiatives.  Net Revenues are generally stable at GSA.  One exception seen below, occurred in fiscal year 2011, when GSA changed its accounting recognition for costs associated with environmental clean-up.  For additional information on changes in GSA’s Net Revenues, and greater detail by major business activity, please see the Agency Financial Reports (AFR) which </w:t>
      </w:r>
      <w:proofErr w:type="gramStart"/>
      <w:r w:rsidRPr="00CD6BA1">
        <w:rPr>
          <w:sz w:val="20"/>
          <w:szCs w:val="20"/>
        </w:rPr>
        <w:t>provide</w:t>
      </w:r>
      <w:proofErr w:type="gramEnd"/>
      <w:r w:rsidRPr="00CD6BA1">
        <w:rPr>
          <w:sz w:val="20"/>
          <w:szCs w:val="20"/>
        </w:rPr>
        <w:t xml:space="preserve"> analysis on each year’s comparative financial statements. </w:t>
      </w:r>
    </w:p>
    <w:p w:rsidR="00CD6BA1" w:rsidRDefault="00CD6BA1">
      <w:pPr>
        <w:rPr>
          <w:b/>
        </w:rPr>
      </w:pPr>
    </w:p>
    <w:tbl>
      <w:tblPr>
        <w:tblW w:w="513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1440"/>
        <w:gridCol w:w="1440"/>
        <w:gridCol w:w="1170"/>
      </w:tblGrid>
      <w:tr w:rsidR="00CD6BA1" w:rsidRPr="00CD6BA1" w:rsidTr="00CD6BA1">
        <w:trPr>
          <w:trHeight w:val="228"/>
        </w:trPr>
        <w:tc>
          <w:tcPr>
            <w:tcW w:w="1085"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FY</w:t>
            </w:r>
          </w:p>
        </w:tc>
        <w:tc>
          <w:tcPr>
            <w:tcW w:w="1440"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Revenues</w:t>
            </w:r>
          </w:p>
        </w:tc>
        <w:tc>
          <w:tcPr>
            <w:tcW w:w="1440"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Expenses</w:t>
            </w:r>
          </w:p>
        </w:tc>
        <w:tc>
          <w:tcPr>
            <w:tcW w:w="1170"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Net Cost</w:t>
            </w:r>
          </w:p>
        </w:tc>
      </w:tr>
      <w:tr w:rsidR="00CD6BA1" w:rsidRPr="00CD6BA1" w:rsidTr="00CD6BA1">
        <w:trPr>
          <w:trHeight w:val="228"/>
        </w:trPr>
        <w:tc>
          <w:tcPr>
            <w:tcW w:w="1085" w:type="dxa"/>
            <w:shd w:val="clear" w:color="DBE5F1" w:fill="DBE5F1"/>
            <w:noWrap/>
            <w:vAlign w:val="bottom"/>
            <w:hideMark/>
          </w:tcPr>
          <w:p w:rsidR="00CD6BA1" w:rsidRPr="00CD6BA1" w:rsidRDefault="00CD6BA1" w:rsidP="00CD6BA1">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FY2007</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$ 16,873 </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Pr>
                <w:rFonts w:ascii="Arial" w:eastAsia="Times New Roman" w:hAnsi="Arial" w:cs="Arial"/>
                <w:color w:val="000000"/>
                <w:sz w:val="22"/>
                <w:szCs w:val="22"/>
                <w:lang w:bidi="ar-SA"/>
              </w:rPr>
              <w:t xml:space="preserve"> $</w:t>
            </w:r>
            <w:r w:rsidRPr="00CD6BA1">
              <w:rPr>
                <w:rFonts w:ascii="Arial" w:eastAsia="Times New Roman" w:hAnsi="Arial" w:cs="Arial"/>
                <w:color w:val="000000"/>
                <w:sz w:val="22"/>
                <w:szCs w:val="22"/>
                <w:lang w:bidi="ar-SA"/>
              </w:rPr>
              <w:t xml:space="preserve"> 16,385 </w:t>
            </w:r>
          </w:p>
        </w:tc>
        <w:tc>
          <w:tcPr>
            <w:tcW w:w="117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w:t>
            </w:r>
            <w:r>
              <w:rPr>
                <w:rFonts w:ascii="Arial" w:eastAsia="Times New Roman" w:hAnsi="Arial" w:cs="Arial"/>
                <w:color w:val="000000"/>
                <w:sz w:val="22"/>
                <w:szCs w:val="22"/>
                <w:lang w:bidi="ar-SA"/>
              </w:rPr>
              <w:t xml:space="preserve"> </w:t>
            </w:r>
            <w:r w:rsidRPr="00CD6BA1">
              <w:rPr>
                <w:rFonts w:ascii="Arial" w:eastAsia="Times New Roman" w:hAnsi="Arial" w:cs="Arial"/>
                <w:color w:val="000000"/>
                <w:sz w:val="22"/>
                <w:szCs w:val="22"/>
                <w:lang w:bidi="ar-SA"/>
              </w:rPr>
              <w:t xml:space="preserve">488 </w:t>
            </w:r>
          </w:p>
        </w:tc>
      </w:tr>
      <w:tr w:rsidR="00CD6BA1" w:rsidRPr="00CD6BA1" w:rsidTr="00CD6BA1">
        <w:trPr>
          <w:trHeight w:val="228"/>
        </w:trPr>
        <w:tc>
          <w:tcPr>
            <w:tcW w:w="1085" w:type="dxa"/>
            <w:shd w:val="clear" w:color="auto" w:fill="auto"/>
            <w:noWrap/>
            <w:vAlign w:val="bottom"/>
            <w:hideMark/>
          </w:tcPr>
          <w:p w:rsidR="00CD6BA1" w:rsidRPr="00CD6BA1" w:rsidRDefault="00CD6BA1" w:rsidP="00CD6BA1">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FY2008</w:t>
            </w:r>
          </w:p>
        </w:tc>
        <w:tc>
          <w:tcPr>
            <w:tcW w:w="144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$ 17,683 </w:t>
            </w:r>
          </w:p>
        </w:tc>
        <w:tc>
          <w:tcPr>
            <w:tcW w:w="144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$ 17,225 </w:t>
            </w:r>
          </w:p>
        </w:tc>
        <w:tc>
          <w:tcPr>
            <w:tcW w:w="117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$ 458 </w:t>
            </w:r>
          </w:p>
        </w:tc>
      </w:tr>
      <w:tr w:rsidR="00CD6BA1" w:rsidRPr="00CD6BA1" w:rsidTr="00CD6BA1">
        <w:trPr>
          <w:trHeight w:val="228"/>
        </w:trPr>
        <w:tc>
          <w:tcPr>
            <w:tcW w:w="1085" w:type="dxa"/>
            <w:shd w:val="clear" w:color="DBE5F1" w:fill="DBE5F1"/>
            <w:noWrap/>
            <w:vAlign w:val="bottom"/>
            <w:hideMark/>
          </w:tcPr>
          <w:p w:rsidR="00CD6BA1" w:rsidRPr="00CD6BA1" w:rsidRDefault="00CD6BA1" w:rsidP="00CD6BA1">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FY2009</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$ 18,748 </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$ 18,356 </w:t>
            </w:r>
          </w:p>
        </w:tc>
        <w:tc>
          <w:tcPr>
            <w:tcW w:w="117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$ 392 </w:t>
            </w:r>
          </w:p>
        </w:tc>
      </w:tr>
      <w:tr w:rsidR="00CD6BA1" w:rsidRPr="00CD6BA1" w:rsidTr="00CD6BA1">
        <w:trPr>
          <w:trHeight w:val="228"/>
        </w:trPr>
        <w:tc>
          <w:tcPr>
            <w:tcW w:w="1085" w:type="dxa"/>
            <w:shd w:val="clear" w:color="auto" w:fill="auto"/>
            <w:noWrap/>
            <w:vAlign w:val="bottom"/>
            <w:hideMark/>
          </w:tcPr>
          <w:p w:rsidR="00CD6BA1" w:rsidRPr="00CD6BA1" w:rsidRDefault="00CD6BA1" w:rsidP="00CD6BA1">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FY2010</w:t>
            </w:r>
          </w:p>
        </w:tc>
        <w:tc>
          <w:tcPr>
            <w:tcW w:w="144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$ 19,542 </w:t>
            </w:r>
          </w:p>
        </w:tc>
        <w:tc>
          <w:tcPr>
            <w:tcW w:w="144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$ 19,275 </w:t>
            </w:r>
          </w:p>
        </w:tc>
        <w:tc>
          <w:tcPr>
            <w:tcW w:w="117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$ 267 </w:t>
            </w:r>
          </w:p>
        </w:tc>
      </w:tr>
      <w:tr w:rsidR="00CD6BA1" w:rsidRPr="00CD6BA1" w:rsidTr="00CD6BA1">
        <w:trPr>
          <w:trHeight w:val="228"/>
        </w:trPr>
        <w:tc>
          <w:tcPr>
            <w:tcW w:w="1085" w:type="dxa"/>
            <w:shd w:val="clear" w:color="DBE5F1" w:fill="DBE5F1"/>
            <w:noWrap/>
            <w:vAlign w:val="bottom"/>
            <w:hideMark/>
          </w:tcPr>
          <w:p w:rsidR="00CD6BA1" w:rsidRPr="00CD6BA1" w:rsidRDefault="00CD6BA1" w:rsidP="00CD6BA1">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FY2011</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$ 20,226 </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20,193 </w:t>
            </w:r>
          </w:p>
        </w:tc>
        <w:tc>
          <w:tcPr>
            <w:tcW w:w="117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$ 33 </w:t>
            </w:r>
          </w:p>
        </w:tc>
      </w:tr>
      <w:tr w:rsidR="00CD6BA1" w:rsidRPr="00CD6BA1" w:rsidTr="00CD6BA1">
        <w:trPr>
          <w:trHeight w:val="228"/>
        </w:trPr>
        <w:tc>
          <w:tcPr>
            <w:tcW w:w="1085" w:type="dxa"/>
            <w:shd w:val="clear" w:color="auto" w:fill="auto"/>
            <w:noWrap/>
            <w:vAlign w:val="bottom"/>
            <w:hideMark/>
          </w:tcPr>
          <w:p w:rsidR="00CD6BA1" w:rsidRPr="00CD6BA1" w:rsidRDefault="00CD6BA1" w:rsidP="00CD6BA1">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FY2012</w:t>
            </w:r>
          </w:p>
        </w:tc>
        <w:tc>
          <w:tcPr>
            <w:tcW w:w="144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w:t>
            </w:r>
            <w:r>
              <w:rPr>
                <w:rFonts w:ascii="Arial" w:eastAsia="Times New Roman" w:hAnsi="Arial" w:cs="Arial"/>
                <w:color w:val="000000"/>
                <w:sz w:val="22"/>
                <w:szCs w:val="22"/>
                <w:lang w:bidi="ar-SA"/>
              </w:rPr>
              <w:t xml:space="preserve"> </w:t>
            </w:r>
            <w:r w:rsidRPr="00CD6BA1">
              <w:rPr>
                <w:rFonts w:ascii="Arial" w:eastAsia="Times New Roman" w:hAnsi="Arial" w:cs="Arial"/>
                <w:color w:val="000000"/>
                <w:sz w:val="22"/>
                <w:szCs w:val="22"/>
                <w:lang w:bidi="ar-SA"/>
              </w:rPr>
              <w:t xml:space="preserve">21,043 </w:t>
            </w:r>
          </w:p>
        </w:tc>
        <w:tc>
          <w:tcPr>
            <w:tcW w:w="144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20,907 </w:t>
            </w:r>
          </w:p>
        </w:tc>
        <w:tc>
          <w:tcPr>
            <w:tcW w:w="1170" w:type="dxa"/>
            <w:shd w:val="clear" w:color="auto" w:fill="auto"/>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$ 136 </w:t>
            </w:r>
          </w:p>
        </w:tc>
      </w:tr>
      <w:tr w:rsidR="00CD6BA1" w:rsidRPr="00CD6BA1" w:rsidTr="00CD6BA1">
        <w:trPr>
          <w:trHeight w:val="228"/>
        </w:trPr>
        <w:tc>
          <w:tcPr>
            <w:tcW w:w="1085" w:type="dxa"/>
            <w:shd w:val="clear" w:color="DBE5F1" w:fill="DBE5F1"/>
            <w:noWrap/>
            <w:vAlign w:val="bottom"/>
            <w:hideMark/>
          </w:tcPr>
          <w:p w:rsidR="00CD6BA1" w:rsidRPr="00CD6BA1" w:rsidRDefault="00CD6BA1" w:rsidP="00CD6BA1">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FY2013</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$ 20,685 </w:t>
            </w:r>
          </w:p>
        </w:tc>
        <w:tc>
          <w:tcPr>
            <w:tcW w:w="144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w:t>
            </w:r>
            <w:r>
              <w:rPr>
                <w:rFonts w:ascii="Arial" w:eastAsia="Times New Roman" w:hAnsi="Arial" w:cs="Arial"/>
                <w:color w:val="000000"/>
                <w:sz w:val="22"/>
                <w:szCs w:val="22"/>
                <w:lang w:bidi="ar-SA"/>
              </w:rPr>
              <w:t xml:space="preserve"> </w:t>
            </w:r>
            <w:r w:rsidRPr="00CD6BA1">
              <w:rPr>
                <w:rFonts w:ascii="Arial" w:eastAsia="Times New Roman" w:hAnsi="Arial" w:cs="Arial"/>
                <w:color w:val="000000"/>
                <w:sz w:val="22"/>
                <w:szCs w:val="22"/>
                <w:lang w:bidi="ar-SA"/>
              </w:rPr>
              <w:t xml:space="preserve"> 20,379 </w:t>
            </w:r>
          </w:p>
        </w:tc>
        <w:tc>
          <w:tcPr>
            <w:tcW w:w="1170" w:type="dxa"/>
            <w:shd w:val="clear" w:color="DBE5F1" w:fill="DBE5F1"/>
            <w:noWrap/>
            <w:vAlign w:val="bottom"/>
            <w:hideMark/>
          </w:tcPr>
          <w:p w:rsidR="00CD6BA1" w:rsidRPr="00CD6BA1" w:rsidRDefault="00CD6BA1" w:rsidP="00CD6BA1">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$ 306 </w:t>
            </w:r>
          </w:p>
        </w:tc>
      </w:tr>
    </w:tbl>
    <w:p w:rsidR="00CD6BA1" w:rsidRDefault="00CD6BA1">
      <w:pPr>
        <w:rPr>
          <w:b/>
        </w:rPr>
      </w:pPr>
    </w:p>
    <w:p w:rsidR="00CD6BA1" w:rsidRDefault="00CD6BA1">
      <w:pPr>
        <w:rPr>
          <w:b/>
        </w:rPr>
      </w:pPr>
    </w:p>
    <w:p w:rsidR="00CD6BA1" w:rsidRDefault="00CD6BA1">
      <w:pPr>
        <w:rPr>
          <w:b/>
        </w:rPr>
      </w:pPr>
      <w:r w:rsidRPr="00CD6BA1">
        <w:rPr>
          <w:b/>
        </w:rPr>
        <w:t>Total Assets, Total Liabilities, and Net Position</w:t>
      </w:r>
    </w:p>
    <w:p w:rsidR="00CD6BA1" w:rsidRPr="00CD6BA1" w:rsidRDefault="00CD6BA1" w:rsidP="00CD6BA1">
      <w:pPr>
        <w:rPr>
          <w:sz w:val="20"/>
        </w:rPr>
      </w:pPr>
      <w:r w:rsidRPr="00CD6BA1">
        <w:rPr>
          <w:sz w:val="20"/>
        </w:rPr>
        <w:t xml:space="preserve"> GSA’s assets and liabilities have generally shown gradual growth over time, as business demand has grown, and especially tied to investments in capitalized building and vehicle assets.  Periodic exceptions occur, such as in fiscal year 2009, when GSA received appropriations of $5.9 billion as a result of the American Recovery and Reinvestment Act, primarily to support capital investments in buildings and fuel-efficient vehicles, producing the  significant increase in assets and net position that year.  Another significant change occurred in fiscal year 2013, when a new accounting standard required GSA to recognize liabilities $1.7 billion in estimated future costs of asbestos remediation, leading to the significant increase in liabilities and reduction in net position for the </w:t>
      </w:r>
      <w:proofErr w:type="gramStart"/>
      <w:r w:rsidRPr="00CD6BA1">
        <w:rPr>
          <w:sz w:val="20"/>
        </w:rPr>
        <w:t>year . </w:t>
      </w:r>
      <w:proofErr w:type="gramEnd"/>
      <w:r w:rsidRPr="00CD6BA1">
        <w:rPr>
          <w:sz w:val="20"/>
        </w:rPr>
        <w:t xml:space="preserve"> For additional information on changes in GSA’s assets, liabilities, and net position, see the Agency Financial Reports (AFR) which </w:t>
      </w:r>
      <w:proofErr w:type="gramStart"/>
      <w:r w:rsidRPr="00CD6BA1">
        <w:rPr>
          <w:sz w:val="20"/>
        </w:rPr>
        <w:t>provide</w:t>
      </w:r>
      <w:proofErr w:type="gramEnd"/>
      <w:r w:rsidRPr="00CD6BA1">
        <w:rPr>
          <w:sz w:val="20"/>
        </w:rPr>
        <w:t xml:space="preserve"> analysis on each year’s comparative financial statements. </w:t>
      </w:r>
    </w:p>
    <w:p w:rsidR="00CD6BA1" w:rsidRDefault="00CD6BA1">
      <w:pPr>
        <w:rPr>
          <w:b/>
        </w:rPr>
      </w:pPr>
    </w:p>
    <w:tbl>
      <w:tblPr>
        <w:tblW w:w="44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1080"/>
        <w:gridCol w:w="1260"/>
        <w:gridCol w:w="1084"/>
      </w:tblGrid>
      <w:tr w:rsidR="00CD6BA1" w:rsidRPr="00CD6BA1" w:rsidTr="00CD6BA1">
        <w:trPr>
          <w:trHeight w:val="300"/>
        </w:trPr>
        <w:tc>
          <w:tcPr>
            <w:tcW w:w="1085"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FY</w:t>
            </w:r>
          </w:p>
        </w:tc>
        <w:tc>
          <w:tcPr>
            <w:tcW w:w="1080"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Total Assets</w:t>
            </w:r>
          </w:p>
        </w:tc>
        <w:tc>
          <w:tcPr>
            <w:tcW w:w="1260"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Total Liabilities</w:t>
            </w:r>
          </w:p>
        </w:tc>
        <w:tc>
          <w:tcPr>
            <w:tcW w:w="990" w:type="dxa"/>
            <w:shd w:val="clear" w:color="4F81BD" w:fill="4F81BD"/>
            <w:noWrap/>
            <w:vAlign w:val="bottom"/>
            <w:hideMark/>
          </w:tcPr>
          <w:p w:rsidR="00CD6BA1" w:rsidRPr="00CD6BA1" w:rsidRDefault="00CD6BA1" w:rsidP="00CD6BA1">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Net Position</w:t>
            </w:r>
          </w:p>
        </w:tc>
      </w:tr>
      <w:tr w:rsidR="00CD6BA1" w:rsidRPr="00CD6BA1" w:rsidTr="00CD6BA1">
        <w:trPr>
          <w:trHeight w:val="300"/>
        </w:trPr>
        <w:tc>
          <w:tcPr>
            <w:tcW w:w="1085" w:type="dxa"/>
            <w:shd w:val="clear" w:color="DBE5F1" w:fill="DBE5F1"/>
            <w:noWrap/>
            <w:vAlign w:val="bottom"/>
            <w:hideMark/>
          </w:tcPr>
          <w:p w:rsidR="00CD6BA1" w:rsidRPr="00CD6BA1" w:rsidRDefault="00CD6BA1" w:rsidP="00CD6BA1">
            <w:pPr>
              <w:jc w:val="cente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FY2007</w:t>
            </w:r>
          </w:p>
        </w:tc>
        <w:tc>
          <w:tcPr>
            <w:tcW w:w="108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29</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162</w:t>
            </w:r>
          </w:p>
        </w:tc>
        <w:tc>
          <w:tcPr>
            <w:tcW w:w="126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5</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635</w:t>
            </w:r>
          </w:p>
        </w:tc>
        <w:tc>
          <w:tcPr>
            <w:tcW w:w="99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23</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527</w:t>
            </w:r>
          </w:p>
        </w:tc>
      </w:tr>
      <w:tr w:rsidR="00CD6BA1" w:rsidRPr="00CD6BA1" w:rsidTr="00CD6BA1">
        <w:trPr>
          <w:trHeight w:val="300"/>
        </w:trPr>
        <w:tc>
          <w:tcPr>
            <w:tcW w:w="1085" w:type="dxa"/>
            <w:shd w:val="clear" w:color="auto" w:fill="auto"/>
            <w:noWrap/>
            <w:vAlign w:val="bottom"/>
            <w:hideMark/>
          </w:tcPr>
          <w:p w:rsidR="00CD6BA1" w:rsidRPr="00CD6BA1" w:rsidRDefault="00CD6BA1" w:rsidP="00CD6BA1">
            <w:pPr>
              <w:jc w:val="cente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FY2008</w:t>
            </w:r>
          </w:p>
        </w:tc>
        <w:tc>
          <w:tcPr>
            <w:tcW w:w="108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30</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400</w:t>
            </w:r>
          </w:p>
        </w:tc>
        <w:tc>
          <w:tcPr>
            <w:tcW w:w="126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5</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759</w:t>
            </w:r>
          </w:p>
        </w:tc>
        <w:tc>
          <w:tcPr>
            <w:tcW w:w="99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24</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641</w:t>
            </w:r>
          </w:p>
        </w:tc>
      </w:tr>
      <w:tr w:rsidR="00CD6BA1" w:rsidRPr="00CD6BA1" w:rsidTr="00CD6BA1">
        <w:trPr>
          <w:trHeight w:val="300"/>
        </w:trPr>
        <w:tc>
          <w:tcPr>
            <w:tcW w:w="1085" w:type="dxa"/>
            <w:shd w:val="clear" w:color="DBE5F1" w:fill="DBE5F1"/>
            <w:noWrap/>
            <w:vAlign w:val="bottom"/>
            <w:hideMark/>
          </w:tcPr>
          <w:p w:rsidR="00CD6BA1" w:rsidRPr="00CD6BA1" w:rsidRDefault="00CD6BA1" w:rsidP="00CD6BA1">
            <w:pPr>
              <w:jc w:val="cente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FY2009</w:t>
            </w:r>
          </w:p>
        </w:tc>
        <w:tc>
          <w:tcPr>
            <w:tcW w:w="108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37</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700</w:t>
            </w:r>
          </w:p>
        </w:tc>
        <w:tc>
          <w:tcPr>
            <w:tcW w:w="126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5</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949</w:t>
            </w:r>
          </w:p>
        </w:tc>
        <w:tc>
          <w:tcPr>
            <w:tcW w:w="99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31</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751</w:t>
            </w:r>
          </w:p>
        </w:tc>
      </w:tr>
      <w:tr w:rsidR="00CD6BA1" w:rsidRPr="00CD6BA1" w:rsidTr="00CD6BA1">
        <w:trPr>
          <w:trHeight w:val="300"/>
        </w:trPr>
        <w:tc>
          <w:tcPr>
            <w:tcW w:w="1085" w:type="dxa"/>
            <w:shd w:val="clear" w:color="auto" w:fill="auto"/>
            <w:noWrap/>
            <w:vAlign w:val="bottom"/>
            <w:hideMark/>
          </w:tcPr>
          <w:p w:rsidR="00CD6BA1" w:rsidRPr="00CD6BA1" w:rsidRDefault="00CD6BA1" w:rsidP="00CD6BA1">
            <w:pPr>
              <w:jc w:val="cente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FY2010</w:t>
            </w:r>
          </w:p>
        </w:tc>
        <w:tc>
          <w:tcPr>
            <w:tcW w:w="108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38</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898</w:t>
            </w:r>
          </w:p>
        </w:tc>
        <w:tc>
          <w:tcPr>
            <w:tcW w:w="126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6</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158</w:t>
            </w:r>
          </w:p>
        </w:tc>
        <w:tc>
          <w:tcPr>
            <w:tcW w:w="99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32</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740</w:t>
            </w:r>
          </w:p>
        </w:tc>
      </w:tr>
      <w:tr w:rsidR="00CD6BA1" w:rsidRPr="00CD6BA1" w:rsidTr="00CD6BA1">
        <w:trPr>
          <w:trHeight w:val="300"/>
        </w:trPr>
        <w:tc>
          <w:tcPr>
            <w:tcW w:w="1085" w:type="dxa"/>
            <w:shd w:val="clear" w:color="DBE5F1" w:fill="DBE5F1"/>
            <w:noWrap/>
            <w:vAlign w:val="bottom"/>
            <w:hideMark/>
          </w:tcPr>
          <w:p w:rsidR="00CD6BA1" w:rsidRPr="00CD6BA1" w:rsidRDefault="00CD6BA1" w:rsidP="00CD6BA1">
            <w:pPr>
              <w:jc w:val="cente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FY2011</w:t>
            </w:r>
          </w:p>
        </w:tc>
        <w:tc>
          <w:tcPr>
            <w:tcW w:w="108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39</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502</w:t>
            </w:r>
          </w:p>
        </w:tc>
        <w:tc>
          <w:tcPr>
            <w:tcW w:w="126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6</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371</w:t>
            </w:r>
          </w:p>
        </w:tc>
        <w:tc>
          <w:tcPr>
            <w:tcW w:w="99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33</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131</w:t>
            </w:r>
          </w:p>
        </w:tc>
      </w:tr>
      <w:tr w:rsidR="00CD6BA1" w:rsidRPr="00CD6BA1" w:rsidTr="00CD6BA1">
        <w:trPr>
          <w:trHeight w:val="300"/>
        </w:trPr>
        <w:tc>
          <w:tcPr>
            <w:tcW w:w="1085" w:type="dxa"/>
            <w:shd w:val="clear" w:color="auto" w:fill="auto"/>
            <w:noWrap/>
            <w:vAlign w:val="bottom"/>
            <w:hideMark/>
          </w:tcPr>
          <w:p w:rsidR="00CD6BA1" w:rsidRPr="00CD6BA1" w:rsidRDefault="00CD6BA1" w:rsidP="00CD6BA1">
            <w:pPr>
              <w:jc w:val="cente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FY2012</w:t>
            </w:r>
          </w:p>
        </w:tc>
        <w:tc>
          <w:tcPr>
            <w:tcW w:w="108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39</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428</w:t>
            </w:r>
          </w:p>
        </w:tc>
        <w:tc>
          <w:tcPr>
            <w:tcW w:w="126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5</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788</w:t>
            </w:r>
          </w:p>
        </w:tc>
        <w:tc>
          <w:tcPr>
            <w:tcW w:w="990" w:type="dxa"/>
            <w:shd w:val="clear" w:color="auto" w:fill="auto"/>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33</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640</w:t>
            </w:r>
          </w:p>
        </w:tc>
      </w:tr>
      <w:tr w:rsidR="00CD6BA1" w:rsidRPr="00CD6BA1" w:rsidTr="00CD6BA1">
        <w:trPr>
          <w:trHeight w:val="300"/>
        </w:trPr>
        <w:tc>
          <w:tcPr>
            <w:tcW w:w="1085" w:type="dxa"/>
            <w:shd w:val="clear" w:color="DBE5F1" w:fill="DBE5F1"/>
            <w:noWrap/>
            <w:vAlign w:val="bottom"/>
            <w:hideMark/>
          </w:tcPr>
          <w:p w:rsidR="00CD6BA1" w:rsidRPr="00CD6BA1" w:rsidRDefault="00CD6BA1" w:rsidP="00CD6BA1">
            <w:pPr>
              <w:jc w:val="cente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FY2013</w:t>
            </w:r>
          </w:p>
        </w:tc>
        <w:tc>
          <w:tcPr>
            <w:tcW w:w="108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40</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260</w:t>
            </w:r>
          </w:p>
        </w:tc>
        <w:tc>
          <w:tcPr>
            <w:tcW w:w="126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7</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594</w:t>
            </w:r>
          </w:p>
        </w:tc>
        <w:tc>
          <w:tcPr>
            <w:tcW w:w="990" w:type="dxa"/>
            <w:shd w:val="clear" w:color="DBE5F1" w:fill="DBE5F1"/>
            <w:noWrap/>
            <w:vAlign w:val="bottom"/>
            <w:hideMark/>
          </w:tcPr>
          <w:p w:rsidR="00CD6BA1" w:rsidRPr="00CD6BA1" w:rsidRDefault="00CD6BA1" w:rsidP="00CD6BA1">
            <w:pPr>
              <w:jc w:val="center"/>
              <w:rPr>
                <w:rFonts w:ascii="Arial" w:eastAsia="Times New Roman" w:hAnsi="Arial" w:cs="Arial"/>
                <w:color w:val="000000"/>
                <w:lang w:bidi="ar-SA"/>
              </w:rPr>
            </w:pP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32</w:t>
            </w:r>
            <w:r>
              <w:rPr>
                <w:rFonts w:ascii="Arial" w:eastAsia="Times New Roman" w:hAnsi="Arial" w:cs="Arial"/>
                <w:color w:val="000000"/>
                <w:sz w:val="22"/>
                <w:szCs w:val="22"/>
                <w:lang w:bidi="ar-SA"/>
              </w:rPr>
              <w:t>,</w:t>
            </w:r>
            <w:r w:rsidRPr="00CD6BA1">
              <w:rPr>
                <w:rFonts w:ascii="Arial" w:eastAsia="Times New Roman" w:hAnsi="Arial" w:cs="Arial"/>
                <w:color w:val="000000"/>
                <w:sz w:val="22"/>
                <w:szCs w:val="22"/>
                <w:lang w:bidi="ar-SA"/>
              </w:rPr>
              <w:t>666</w:t>
            </w:r>
          </w:p>
        </w:tc>
      </w:tr>
    </w:tbl>
    <w:p w:rsidR="00CD6BA1" w:rsidRDefault="00CD6BA1">
      <w:pPr>
        <w:rPr>
          <w:b/>
        </w:rPr>
      </w:pPr>
    </w:p>
    <w:p w:rsidR="00CD6BA1" w:rsidRDefault="00CD6BA1">
      <w:pPr>
        <w:rPr>
          <w:b/>
        </w:rPr>
      </w:pPr>
      <w:r w:rsidRPr="00CD6BA1">
        <w:rPr>
          <w:b/>
        </w:rPr>
        <w:lastRenderedPageBreak/>
        <w:t>Reduced Energy Intensity</w:t>
      </w:r>
    </w:p>
    <w:p w:rsidR="00CD6BA1" w:rsidRPr="00CD6BA1" w:rsidRDefault="00CD6BA1" w:rsidP="00CD6BA1">
      <w:r w:rsidRPr="00CD6BA1">
        <w:t> Energy legislation requires GSA to reduce energy intensity as measured in British Thermal Units (BTUs) per gross square foot (</w:t>
      </w:r>
      <w:proofErr w:type="spellStart"/>
      <w:r w:rsidRPr="00CD6BA1">
        <w:t>gsf</w:t>
      </w:r>
      <w:proofErr w:type="spellEnd"/>
      <w:r w:rsidRPr="00CD6BA1">
        <w:t xml:space="preserve">) by 3% per year over the baseline year of 2003.  GSA is committed to reducing energy intensity across our portfolio through efforts such as the Green Proving Ground and Energy Savings Performance Contracts. </w:t>
      </w:r>
    </w:p>
    <w:p w:rsidR="00CD6BA1" w:rsidRDefault="00CD6BA1">
      <w:pPr>
        <w:rPr>
          <w:b/>
        </w:rPr>
      </w:pPr>
    </w:p>
    <w:tbl>
      <w:tblPr>
        <w:tblW w:w="423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420"/>
        <w:gridCol w:w="1550"/>
      </w:tblGrid>
      <w:tr w:rsidR="008D2978" w:rsidRPr="008D2978" w:rsidTr="008D2978">
        <w:trPr>
          <w:trHeight w:val="300"/>
        </w:trPr>
        <w:tc>
          <w:tcPr>
            <w:tcW w:w="1265" w:type="dxa"/>
            <w:shd w:val="clear" w:color="4F81BD" w:fill="4F81BD"/>
            <w:noWrap/>
            <w:vAlign w:val="bottom"/>
            <w:hideMark/>
          </w:tcPr>
          <w:p w:rsidR="008D2978" w:rsidRPr="008D2978" w:rsidRDefault="008D2978" w:rsidP="008D2978">
            <w:pPr>
              <w:rPr>
                <w:rFonts w:ascii="Arial" w:eastAsia="Times New Roman" w:hAnsi="Arial" w:cs="Arial"/>
                <w:b/>
                <w:bCs/>
                <w:color w:val="FFFFFF"/>
                <w:lang w:bidi="ar-SA"/>
              </w:rPr>
            </w:pPr>
            <w:r w:rsidRPr="008D2978">
              <w:rPr>
                <w:rFonts w:ascii="Arial" w:eastAsia="Times New Roman" w:hAnsi="Arial" w:cs="Arial"/>
                <w:b/>
                <w:bCs/>
                <w:color w:val="FFFFFF"/>
                <w:sz w:val="22"/>
                <w:szCs w:val="22"/>
                <w:lang w:bidi="ar-SA"/>
              </w:rPr>
              <w:t>FY</w:t>
            </w:r>
          </w:p>
        </w:tc>
        <w:tc>
          <w:tcPr>
            <w:tcW w:w="1420" w:type="dxa"/>
            <w:shd w:val="clear" w:color="4F81BD" w:fill="4F81BD"/>
            <w:noWrap/>
            <w:vAlign w:val="bottom"/>
            <w:hideMark/>
          </w:tcPr>
          <w:p w:rsidR="008D2978" w:rsidRPr="008D2978" w:rsidRDefault="008D2978" w:rsidP="008D2978">
            <w:pPr>
              <w:rPr>
                <w:rFonts w:ascii="Arial" w:eastAsia="Times New Roman" w:hAnsi="Arial" w:cs="Arial"/>
                <w:b/>
                <w:bCs/>
                <w:color w:val="FFFFFF"/>
                <w:lang w:bidi="ar-SA"/>
              </w:rPr>
            </w:pPr>
            <w:r w:rsidRPr="008D2978">
              <w:rPr>
                <w:rFonts w:ascii="Arial" w:eastAsia="Times New Roman" w:hAnsi="Arial" w:cs="Arial"/>
                <w:b/>
                <w:bCs/>
                <w:color w:val="FFFFFF"/>
                <w:sz w:val="22"/>
                <w:szCs w:val="22"/>
                <w:lang w:bidi="ar-SA"/>
              </w:rPr>
              <w:t>BTUs</w:t>
            </w:r>
          </w:p>
        </w:tc>
        <w:tc>
          <w:tcPr>
            <w:tcW w:w="1550" w:type="dxa"/>
            <w:shd w:val="clear" w:color="4F81BD" w:fill="4F81BD"/>
            <w:noWrap/>
            <w:vAlign w:val="bottom"/>
            <w:hideMark/>
          </w:tcPr>
          <w:p w:rsidR="008D2978" w:rsidRPr="008D2978" w:rsidRDefault="008D2978" w:rsidP="008D2978">
            <w:pPr>
              <w:rPr>
                <w:rFonts w:ascii="Arial" w:eastAsia="Times New Roman" w:hAnsi="Arial" w:cs="Arial"/>
                <w:b/>
                <w:bCs/>
                <w:color w:val="FFFFFF"/>
                <w:lang w:bidi="ar-SA"/>
              </w:rPr>
            </w:pPr>
            <w:r w:rsidRPr="008D2978">
              <w:rPr>
                <w:rFonts w:ascii="Arial" w:eastAsia="Times New Roman" w:hAnsi="Arial" w:cs="Arial"/>
                <w:b/>
                <w:bCs/>
                <w:color w:val="FFFFFF"/>
                <w:sz w:val="22"/>
                <w:szCs w:val="22"/>
                <w:lang w:bidi="ar-SA"/>
              </w:rPr>
              <w:t>% Decrease</w:t>
            </w:r>
          </w:p>
        </w:tc>
      </w:tr>
      <w:tr w:rsidR="008D2978" w:rsidRPr="008D2978" w:rsidTr="008D2978">
        <w:trPr>
          <w:trHeight w:val="300"/>
        </w:trPr>
        <w:tc>
          <w:tcPr>
            <w:tcW w:w="1265" w:type="dxa"/>
            <w:shd w:val="clear" w:color="DBE5F1" w:fill="DBE5F1"/>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FY2003</w:t>
            </w:r>
          </w:p>
        </w:tc>
        <w:tc>
          <w:tcPr>
            <w:tcW w:w="142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 xml:space="preserve"> $ 76,921 </w:t>
            </w:r>
          </w:p>
        </w:tc>
        <w:tc>
          <w:tcPr>
            <w:tcW w:w="155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 xml:space="preserve"> baseline </w:t>
            </w:r>
          </w:p>
        </w:tc>
      </w:tr>
      <w:tr w:rsidR="008D2978" w:rsidRPr="008D2978" w:rsidTr="008D2978">
        <w:trPr>
          <w:trHeight w:val="300"/>
        </w:trPr>
        <w:tc>
          <w:tcPr>
            <w:tcW w:w="1265" w:type="dxa"/>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FY2010</w:t>
            </w:r>
          </w:p>
        </w:tc>
        <w:tc>
          <w:tcPr>
            <w:tcW w:w="1420" w:type="dxa"/>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 xml:space="preserve"> $ 64,804 </w:t>
            </w:r>
          </w:p>
        </w:tc>
        <w:tc>
          <w:tcPr>
            <w:tcW w:w="1550" w:type="dxa"/>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15.80%</w:t>
            </w:r>
          </w:p>
        </w:tc>
      </w:tr>
      <w:tr w:rsidR="008D2978" w:rsidRPr="008D2978" w:rsidTr="008D2978">
        <w:trPr>
          <w:trHeight w:val="300"/>
        </w:trPr>
        <w:tc>
          <w:tcPr>
            <w:tcW w:w="1265" w:type="dxa"/>
            <w:shd w:val="clear" w:color="DBE5F1" w:fill="DBE5F1"/>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FY2011</w:t>
            </w:r>
          </w:p>
        </w:tc>
        <w:tc>
          <w:tcPr>
            <w:tcW w:w="142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Pr>
                <w:rFonts w:ascii="Arial" w:eastAsia="Times New Roman" w:hAnsi="Arial" w:cs="Arial"/>
                <w:color w:val="000000"/>
                <w:sz w:val="22"/>
                <w:szCs w:val="22"/>
                <w:lang w:bidi="ar-SA"/>
              </w:rPr>
              <w:t xml:space="preserve"> $ </w:t>
            </w:r>
            <w:r w:rsidRPr="008D2978">
              <w:rPr>
                <w:rFonts w:ascii="Arial" w:eastAsia="Times New Roman" w:hAnsi="Arial" w:cs="Arial"/>
                <w:color w:val="000000"/>
                <w:sz w:val="22"/>
                <w:szCs w:val="22"/>
                <w:lang w:bidi="ar-SA"/>
              </w:rPr>
              <w:t xml:space="preserve">62,190 </w:t>
            </w:r>
          </w:p>
        </w:tc>
        <w:tc>
          <w:tcPr>
            <w:tcW w:w="155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19.20%</w:t>
            </w:r>
          </w:p>
        </w:tc>
      </w:tr>
      <w:tr w:rsidR="008D2978" w:rsidRPr="008D2978" w:rsidTr="008D2978">
        <w:trPr>
          <w:trHeight w:val="300"/>
        </w:trPr>
        <w:tc>
          <w:tcPr>
            <w:tcW w:w="1265" w:type="dxa"/>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FY2012</w:t>
            </w:r>
          </w:p>
        </w:tc>
        <w:tc>
          <w:tcPr>
            <w:tcW w:w="1420" w:type="dxa"/>
            <w:shd w:val="clear" w:color="auto" w:fill="auto"/>
            <w:noWrap/>
            <w:vAlign w:val="bottom"/>
            <w:hideMark/>
          </w:tcPr>
          <w:p w:rsidR="008D2978" w:rsidRPr="008D2978" w:rsidRDefault="008D2978" w:rsidP="008D2978">
            <w:pPr>
              <w:rPr>
                <w:rFonts w:ascii="Arial" w:eastAsia="Times New Roman" w:hAnsi="Arial" w:cs="Arial"/>
                <w:color w:val="000000"/>
                <w:lang w:bidi="ar-SA"/>
              </w:rPr>
            </w:pPr>
            <w:r>
              <w:rPr>
                <w:rFonts w:ascii="Arial" w:eastAsia="Times New Roman" w:hAnsi="Arial" w:cs="Arial"/>
                <w:color w:val="000000"/>
                <w:sz w:val="22"/>
                <w:szCs w:val="22"/>
                <w:lang w:bidi="ar-SA"/>
              </w:rPr>
              <w:t xml:space="preserve"> $</w:t>
            </w:r>
            <w:r w:rsidRPr="008D2978">
              <w:rPr>
                <w:rFonts w:ascii="Arial" w:eastAsia="Times New Roman" w:hAnsi="Arial" w:cs="Arial"/>
                <w:color w:val="000000"/>
                <w:sz w:val="22"/>
                <w:szCs w:val="22"/>
                <w:lang w:bidi="ar-SA"/>
              </w:rPr>
              <w:t xml:space="preserve"> 58,074 </w:t>
            </w:r>
          </w:p>
        </w:tc>
        <w:tc>
          <w:tcPr>
            <w:tcW w:w="1550" w:type="dxa"/>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24.20%</w:t>
            </w:r>
          </w:p>
        </w:tc>
      </w:tr>
      <w:tr w:rsidR="008D2978" w:rsidRPr="008D2978" w:rsidTr="008D2978">
        <w:trPr>
          <w:trHeight w:val="300"/>
        </w:trPr>
        <w:tc>
          <w:tcPr>
            <w:tcW w:w="1265" w:type="dxa"/>
            <w:shd w:val="clear" w:color="DBE5F1" w:fill="DBE5F1"/>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FY2013</w:t>
            </w:r>
          </w:p>
        </w:tc>
        <w:tc>
          <w:tcPr>
            <w:tcW w:w="142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 xml:space="preserve"> $ 57,885 </w:t>
            </w:r>
          </w:p>
        </w:tc>
        <w:tc>
          <w:tcPr>
            <w:tcW w:w="155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24.79%</w:t>
            </w:r>
          </w:p>
        </w:tc>
      </w:tr>
    </w:tbl>
    <w:p w:rsidR="00CD6BA1" w:rsidRDefault="00CD6BA1">
      <w:pPr>
        <w:rPr>
          <w:b/>
        </w:rPr>
      </w:pPr>
    </w:p>
    <w:p w:rsidR="008D2978" w:rsidRDefault="008D2978">
      <w:pPr>
        <w:rPr>
          <w:b/>
        </w:rPr>
      </w:pPr>
    </w:p>
    <w:p w:rsidR="008D2978" w:rsidRDefault="008D2978">
      <w:pPr>
        <w:rPr>
          <w:b/>
        </w:rPr>
      </w:pPr>
      <w:r w:rsidRPr="008D2978">
        <w:rPr>
          <w:b/>
        </w:rPr>
        <w:t>Full Time Employees</w:t>
      </w:r>
    </w:p>
    <w:p w:rsidR="008D2978" w:rsidRPr="008D2978" w:rsidRDefault="008D2978">
      <w:pPr>
        <w:rPr>
          <w:sz w:val="20"/>
        </w:rPr>
      </w:pPr>
      <w:r w:rsidRPr="008D2978">
        <w:rPr>
          <w:sz w:val="20"/>
        </w:rPr>
        <w:t xml:space="preserve">Full-time equivalents (FTE) are defined as the total number of hours worked, divided by the number of compensable hours applicable to each fiscal year. Compensable hours include leave, but not holiday and overtime hours. In FY 2013, GSA expended 11,885 full-time equivalents (FTE). This total represents a 5.0% reduction (620 FTE) from the FY 2012 total (12,505 FTE), and a 6.1% reduction from the FY 2011 total (12,664 FTE). Staff Offices realizes a 10.9% reduction (250 FTE) from the FY 2011 total (2,288 FTE) due to consolidation efforts. </w:t>
      </w:r>
    </w:p>
    <w:p w:rsidR="008D2978" w:rsidRDefault="008D2978">
      <w:pPr>
        <w:rPr>
          <w:b/>
        </w:rPr>
      </w:pPr>
    </w:p>
    <w:tbl>
      <w:tblPr>
        <w:tblW w:w="5032" w:type="dxa"/>
        <w:tblInd w:w="108" w:type="dxa"/>
        <w:tblLook w:val="04A0" w:firstRow="1" w:lastRow="0" w:firstColumn="1" w:lastColumn="0" w:noHBand="0" w:noVBand="1"/>
      </w:tblPr>
      <w:tblGrid>
        <w:gridCol w:w="1839"/>
        <w:gridCol w:w="1197"/>
        <w:gridCol w:w="1996"/>
      </w:tblGrid>
      <w:tr w:rsidR="008D2978" w:rsidRPr="008D2978" w:rsidTr="008D2978">
        <w:trPr>
          <w:trHeight w:val="315"/>
        </w:trPr>
        <w:tc>
          <w:tcPr>
            <w:tcW w:w="3036" w:type="dxa"/>
            <w:gridSpan w:val="2"/>
            <w:tcBorders>
              <w:top w:val="nil"/>
              <w:left w:val="nil"/>
              <w:bottom w:val="double" w:sz="6" w:space="0" w:color="auto"/>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FY13 Total FTE</w:t>
            </w:r>
          </w:p>
        </w:tc>
        <w:tc>
          <w:tcPr>
            <w:tcW w:w="1996" w:type="dxa"/>
            <w:tcBorders>
              <w:top w:val="nil"/>
              <w:left w:val="nil"/>
              <w:bottom w:val="double" w:sz="6" w:space="0" w:color="auto"/>
              <w:right w:val="nil"/>
            </w:tcBorders>
            <w:shd w:val="clear" w:color="auto" w:fill="auto"/>
            <w:noWrap/>
            <w:vAlign w:val="bottom"/>
            <w:hideMark/>
          </w:tcPr>
          <w:p w:rsidR="008D2978" w:rsidRPr="008D2978" w:rsidRDefault="008D2978" w:rsidP="008D2978">
            <w:pPr>
              <w:jc w:val="right"/>
              <w:rPr>
                <w:rFonts w:ascii="Arial" w:eastAsia="Times New Roman" w:hAnsi="Arial" w:cs="Arial"/>
                <w:color w:val="000000"/>
                <w:lang w:bidi="ar-SA"/>
              </w:rPr>
            </w:pPr>
            <w:r w:rsidRPr="008D2978">
              <w:rPr>
                <w:rFonts w:ascii="Arial" w:eastAsia="Times New Roman" w:hAnsi="Arial" w:cs="Arial"/>
                <w:color w:val="000000"/>
                <w:sz w:val="22"/>
                <w:szCs w:val="22"/>
                <w:lang w:bidi="ar-SA"/>
              </w:rPr>
              <w:t>11,885</w:t>
            </w:r>
          </w:p>
        </w:tc>
      </w:tr>
      <w:tr w:rsidR="008D2978" w:rsidRPr="008D2978" w:rsidTr="008D2978">
        <w:trPr>
          <w:trHeight w:val="300"/>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p>
        </w:tc>
        <w:tc>
          <w:tcPr>
            <w:tcW w:w="1996"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p>
        </w:tc>
      </w:tr>
      <w:tr w:rsidR="008D2978" w:rsidRPr="008D2978" w:rsidTr="008D2978">
        <w:trPr>
          <w:trHeight w:val="300"/>
        </w:trPr>
        <w:tc>
          <w:tcPr>
            <w:tcW w:w="5032" w:type="dxa"/>
            <w:gridSpan w:val="3"/>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u w:val="single"/>
                <w:lang w:bidi="ar-SA"/>
              </w:rPr>
            </w:pPr>
            <w:r w:rsidRPr="008D2978">
              <w:rPr>
                <w:rFonts w:ascii="Arial" w:eastAsia="Times New Roman" w:hAnsi="Arial" w:cs="Arial"/>
                <w:b/>
                <w:bCs/>
                <w:color w:val="000000"/>
                <w:sz w:val="22"/>
                <w:szCs w:val="22"/>
                <w:u w:val="single"/>
                <w:lang w:bidi="ar-SA"/>
              </w:rPr>
              <w:t>Reduction in Staff from FY11-FY13</w:t>
            </w:r>
          </w:p>
        </w:tc>
      </w:tr>
      <w:tr w:rsidR="008D2978" w:rsidRPr="008D2978" w:rsidTr="008D2978">
        <w:trPr>
          <w:trHeight w:val="300"/>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Staff Offices</w:t>
            </w: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250 FTE</w:t>
            </w:r>
          </w:p>
        </w:tc>
        <w:tc>
          <w:tcPr>
            <w:tcW w:w="1996" w:type="dxa"/>
            <w:tcBorders>
              <w:top w:val="nil"/>
              <w:left w:val="nil"/>
              <w:bottom w:val="nil"/>
              <w:right w:val="nil"/>
            </w:tcBorders>
            <w:shd w:val="clear" w:color="auto" w:fill="auto"/>
            <w:noWrap/>
            <w:vAlign w:val="bottom"/>
            <w:hideMark/>
          </w:tcPr>
          <w:p w:rsidR="008D2978" w:rsidRPr="008D2978" w:rsidRDefault="008D2978" w:rsidP="008D2978">
            <w:pPr>
              <w:jc w:val="right"/>
              <w:rPr>
                <w:rFonts w:ascii="Arial" w:eastAsia="Times New Roman" w:hAnsi="Arial" w:cs="Arial"/>
                <w:color w:val="000000"/>
                <w:lang w:bidi="ar-SA"/>
              </w:rPr>
            </w:pPr>
            <w:r w:rsidRPr="008D2978">
              <w:rPr>
                <w:rFonts w:ascii="Arial" w:eastAsia="Times New Roman" w:hAnsi="Arial" w:cs="Arial"/>
                <w:color w:val="000000"/>
                <w:sz w:val="22"/>
                <w:szCs w:val="22"/>
                <w:lang w:bidi="ar-SA"/>
              </w:rPr>
              <w:t>-10.90%</w:t>
            </w:r>
          </w:p>
        </w:tc>
      </w:tr>
      <w:tr w:rsidR="008D2978" w:rsidRPr="008D2978" w:rsidTr="008D2978">
        <w:trPr>
          <w:trHeight w:val="300"/>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FAS</w:t>
            </w: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239 FTE</w:t>
            </w:r>
          </w:p>
        </w:tc>
        <w:tc>
          <w:tcPr>
            <w:tcW w:w="1996" w:type="dxa"/>
            <w:tcBorders>
              <w:top w:val="nil"/>
              <w:left w:val="nil"/>
              <w:bottom w:val="nil"/>
              <w:right w:val="nil"/>
            </w:tcBorders>
            <w:shd w:val="clear" w:color="auto" w:fill="auto"/>
            <w:noWrap/>
            <w:vAlign w:val="bottom"/>
            <w:hideMark/>
          </w:tcPr>
          <w:p w:rsidR="008D2978" w:rsidRPr="008D2978" w:rsidRDefault="008D2978" w:rsidP="008D2978">
            <w:pPr>
              <w:jc w:val="right"/>
              <w:rPr>
                <w:rFonts w:ascii="Arial" w:eastAsia="Times New Roman" w:hAnsi="Arial" w:cs="Arial"/>
                <w:color w:val="000000"/>
                <w:lang w:bidi="ar-SA"/>
              </w:rPr>
            </w:pPr>
            <w:r w:rsidRPr="008D2978">
              <w:rPr>
                <w:rFonts w:ascii="Arial" w:eastAsia="Times New Roman" w:hAnsi="Arial" w:cs="Arial"/>
                <w:color w:val="000000"/>
                <w:sz w:val="22"/>
                <w:szCs w:val="22"/>
                <w:lang w:bidi="ar-SA"/>
              </w:rPr>
              <w:t>-6.30%</w:t>
            </w:r>
          </w:p>
        </w:tc>
      </w:tr>
      <w:tr w:rsidR="008D2978" w:rsidRPr="008D2978" w:rsidTr="008D2978">
        <w:trPr>
          <w:trHeight w:val="300"/>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PBS</w:t>
            </w: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290 FTE</w:t>
            </w:r>
          </w:p>
        </w:tc>
        <w:tc>
          <w:tcPr>
            <w:tcW w:w="1996" w:type="dxa"/>
            <w:tcBorders>
              <w:top w:val="nil"/>
              <w:left w:val="nil"/>
              <w:bottom w:val="nil"/>
              <w:right w:val="nil"/>
            </w:tcBorders>
            <w:shd w:val="clear" w:color="auto" w:fill="auto"/>
            <w:noWrap/>
            <w:vAlign w:val="bottom"/>
            <w:hideMark/>
          </w:tcPr>
          <w:p w:rsidR="008D2978" w:rsidRPr="008D2978" w:rsidRDefault="008D2978" w:rsidP="008D2978">
            <w:pPr>
              <w:jc w:val="right"/>
              <w:rPr>
                <w:rFonts w:ascii="Arial" w:eastAsia="Times New Roman" w:hAnsi="Arial" w:cs="Arial"/>
                <w:color w:val="000000"/>
                <w:lang w:bidi="ar-SA"/>
              </w:rPr>
            </w:pPr>
            <w:r w:rsidRPr="008D2978">
              <w:rPr>
                <w:rFonts w:ascii="Arial" w:eastAsia="Times New Roman" w:hAnsi="Arial" w:cs="Arial"/>
                <w:color w:val="000000"/>
                <w:sz w:val="22"/>
                <w:szCs w:val="22"/>
                <w:lang w:bidi="ar-SA"/>
              </w:rPr>
              <w:t>-4.40%</w:t>
            </w:r>
          </w:p>
        </w:tc>
      </w:tr>
      <w:tr w:rsidR="008D2978" w:rsidRPr="008D2978" w:rsidTr="008D2978">
        <w:trPr>
          <w:trHeight w:val="285"/>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p>
        </w:tc>
        <w:tc>
          <w:tcPr>
            <w:tcW w:w="1996"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p>
        </w:tc>
      </w:tr>
      <w:tr w:rsidR="008D2978" w:rsidRPr="008D2978" w:rsidTr="008D2978">
        <w:trPr>
          <w:trHeight w:val="300"/>
        </w:trPr>
        <w:tc>
          <w:tcPr>
            <w:tcW w:w="5032" w:type="dxa"/>
            <w:gridSpan w:val="3"/>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u w:val="single"/>
                <w:lang w:bidi="ar-SA"/>
              </w:rPr>
            </w:pPr>
            <w:r w:rsidRPr="008D2978">
              <w:rPr>
                <w:rFonts w:ascii="Arial" w:eastAsia="Times New Roman" w:hAnsi="Arial" w:cs="Arial"/>
                <w:b/>
                <w:bCs/>
                <w:color w:val="000000"/>
                <w:sz w:val="22"/>
                <w:szCs w:val="22"/>
                <w:u w:val="single"/>
                <w:lang w:bidi="ar-SA"/>
              </w:rPr>
              <w:t>Reduction in Staff from FY12-FY13</w:t>
            </w:r>
          </w:p>
        </w:tc>
      </w:tr>
      <w:tr w:rsidR="008D2978" w:rsidRPr="008D2978" w:rsidTr="008D2978">
        <w:trPr>
          <w:trHeight w:val="300"/>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Staff Offices</w:t>
            </w: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120 FTE</w:t>
            </w:r>
          </w:p>
        </w:tc>
        <w:tc>
          <w:tcPr>
            <w:tcW w:w="1996" w:type="dxa"/>
            <w:tcBorders>
              <w:top w:val="nil"/>
              <w:left w:val="nil"/>
              <w:bottom w:val="nil"/>
              <w:right w:val="nil"/>
            </w:tcBorders>
            <w:shd w:val="clear" w:color="auto" w:fill="auto"/>
            <w:noWrap/>
            <w:vAlign w:val="bottom"/>
            <w:hideMark/>
          </w:tcPr>
          <w:p w:rsidR="008D2978" w:rsidRPr="008D2978" w:rsidRDefault="008D2978" w:rsidP="008D2978">
            <w:pPr>
              <w:jc w:val="right"/>
              <w:rPr>
                <w:rFonts w:ascii="Arial" w:eastAsia="Times New Roman" w:hAnsi="Arial" w:cs="Arial"/>
                <w:color w:val="000000"/>
                <w:lang w:bidi="ar-SA"/>
              </w:rPr>
            </w:pPr>
            <w:r w:rsidRPr="008D2978">
              <w:rPr>
                <w:rFonts w:ascii="Arial" w:eastAsia="Times New Roman" w:hAnsi="Arial" w:cs="Arial"/>
                <w:color w:val="000000"/>
                <w:sz w:val="22"/>
                <w:szCs w:val="22"/>
                <w:lang w:bidi="ar-SA"/>
              </w:rPr>
              <w:t>-5.60%</w:t>
            </w:r>
          </w:p>
        </w:tc>
      </w:tr>
      <w:tr w:rsidR="008D2978" w:rsidRPr="008D2978" w:rsidTr="008D2978">
        <w:trPr>
          <w:trHeight w:val="300"/>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FAS</w:t>
            </w: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232 FTE</w:t>
            </w:r>
          </w:p>
        </w:tc>
        <w:tc>
          <w:tcPr>
            <w:tcW w:w="1996" w:type="dxa"/>
            <w:tcBorders>
              <w:top w:val="nil"/>
              <w:left w:val="nil"/>
              <w:bottom w:val="nil"/>
              <w:right w:val="nil"/>
            </w:tcBorders>
            <w:shd w:val="clear" w:color="auto" w:fill="auto"/>
            <w:noWrap/>
            <w:vAlign w:val="bottom"/>
            <w:hideMark/>
          </w:tcPr>
          <w:p w:rsidR="008D2978" w:rsidRPr="008D2978" w:rsidRDefault="008D2978" w:rsidP="008D2978">
            <w:pPr>
              <w:jc w:val="right"/>
              <w:rPr>
                <w:rFonts w:ascii="Arial" w:eastAsia="Times New Roman" w:hAnsi="Arial" w:cs="Arial"/>
                <w:color w:val="000000"/>
                <w:lang w:bidi="ar-SA"/>
              </w:rPr>
            </w:pPr>
            <w:r w:rsidRPr="008D2978">
              <w:rPr>
                <w:rFonts w:ascii="Arial" w:eastAsia="Times New Roman" w:hAnsi="Arial" w:cs="Arial"/>
                <w:color w:val="000000"/>
                <w:sz w:val="22"/>
                <w:szCs w:val="22"/>
                <w:lang w:bidi="ar-SA"/>
              </w:rPr>
              <w:t>-6.10%</w:t>
            </w:r>
          </w:p>
        </w:tc>
      </w:tr>
      <w:tr w:rsidR="008D2978" w:rsidRPr="008D2978" w:rsidTr="008D2978">
        <w:trPr>
          <w:trHeight w:val="300"/>
        </w:trPr>
        <w:tc>
          <w:tcPr>
            <w:tcW w:w="1839"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PBS</w:t>
            </w:r>
          </w:p>
        </w:tc>
        <w:tc>
          <w:tcPr>
            <w:tcW w:w="1197"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269 FTE</w:t>
            </w:r>
          </w:p>
        </w:tc>
        <w:tc>
          <w:tcPr>
            <w:tcW w:w="1996" w:type="dxa"/>
            <w:tcBorders>
              <w:top w:val="nil"/>
              <w:left w:val="nil"/>
              <w:bottom w:val="nil"/>
              <w:right w:val="nil"/>
            </w:tcBorders>
            <w:shd w:val="clear" w:color="auto" w:fill="auto"/>
            <w:noWrap/>
            <w:vAlign w:val="bottom"/>
            <w:hideMark/>
          </w:tcPr>
          <w:p w:rsidR="008D2978" w:rsidRPr="008D2978" w:rsidRDefault="008D2978" w:rsidP="008D2978">
            <w:pPr>
              <w:jc w:val="right"/>
              <w:rPr>
                <w:rFonts w:ascii="Arial" w:eastAsia="Times New Roman" w:hAnsi="Arial" w:cs="Arial"/>
                <w:color w:val="000000"/>
                <w:lang w:bidi="ar-SA"/>
              </w:rPr>
            </w:pPr>
            <w:r w:rsidRPr="008D2978">
              <w:rPr>
                <w:rFonts w:ascii="Arial" w:eastAsia="Times New Roman" w:hAnsi="Arial" w:cs="Arial"/>
                <w:color w:val="000000"/>
                <w:sz w:val="22"/>
                <w:szCs w:val="22"/>
                <w:lang w:bidi="ar-SA"/>
              </w:rPr>
              <w:t>-4.10%</w:t>
            </w:r>
          </w:p>
        </w:tc>
      </w:tr>
    </w:tbl>
    <w:p w:rsidR="008D2978" w:rsidRDefault="008D2978">
      <w:pPr>
        <w:rPr>
          <w:b/>
        </w:rPr>
      </w:pPr>
    </w:p>
    <w:p w:rsidR="008D2978" w:rsidRDefault="008D2978">
      <w:pPr>
        <w:rPr>
          <w:b/>
        </w:rPr>
      </w:pPr>
    </w:p>
    <w:p w:rsidR="008D2978" w:rsidRDefault="008D2978">
      <w:pPr>
        <w:rPr>
          <w:b/>
        </w:rPr>
      </w:pPr>
      <w:r w:rsidRPr="008D2978">
        <w:rPr>
          <w:b/>
        </w:rPr>
        <w:t>Reduce Internal Operating Costs as a Percentage of Revenue</w:t>
      </w:r>
    </w:p>
    <w:p w:rsidR="008D2978" w:rsidRDefault="008D2978" w:rsidP="008D2978">
      <w:pPr>
        <w:rPr>
          <w:sz w:val="20"/>
        </w:rPr>
      </w:pPr>
      <w:r w:rsidRPr="008D2978">
        <w:rPr>
          <w:sz w:val="20"/>
        </w:rPr>
        <w:t>Internal operating costs are defined as</w:t>
      </w:r>
      <w:proofErr w:type="gramStart"/>
      <w:r w:rsidRPr="008D2978">
        <w:rPr>
          <w:sz w:val="20"/>
        </w:rPr>
        <w:t>  corporate</w:t>
      </w:r>
      <w:proofErr w:type="gramEnd"/>
      <w:r w:rsidRPr="008D2978">
        <w:rPr>
          <w:sz w:val="20"/>
        </w:rPr>
        <w:t xml:space="preserve"> management and business support that do not directly touch customer service delivery.  GSA is committed to reducing overhead as a percentage of revenue and focusing investment on customer-facing business areas and improving the customer experience. </w:t>
      </w:r>
    </w:p>
    <w:p w:rsidR="008D2978" w:rsidRPr="008D2978" w:rsidRDefault="008D2978" w:rsidP="008D2978">
      <w:pPr>
        <w:rPr>
          <w:sz w:val="20"/>
        </w:rPr>
      </w:pPr>
    </w:p>
    <w:tbl>
      <w:tblPr>
        <w:tblW w:w="7380" w:type="dxa"/>
        <w:tblInd w:w="108" w:type="dxa"/>
        <w:tblLook w:val="04A0" w:firstRow="1" w:lastRow="0" w:firstColumn="1" w:lastColumn="0" w:noHBand="0" w:noVBand="1"/>
      </w:tblPr>
      <w:tblGrid>
        <w:gridCol w:w="1376"/>
        <w:gridCol w:w="6004"/>
      </w:tblGrid>
      <w:tr w:rsidR="008D2978" w:rsidRPr="008D2978" w:rsidTr="008D2978">
        <w:trPr>
          <w:trHeight w:val="300"/>
        </w:trPr>
        <w:tc>
          <w:tcPr>
            <w:tcW w:w="1376" w:type="dxa"/>
            <w:tcBorders>
              <w:top w:val="nil"/>
              <w:left w:val="nil"/>
              <w:bottom w:val="nil"/>
              <w:right w:val="nil"/>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p>
        </w:tc>
        <w:tc>
          <w:tcPr>
            <w:tcW w:w="6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Reduce internal operating costs as a % of revenue</w:t>
            </w:r>
          </w:p>
        </w:tc>
      </w:tr>
      <w:tr w:rsidR="008D2978" w:rsidRPr="008D2978" w:rsidTr="008D2978">
        <w:trPr>
          <w:trHeight w:val="300"/>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FY2010</w:t>
            </w:r>
          </w:p>
        </w:tc>
        <w:tc>
          <w:tcPr>
            <w:tcW w:w="6004" w:type="dxa"/>
            <w:tcBorders>
              <w:top w:val="nil"/>
              <w:left w:val="nil"/>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10.73%</w:t>
            </w:r>
            <w:r>
              <w:rPr>
                <w:rFonts w:ascii="Arial" w:eastAsia="Times New Roman" w:hAnsi="Arial" w:cs="Arial"/>
                <w:color w:val="000000"/>
                <w:sz w:val="22"/>
                <w:szCs w:val="22"/>
                <w:lang w:bidi="ar-SA"/>
              </w:rPr>
              <w:t xml:space="preserve"> (baseline)</w:t>
            </w:r>
          </w:p>
        </w:tc>
      </w:tr>
      <w:tr w:rsidR="008D2978" w:rsidRPr="008D2978" w:rsidTr="008D2978">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FY2011</w:t>
            </w:r>
          </w:p>
        </w:tc>
        <w:tc>
          <w:tcPr>
            <w:tcW w:w="6004" w:type="dxa"/>
            <w:tcBorders>
              <w:top w:val="nil"/>
              <w:left w:val="nil"/>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9.99%</w:t>
            </w:r>
          </w:p>
        </w:tc>
      </w:tr>
      <w:tr w:rsidR="008D2978" w:rsidRPr="008D2978" w:rsidTr="008D2978">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FY2012</w:t>
            </w:r>
          </w:p>
        </w:tc>
        <w:tc>
          <w:tcPr>
            <w:tcW w:w="6004" w:type="dxa"/>
            <w:tcBorders>
              <w:top w:val="nil"/>
              <w:left w:val="nil"/>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10.03%</w:t>
            </w:r>
          </w:p>
        </w:tc>
      </w:tr>
      <w:tr w:rsidR="008D2978" w:rsidRPr="008D2978" w:rsidTr="008D2978">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b/>
                <w:bCs/>
                <w:color w:val="000000"/>
                <w:lang w:bidi="ar-SA"/>
              </w:rPr>
            </w:pPr>
            <w:r w:rsidRPr="008D2978">
              <w:rPr>
                <w:rFonts w:ascii="Arial" w:eastAsia="Times New Roman" w:hAnsi="Arial" w:cs="Arial"/>
                <w:b/>
                <w:bCs/>
                <w:color w:val="000000"/>
                <w:sz w:val="22"/>
                <w:szCs w:val="22"/>
                <w:lang w:bidi="ar-SA"/>
              </w:rPr>
              <w:t>FY2013</w:t>
            </w:r>
          </w:p>
        </w:tc>
        <w:tc>
          <w:tcPr>
            <w:tcW w:w="6004" w:type="dxa"/>
            <w:tcBorders>
              <w:top w:val="nil"/>
              <w:left w:val="nil"/>
              <w:bottom w:val="single" w:sz="4" w:space="0" w:color="auto"/>
              <w:right w:val="single" w:sz="4" w:space="0" w:color="auto"/>
            </w:tcBorders>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9.60%</w:t>
            </w:r>
          </w:p>
        </w:tc>
      </w:tr>
    </w:tbl>
    <w:p w:rsidR="008D2978" w:rsidRPr="008D2978" w:rsidRDefault="008D2978" w:rsidP="008D2978">
      <w:pPr>
        <w:pBdr>
          <w:bottom w:val="single" w:sz="6" w:space="1" w:color="auto"/>
        </w:pBdr>
        <w:rPr>
          <w:b/>
          <w:sz w:val="28"/>
        </w:rPr>
      </w:pPr>
      <w:r w:rsidRPr="008D2978">
        <w:rPr>
          <w:b/>
          <w:sz w:val="28"/>
        </w:rPr>
        <w:lastRenderedPageBreak/>
        <w:t>FAS DATA</w:t>
      </w:r>
    </w:p>
    <w:p w:rsidR="008D2978" w:rsidRDefault="008D2978" w:rsidP="008D2978">
      <w:pPr>
        <w:rPr>
          <w:b/>
        </w:rPr>
      </w:pPr>
    </w:p>
    <w:p w:rsidR="008D2978" w:rsidRDefault="008D2978" w:rsidP="008D2978">
      <w:pPr>
        <w:rPr>
          <w:b/>
        </w:rPr>
      </w:pPr>
      <w:r w:rsidRPr="008D2978">
        <w:rPr>
          <w:b/>
        </w:rPr>
        <w:t>FY13 Customer Savings</w:t>
      </w:r>
    </w:p>
    <w:p w:rsidR="008D2978" w:rsidRDefault="008D2978" w:rsidP="008D2978">
      <w:pPr>
        <w:rPr>
          <w:sz w:val="20"/>
        </w:rPr>
      </w:pPr>
      <w:r w:rsidRPr="008D2978">
        <w:rPr>
          <w:sz w:val="20"/>
        </w:rPr>
        <w:t xml:space="preserve">GSA’s mission is to deliver the best value in real estate, acquisition, and technology services to government and the American people.  To that end, GSA has begun tracking cost savings and cost avoidance in several FAS programs that saves the government over $2.4 billion annually. </w:t>
      </w:r>
    </w:p>
    <w:p w:rsidR="002A25D5" w:rsidRPr="008D2978" w:rsidRDefault="002A25D5" w:rsidP="008D2978">
      <w:pPr>
        <w:rPr>
          <w:sz w:val="20"/>
        </w:rPr>
      </w:pPr>
    </w:p>
    <w:tbl>
      <w:tblPr>
        <w:tblW w:w="450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5"/>
        <w:gridCol w:w="1256"/>
      </w:tblGrid>
      <w:tr w:rsidR="002A25D5" w:rsidRPr="00CD6BA1" w:rsidTr="002A25D5">
        <w:trPr>
          <w:trHeight w:val="228"/>
        </w:trPr>
        <w:tc>
          <w:tcPr>
            <w:tcW w:w="4235" w:type="dxa"/>
            <w:shd w:val="clear" w:color="4F81BD" w:fill="4F81BD"/>
            <w:noWrap/>
            <w:vAlign w:val="bottom"/>
            <w:hideMark/>
          </w:tcPr>
          <w:p w:rsidR="002A25D5" w:rsidRPr="00CD6BA1" w:rsidRDefault="002A25D5" w:rsidP="00A223B4">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FY</w:t>
            </w:r>
          </w:p>
        </w:tc>
        <w:tc>
          <w:tcPr>
            <w:tcW w:w="266" w:type="dxa"/>
            <w:shd w:val="clear" w:color="4F81BD" w:fill="4F81BD"/>
            <w:noWrap/>
            <w:vAlign w:val="bottom"/>
            <w:hideMark/>
          </w:tcPr>
          <w:p w:rsidR="002A25D5" w:rsidRPr="00CD6BA1" w:rsidRDefault="002A25D5" w:rsidP="00A223B4">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Revenues</w:t>
            </w:r>
          </w:p>
        </w:tc>
      </w:tr>
      <w:tr w:rsidR="002A25D5" w:rsidRPr="00CD6BA1" w:rsidTr="002A25D5">
        <w:trPr>
          <w:trHeight w:val="228"/>
        </w:trPr>
        <w:tc>
          <w:tcPr>
            <w:tcW w:w="423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Federal Strategic Sourcing Initiative</w:t>
            </w:r>
          </w:p>
        </w:tc>
        <w:tc>
          <w:tcPr>
            <w:tcW w:w="266"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$108.5M</w:t>
            </w:r>
          </w:p>
        </w:tc>
      </w:tr>
      <w:tr w:rsidR="002A25D5" w:rsidRPr="00CD6BA1" w:rsidTr="002A25D5">
        <w:trPr>
          <w:trHeight w:val="228"/>
        </w:trPr>
        <w:tc>
          <w:tcPr>
            <w:tcW w:w="423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Assisted Acquisition Service</w:t>
            </w:r>
          </w:p>
        </w:tc>
        <w:tc>
          <w:tcPr>
            <w:tcW w:w="266"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$304.3M</w:t>
            </w:r>
          </w:p>
        </w:tc>
      </w:tr>
      <w:tr w:rsidR="002A25D5" w:rsidRPr="00CD6BA1" w:rsidTr="002A25D5">
        <w:trPr>
          <w:trHeight w:val="228"/>
        </w:trPr>
        <w:tc>
          <w:tcPr>
            <w:tcW w:w="423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Purchase Card Refunds</w:t>
            </w:r>
          </w:p>
        </w:tc>
        <w:tc>
          <w:tcPr>
            <w:tcW w:w="266"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$271.8M</w:t>
            </w:r>
          </w:p>
        </w:tc>
      </w:tr>
      <w:tr w:rsidR="002A25D5" w:rsidRPr="00CD6BA1" w:rsidTr="002A25D5">
        <w:trPr>
          <w:trHeight w:val="228"/>
        </w:trPr>
        <w:tc>
          <w:tcPr>
            <w:tcW w:w="423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Automotive</w:t>
            </w:r>
          </w:p>
        </w:tc>
        <w:tc>
          <w:tcPr>
            <w:tcW w:w="266"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$237M</w:t>
            </w:r>
          </w:p>
        </w:tc>
      </w:tr>
      <w:tr w:rsidR="002A25D5" w:rsidRPr="00CD6BA1" w:rsidTr="002A25D5">
        <w:trPr>
          <w:trHeight w:val="228"/>
        </w:trPr>
        <w:tc>
          <w:tcPr>
            <w:tcW w:w="423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proofErr w:type="spellStart"/>
            <w:r>
              <w:rPr>
                <w:rFonts w:ascii="Arial" w:eastAsia="Times New Roman" w:hAnsi="Arial" w:cs="Arial"/>
                <w:b/>
                <w:bCs/>
                <w:color w:val="000000"/>
                <w:sz w:val="22"/>
                <w:szCs w:val="22"/>
                <w:lang w:bidi="ar-SA"/>
              </w:rPr>
              <w:t>FedRooms</w:t>
            </w:r>
            <w:proofErr w:type="spellEnd"/>
          </w:p>
        </w:tc>
        <w:tc>
          <w:tcPr>
            <w:tcW w:w="266"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$5.3M</w:t>
            </w:r>
          </w:p>
        </w:tc>
      </w:tr>
      <w:tr w:rsidR="002A25D5" w:rsidRPr="00CD6BA1" w:rsidTr="002A25D5">
        <w:trPr>
          <w:trHeight w:val="228"/>
        </w:trPr>
        <w:tc>
          <w:tcPr>
            <w:tcW w:w="423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E-</w:t>
            </w:r>
            <w:proofErr w:type="spellStart"/>
            <w:r>
              <w:rPr>
                <w:rFonts w:ascii="Arial" w:eastAsia="Times New Roman" w:hAnsi="Arial" w:cs="Arial"/>
                <w:b/>
                <w:bCs/>
                <w:color w:val="000000"/>
                <w:sz w:val="22"/>
                <w:szCs w:val="22"/>
                <w:lang w:bidi="ar-SA"/>
              </w:rPr>
              <w:t>Gov</w:t>
            </w:r>
            <w:proofErr w:type="spellEnd"/>
            <w:r>
              <w:rPr>
                <w:rFonts w:ascii="Arial" w:eastAsia="Times New Roman" w:hAnsi="Arial" w:cs="Arial"/>
                <w:b/>
                <w:bCs/>
                <w:color w:val="000000"/>
                <w:sz w:val="22"/>
                <w:szCs w:val="22"/>
                <w:lang w:bidi="ar-SA"/>
              </w:rPr>
              <w:t xml:space="preserve"> Travel 2</w:t>
            </w:r>
          </w:p>
        </w:tc>
        <w:tc>
          <w:tcPr>
            <w:tcW w:w="266"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$14.4M</w:t>
            </w:r>
          </w:p>
        </w:tc>
      </w:tr>
      <w:tr w:rsidR="002A25D5" w:rsidRPr="00CD6BA1" w:rsidTr="002A25D5">
        <w:trPr>
          <w:trHeight w:val="228"/>
        </w:trPr>
        <w:tc>
          <w:tcPr>
            <w:tcW w:w="423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Wide Area Network</w:t>
            </w:r>
          </w:p>
        </w:tc>
        <w:tc>
          <w:tcPr>
            <w:tcW w:w="266"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$678.3M</w:t>
            </w:r>
          </w:p>
        </w:tc>
      </w:tr>
      <w:tr w:rsidR="002A25D5" w:rsidRPr="00CD6BA1" w:rsidTr="002A25D5">
        <w:trPr>
          <w:trHeight w:val="228"/>
        </w:trPr>
        <w:tc>
          <w:tcPr>
            <w:tcW w:w="4235" w:type="dxa"/>
            <w:shd w:val="clear" w:color="auto" w:fill="FFFFFF" w:themeFill="background1"/>
            <w:noWrap/>
            <w:vAlign w:val="bottom"/>
          </w:tcPr>
          <w:p w:rsidR="002A25D5" w:rsidRDefault="002A25D5" w:rsidP="00A223B4">
            <w:pPr>
              <w:rPr>
                <w:rFonts w:ascii="Arial" w:eastAsia="Times New Roman" w:hAnsi="Arial" w:cs="Arial"/>
                <w:b/>
                <w:bCs/>
                <w:color w:val="000000"/>
                <w:sz w:val="22"/>
                <w:szCs w:val="22"/>
                <w:lang w:bidi="ar-SA"/>
              </w:rPr>
            </w:pPr>
            <w:proofErr w:type="spellStart"/>
            <w:r>
              <w:rPr>
                <w:rFonts w:ascii="Arial" w:eastAsia="Times New Roman" w:hAnsi="Arial" w:cs="Arial"/>
                <w:b/>
                <w:bCs/>
                <w:color w:val="000000"/>
                <w:sz w:val="22"/>
                <w:szCs w:val="22"/>
                <w:lang w:bidi="ar-SA"/>
              </w:rPr>
              <w:t>SmartBuy</w:t>
            </w:r>
            <w:proofErr w:type="spellEnd"/>
          </w:p>
        </w:tc>
        <w:tc>
          <w:tcPr>
            <w:tcW w:w="266" w:type="dxa"/>
            <w:shd w:val="clear" w:color="auto" w:fill="FFFFFF" w:themeFill="background1"/>
            <w:noWrap/>
            <w:vAlign w:val="bottom"/>
          </w:tcPr>
          <w:p w:rsidR="002A25D5" w:rsidRDefault="002A25D5" w:rsidP="00A223B4">
            <w:pPr>
              <w:rPr>
                <w:rFonts w:ascii="Arial" w:eastAsia="Times New Roman" w:hAnsi="Arial" w:cs="Arial"/>
                <w:color w:val="000000"/>
                <w:sz w:val="22"/>
                <w:szCs w:val="22"/>
                <w:lang w:bidi="ar-SA"/>
              </w:rPr>
            </w:pPr>
            <w:r>
              <w:rPr>
                <w:rFonts w:ascii="Arial" w:eastAsia="Times New Roman" w:hAnsi="Arial" w:cs="Arial"/>
                <w:color w:val="000000"/>
                <w:sz w:val="22"/>
                <w:szCs w:val="22"/>
                <w:lang w:bidi="ar-SA"/>
              </w:rPr>
              <w:t>$776.7M</w:t>
            </w:r>
          </w:p>
        </w:tc>
      </w:tr>
      <w:tr w:rsidR="002A25D5" w:rsidRPr="00CD6BA1" w:rsidTr="002A25D5">
        <w:trPr>
          <w:trHeight w:val="228"/>
        </w:trPr>
        <w:tc>
          <w:tcPr>
            <w:tcW w:w="4235" w:type="dxa"/>
            <w:shd w:val="clear" w:color="DBE5F1" w:fill="DBE5F1"/>
            <w:noWrap/>
            <w:vAlign w:val="bottom"/>
          </w:tcPr>
          <w:p w:rsidR="002A25D5" w:rsidRDefault="002A25D5" w:rsidP="00A223B4">
            <w:pPr>
              <w:rPr>
                <w:rFonts w:ascii="Arial" w:eastAsia="Times New Roman" w:hAnsi="Arial" w:cs="Arial"/>
                <w:b/>
                <w:bCs/>
                <w:color w:val="000000"/>
                <w:sz w:val="22"/>
                <w:szCs w:val="22"/>
                <w:lang w:bidi="ar-SA"/>
              </w:rPr>
            </w:pPr>
            <w:r>
              <w:rPr>
                <w:rFonts w:ascii="Arial" w:eastAsia="Times New Roman" w:hAnsi="Arial" w:cs="Arial"/>
                <w:b/>
                <w:bCs/>
                <w:color w:val="000000"/>
                <w:sz w:val="22"/>
                <w:szCs w:val="22"/>
                <w:lang w:bidi="ar-SA"/>
              </w:rPr>
              <w:t>Supply Operations</w:t>
            </w:r>
          </w:p>
        </w:tc>
        <w:tc>
          <w:tcPr>
            <w:tcW w:w="266" w:type="dxa"/>
            <w:shd w:val="clear" w:color="DBE5F1" w:fill="DBE5F1"/>
            <w:noWrap/>
            <w:vAlign w:val="bottom"/>
          </w:tcPr>
          <w:p w:rsidR="002A25D5" w:rsidRDefault="002A25D5" w:rsidP="00A223B4">
            <w:pPr>
              <w:rPr>
                <w:rFonts w:ascii="Arial" w:eastAsia="Times New Roman" w:hAnsi="Arial" w:cs="Arial"/>
                <w:color w:val="000000"/>
                <w:sz w:val="22"/>
                <w:szCs w:val="22"/>
                <w:lang w:bidi="ar-SA"/>
              </w:rPr>
            </w:pPr>
            <w:r>
              <w:rPr>
                <w:rFonts w:ascii="Arial" w:eastAsia="Times New Roman" w:hAnsi="Arial" w:cs="Arial"/>
                <w:color w:val="000000"/>
                <w:sz w:val="22"/>
                <w:szCs w:val="22"/>
                <w:lang w:bidi="ar-SA"/>
              </w:rPr>
              <w:t>$30.5M</w:t>
            </w:r>
          </w:p>
        </w:tc>
      </w:tr>
      <w:tr w:rsidR="002A25D5" w:rsidRPr="00CD6BA1" w:rsidTr="002A25D5">
        <w:trPr>
          <w:trHeight w:val="228"/>
        </w:trPr>
        <w:tc>
          <w:tcPr>
            <w:tcW w:w="4235" w:type="dxa"/>
            <w:shd w:val="clear" w:color="auto" w:fill="FFFFFF" w:themeFill="background1"/>
            <w:noWrap/>
            <w:vAlign w:val="bottom"/>
          </w:tcPr>
          <w:p w:rsidR="002A25D5" w:rsidRDefault="002A25D5" w:rsidP="002A25D5">
            <w:pPr>
              <w:jc w:val="right"/>
              <w:rPr>
                <w:rFonts w:ascii="Arial" w:eastAsia="Times New Roman" w:hAnsi="Arial" w:cs="Arial"/>
                <w:b/>
                <w:bCs/>
                <w:color w:val="000000"/>
                <w:sz w:val="22"/>
                <w:szCs w:val="22"/>
                <w:lang w:bidi="ar-SA"/>
              </w:rPr>
            </w:pPr>
            <w:r>
              <w:rPr>
                <w:rFonts w:ascii="Arial" w:eastAsia="Times New Roman" w:hAnsi="Arial" w:cs="Arial"/>
                <w:b/>
                <w:bCs/>
                <w:color w:val="000000"/>
                <w:sz w:val="22"/>
                <w:szCs w:val="22"/>
                <w:lang w:bidi="ar-SA"/>
              </w:rPr>
              <w:t>Total</w:t>
            </w:r>
          </w:p>
        </w:tc>
        <w:tc>
          <w:tcPr>
            <w:tcW w:w="266" w:type="dxa"/>
            <w:shd w:val="clear" w:color="auto" w:fill="FFFFFF" w:themeFill="background1"/>
            <w:noWrap/>
            <w:vAlign w:val="bottom"/>
          </w:tcPr>
          <w:p w:rsidR="002A25D5" w:rsidRDefault="002A25D5" w:rsidP="00A223B4">
            <w:pPr>
              <w:rPr>
                <w:rFonts w:ascii="Arial" w:eastAsia="Times New Roman" w:hAnsi="Arial" w:cs="Arial"/>
                <w:color w:val="000000"/>
                <w:sz w:val="22"/>
                <w:szCs w:val="22"/>
                <w:lang w:bidi="ar-SA"/>
              </w:rPr>
            </w:pPr>
            <w:r>
              <w:rPr>
                <w:rFonts w:ascii="Arial" w:eastAsia="Times New Roman" w:hAnsi="Arial" w:cs="Arial"/>
                <w:color w:val="000000"/>
                <w:sz w:val="22"/>
                <w:szCs w:val="22"/>
                <w:lang w:bidi="ar-SA"/>
              </w:rPr>
              <w:t>$2.4B</w:t>
            </w:r>
          </w:p>
        </w:tc>
      </w:tr>
    </w:tbl>
    <w:p w:rsidR="008D2978" w:rsidRDefault="008D2978" w:rsidP="008D2978">
      <w:pPr>
        <w:rPr>
          <w:b/>
        </w:rPr>
      </w:pPr>
    </w:p>
    <w:p w:rsidR="008D2978" w:rsidRDefault="008D2978" w:rsidP="008D2978">
      <w:pPr>
        <w:rPr>
          <w:b/>
        </w:rPr>
      </w:pPr>
    </w:p>
    <w:p w:rsidR="008D2978" w:rsidRDefault="008D2978" w:rsidP="008D2978">
      <w:pPr>
        <w:rPr>
          <w:b/>
        </w:rPr>
      </w:pPr>
      <w:r w:rsidRPr="008D2978">
        <w:rPr>
          <w:b/>
        </w:rPr>
        <w:t>FY2013 Top 5 FAS Customers by Revenue</w:t>
      </w:r>
    </w:p>
    <w:p w:rsidR="008D2978" w:rsidRDefault="008D2978" w:rsidP="008D2978">
      <w:pPr>
        <w:rPr>
          <w:sz w:val="20"/>
        </w:rPr>
      </w:pPr>
      <w:r w:rsidRPr="008D2978">
        <w:rPr>
          <w:sz w:val="20"/>
        </w:rPr>
        <w:t xml:space="preserve">In FY 2013, ASF realized $9.4 billion in revenues. The majority of revenues were from the five agencies shown.  Combined, these agencies encompass 77% of total FAS revenue with DOD contributing 58% of revenue. </w:t>
      </w:r>
    </w:p>
    <w:p w:rsidR="008D2978" w:rsidRPr="008D2978" w:rsidRDefault="008D2978" w:rsidP="008D2978">
      <w:pPr>
        <w:rPr>
          <w:sz w:val="20"/>
        </w:rPr>
      </w:pPr>
    </w:p>
    <w:tbl>
      <w:tblPr>
        <w:tblStyle w:val="MediumShading1-Accent11"/>
        <w:tblW w:w="0" w:type="auto"/>
        <w:tblLook w:val="04A0" w:firstRow="1" w:lastRow="0" w:firstColumn="1" w:lastColumn="0" w:noHBand="0" w:noVBand="1"/>
      </w:tblPr>
      <w:tblGrid>
        <w:gridCol w:w="4282"/>
        <w:gridCol w:w="1260"/>
        <w:gridCol w:w="1226"/>
      </w:tblGrid>
      <w:tr w:rsidR="008D2978" w:rsidTr="008D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rsidR="008D2978" w:rsidRDefault="008D2978" w:rsidP="008D2978">
            <w:pPr>
              <w:rPr>
                <w:b w:val="0"/>
              </w:rPr>
            </w:pPr>
            <w:r>
              <w:rPr>
                <w:b w:val="0"/>
              </w:rPr>
              <w:t>Customer Agency</w:t>
            </w:r>
          </w:p>
        </w:tc>
        <w:tc>
          <w:tcPr>
            <w:tcW w:w="1260" w:type="dxa"/>
          </w:tcPr>
          <w:p w:rsidR="008D2978" w:rsidRDefault="008D2978" w:rsidP="008D2978">
            <w:pPr>
              <w:cnfStyle w:val="100000000000" w:firstRow="1" w:lastRow="0" w:firstColumn="0" w:lastColumn="0" w:oddVBand="0" w:evenVBand="0" w:oddHBand="0" w:evenHBand="0" w:firstRowFirstColumn="0" w:firstRowLastColumn="0" w:lastRowFirstColumn="0" w:lastRowLastColumn="0"/>
              <w:rPr>
                <w:b w:val="0"/>
              </w:rPr>
            </w:pPr>
            <w:r>
              <w:rPr>
                <w:b w:val="0"/>
              </w:rPr>
              <w:t>Revenue</w:t>
            </w:r>
          </w:p>
        </w:tc>
        <w:tc>
          <w:tcPr>
            <w:tcW w:w="1226" w:type="dxa"/>
          </w:tcPr>
          <w:p w:rsidR="008D2978" w:rsidRDefault="008D2978" w:rsidP="008D2978">
            <w:pPr>
              <w:cnfStyle w:val="100000000000" w:firstRow="1" w:lastRow="0" w:firstColumn="0" w:lastColumn="0" w:oddVBand="0" w:evenVBand="0" w:oddHBand="0" w:evenHBand="0" w:firstRowFirstColumn="0" w:firstRowLastColumn="0" w:lastRowFirstColumn="0" w:lastRowLastColumn="0"/>
              <w:rPr>
                <w:b w:val="0"/>
              </w:rPr>
            </w:pPr>
            <w:r>
              <w:rPr>
                <w:b w:val="0"/>
              </w:rPr>
              <w:t>% of Total Revenue</w:t>
            </w:r>
          </w:p>
        </w:tc>
      </w:tr>
      <w:tr w:rsidR="008D2978" w:rsidTr="008D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rsidR="008D2978" w:rsidRPr="008D2978" w:rsidRDefault="008D2978" w:rsidP="008D2978">
            <w:r w:rsidRPr="008D2978">
              <w:t xml:space="preserve">Department of Defense </w:t>
            </w:r>
          </w:p>
        </w:tc>
        <w:tc>
          <w:tcPr>
            <w:tcW w:w="1260" w:type="dxa"/>
          </w:tcPr>
          <w:p w:rsidR="008D2978" w:rsidRPr="008D2978" w:rsidRDefault="008D2978" w:rsidP="008D2978">
            <w:pPr>
              <w:cnfStyle w:val="000000100000" w:firstRow="0" w:lastRow="0" w:firstColumn="0" w:lastColumn="0" w:oddVBand="0" w:evenVBand="0" w:oddHBand="1" w:evenHBand="0" w:firstRowFirstColumn="0" w:firstRowLastColumn="0" w:lastRowFirstColumn="0" w:lastRowLastColumn="0"/>
            </w:pPr>
            <w:r w:rsidRPr="008D2978">
              <w:t>$5.4B</w:t>
            </w:r>
          </w:p>
        </w:tc>
        <w:tc>
          <w:tcPr>
            <w:tcW w:w="1226" w:type="dxa"/>
          </w:tcPr>
          <w:p w:rsidR="008D2978" w:rsidRPr="008D2978" w:rsidRDefault="008D2978" w:rsidP="008D2978">
            <w:pPr>
              <w:cnfStyle w:val="000000100000" w:firstRow="0" w:lastRow="0" w:firstColumn="0" w:lastColumn="0" w:oddVBand="0" w:evenVBand="0" w:oddHBand="1" w:evenHBand="0" w:firstRowFirstColumn="0" w:firstRowLastColumn="0" w:lastRowFirstColumn="0" w:lastRowLastColumn="0"/>
            </w:pPr>
            <w:r w:rsidRPr="008D2978">
              <w:t>58%</w:t>
            </w:r>
          </w:p>
        </w:tc>
      </w:tr>
      <w:tr w:rsidR="008D2978" w:rsidTr="008D29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rsidR="008D2978" w:rsidRPr="008D2978" w:rsidRDefault="008D2978" w:rsidP="008D2978">
            <w:r w:rsidRPr="008D2978">
              <w:t>Department of Homeland Security</w:t>
            </w:r>
          </w:p>
        </w:tc>
        <w:tc>
          <w:tcPr>
            <w:tcW w:w="1260" w:type="dxa"/>
          </w:tcPr>
          <w:p w:rsidR="008D2978" w:rsidRPr="008D2978" w:rsidRDefault="008D2978" w:rsidP="008D2978">
            <w:pPr>
              <w:cnfStyle w:val="000000010000" w:firstRow="0" w:lastRow="0" w:firstColumn="0" w:lastColumn="0" w:oddVBand="0" w:evenVBand="0" w:oddHBand="0" w:evenHBand="1" w:firstRowFirstColumn="0" w:firstRowLastColumn="0" w:lastRowFirstColumn="0" w:lastRowLastColumn="0"/>
            </w:pPr>
            <w:r w:rsidRPr="008D2978">
              <w:t>$514M</w:t>
            </w:r>
          </w:p>
        </w:tc>
        <w:tc>
          <w:tcPr>
            <w:tcW w:w="1226" w:type="dxa"/>
          </w:tcPr>
          <w:p w:rsidR="008D2978" w:rsidRPr="008D2978" w:rsidRDefault="008D2978" w:rsidP="008D2978">
            <w:pPr>
              <w:cnfStyle w:val="000000010000" w:firstRow="0" w:lastRow="0" w:firstColumn="0" w:lastColumn="0" w:oddVBand="0" w:evenVBand="0" w:oddHBand="0" w:evenHBand="1" w:firstRowFirstColumn="0" w:firstRowLastColumn="0" w:lastRowFirstColumn="0" w:lastRowLastColumn="0"/>
            </w:pPr>
            <w:r w:rsidRPr="008D2978">
              <w:t>5%</w:t>
            </w:r>
          </w:p>
        </w:tc>
      </w:tr>
      <w:tr w:rsidR="008D2978" w:rsidTr="008D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rsidR="008D2978" w:rsidRPr="008D2978" w:rsidRDefault="008D2978" w:rsidP="008D2978">
            <w:r w:rsidRPr="008D2978">
              <w:t>Department of Agriculture</w:t>
            </w:r>
          </w:p>
        </w:tc>
        <w:tc>
          <w:tcPr>
            <w:tcW w:w="1260" w:type="dxa"/>
          </w:tcPr>
          <w:p w:rsidR="008D2978" w:rsidRPr="008D2978" w:rsidRDefault="008D2978" w:rsidP="008D2978">
            <w:pPr>
              <w:cnfStyle w:val="000000100000" w:firstRow="0" w:lastRow="0" w:firstColumn="0" w:lastColumn="0" w:oddVBand="0" w:evenVBand="0" w:oddHBand="1" w:evenHBand="0" w:firstRowFirstColumn="0" w:firstRowLastColumn="0" w:lastRowFirstColumn="0" w:lastRowLastColumn="0"/>
            </w:pPr>
            <w:r w:rsidRPr="008D2978">
              <w:t>$483M</w:t>
            </w:r>
          </w:p>
        </w:tc>
        <w:tc>
          <w:tcPr>
            <w:tcW w:w="1226" w:type="dxa"/>
          </w:tcPr>
          <w:p w:rsidR="008D2978" w:rsidRPr="008D2978" w:rsidRDefault="008D2978" w:rsidP="008D2978">
            <w:pPr>
              <w:cnfStyle w:val="000000100000" w:firstRow="0" w:lastRow="0" w:firstColumn="0" w:lastColumn="0" w:oddVBand="0" w:evenVBand="0" w:oddHBand="1" w:evenHBand="0" w:firstRowFirstColumn="0" w:firstRowLastColumn="0" w:lastRowFirstColumn="0" w:lastRowLastColumn="0"/>
            </w:pPr>
            <w:r w:rsidRPr="008D2978">
              <w:t>5%</w:t>
            </w:r>
          </w:p>
        </w:tc>
      </w:tr>
      <w:tr w:rsidR="008D2978" w:rsidTr="008D29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rsidR="008D2978" w:rsidRPr="008D2978" w:rsidRDefault="008D2978" w:rsidP="008D2978">
            <w:r w:rsidRPr="008D2978">
              <w:t>Department of Veterans Affairs</w:t>
            </w:r>
          </w:p>
        </w:tc>
        <w:tc>
          <w:tcPr>
            <w:tcW w:w="1260" w:type="dxa"/>
          </w:tcPr>
          <w:p w:rsidR="008D2978" w:rsidRPr="008D2978" w:rsidRDefault="008D2978" w:rsidP="008D2978">
            <w:pPr>
              <w:cnfStyle w:val="000000010000" w:firstRow="0" w:lastRow="0" w:firstColumn="0" w:lastColumn="0" w:oddVBand="0" w:evenVBand="0" w:oddHBand="0" w:evenHBand="1" w:firstRowFirstColumn="0" w:firstRowLastColumn="0" w:lastRowFirstColumn="0" w:lastRowLastColumn="0"/>
            </w:pPr>
            <w:r w:rsidRPr="008D2978">
              <w:t>$302M</w:t>
            </w:r>
          </w:p>
        </w:tc>
        <w:tc>
          <w:tcPr>
            <w:tcW w:w="1226" w:type="dxa"/>
          </w:tcPr>
          <w:p w:rsidR="008D2978" w:rsidRPr="008D2978" w:rsidRDefault="008D2978" w:rsidP="008D2978">
            <w:pPr>
              <w:cnfStyle w:val="000000010000" w:firstRow="0" w:lastRow="0" w:firstColumn="0" w:lastColumn="0" w:oddVBand="0" w:evenVBand="0" w:oddHBand="0" w:evenHBand="1" w:firstRowFirstColumn="0" w:firstRowLastColumn="0" w:lastRowFirstColumn="0" w:lastRowLastColumn="0"/>
            </w:pPr>
            <w:r w:rsidRPr="008D2978">
              <w:t>3%</w:t>
            </w:r>
          </w:p>
        </w:tc>
      </w:tr>
      <w:tr w:rsidR="008D2978" w:rsidTr="008D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rsidR="008D2978" w:rsidRPr="008D2978" w:rsidRDefault="008D2978" w:rsidP="008D2978">
            <w:r w:rsidRPr="008D2978">
              <w:t xml:space="preserve">Department of Health and Human Services </w:t>
            </w:r>
          </w:p>
        </w:tc>
        <w:tc>
          <w:tcPr>
            <w:tcW w:w="1260" w:type="dxa"/>
          </w:tcPr>
          <w:p w:rsidR="008D2978" w:rsidRPr="008D2978" w:rsidRDefault="008D2978" w:rsidP="008D2978">
            <w:pPr>
              <w:cnfStyle w:val="000000100000" w:firstRow="0" w:lastRow="0" w:firstColumn="0" w:lastColumn="0" w:oddVBand="0" w:evenVBand="0" w:oddHBand="1" w:evenHBand="0" w:firstRowFirstColumn="0" w:firstRowLastColumn="0" w:lastRowFirstColumn="0" w:lastRowLastColumn="0"/>
            </w:pPr>
            <w:r w:rsidRPr="008D2978">
              <w:t>$273M</w:t>
            </w:r>
          </w:p>
        </w:tc>
        <w:tc>
          <w:tcPr>
            <w:tcW w:w="1226" w:type="dxa"/>
          </w:tcPr>
          <w:p w:rsidR="008D2978" w:rsidRPr="008D2978" w:rsidRDefault="008D2978" w:rsidP="008D2978">
            <w:pPr>
              <w:cnfStyle w:val="000000100000" w:firstRow="0" w:lastRow="0" w:firstColumn="0" w:lastColumn="0" w:oddVBand="0" w:evenVBand="0" w:oddHBand="1" w:evenHBand="0" w:firstRowFirstColumn="0" w:firstRowLastColumn="0" w:lastRowFirstColumn="0" w:lastRowLastColumn="0"/>
            </w:pPr>
            <w:r w:rsidRPr="008D2978">
              <w:t>3%</w:t>
            </w:r>
          </w:p>
        </w:tc>
      </w:tr>
    </w:tbl>
    <w:p w:rsidR="008D2978" w:rsidRDefault="008D2978" w:rsidP="008D2978">
      <w:pPr>
        <w:rPr>
          <w:b/>
        </w:rPr>
      </w:pPr>
    </w:p>
    <w:p w:rsidR="008D2978" w:rsidRDefault="008D2978" w:rsidP="008D2978">
      <w:pPr>
        <w:rPr>
          <w:b/>
        </w:rPr>
      </w:pPr>
      <w:r w:rsidRPr="008D2978">
        <w:rPr>
          <w:b/>
        </w:rPr>
        <w:t>Agency Participation in GSA Contract Solutions as a Percentage of Applicable Federal Spend</w:t>
      </w:r>
    </w:p>
    <w:p w:rsidR="008D2978" w:rsidRPr="008D2978" w:rsidRDefault="008D2978" w:rsidP="008D2978">
      <w:pPr>
        <w:rPr>
          <w:sz w:val="20"/>
          <w:szCs w:val="20"/>
        </w:rPr>
      </w:pPr>
      <w:r w:rsidRPr="008D2978">
        <w:rPr>
          <w:sz w:val="20"/>
          <w:szCs w:val="20"/>
        </w:rPr>
        <w:t xml:space="preserve">As agency participation in GSA contract solutions grows, we can better leverage government spending to drive greater savings for agencies.  This provides agencies with additional resources to provide their mission to the American people. </w:t>
      </w:r>
    </w:p>
    <w:p w:rsidR="008D2978" w:rsidRDefault="008D2978" w:rsidP="008D2978">
      <w:pPr>
        <w:rPr>
          <w:b/>
        </w:rPr>
      </w:pPr>
    </w:p>
    <w:p w:rsidR="008D2978" w:rsidRDefault="008D2978" w:rsidP="008D2978">
      <w:pPr>
        <w:rPr>
          <w:b/>
        </w:rPr>
      </w:pPr>
      <w:r w:rsidRPr="008D2978">
        <w:rPr>
          <w:b/>
          <w:noProof/>
          <w:lang w:bidi="ar-SA"/>
        </w:rPr>
        <w:drawing>
          <wp:inline distT="0" distB="0" distL="0" distR="0">
            <wp:extent cx="2681853" cy="1081377"/>
            <wp:effectExtent l="19050" t="0" r="4197" b="0"/>
            <wp:docPr id="3" name="Picture 3"/>
            <wp:cNvGraphicFramePr/>
            <a:graphic xmlns:a="http://schemas.openxmlformats.org/drawingml/2006/main">
              <a:graphicData uri="http://schemas.openxmlformats.org/drawingml/2006/picture">
                <pic:pic xmlns:pic="http://schemas.openxmlformats.org/drawingml/2006/picture">
                  <pic:nvPicPr>
                    <pic:cNvPr id="2059" name="Picture 11"/>
                    <pic:cNvPicPr>
                      <a:picLocks noChangeAspect="1" noChangeArrowheads="1"/>
                    </pic:cNvPicPr>
                  </pic:nvPicPr>
                  <pic:blipFill>
                    <a:blip r:embed="rId5" cstate="print"/>
                    <a:srcRect l="9816" t="18667" r="78103" b="67238"/>
                    <a:stretch>
                      <a:fillRect/>
                    </a:stretch>
                  </pic:blipFill>
                  <pic:spPr bwMode="auto">
                    <a:xfrm>
                      <a:off x="0" y="0"/>
                      <a:ext cx="2686517" cy="1083258"/>
                    </a:xfrm>
                    <a:prstGeom prst="rect">
                      <a:avLst/>
                    </a:prstGeom>
                    <a:noFill/>
                    <a:ln w="1">
                      <a:noFill/>
                      <a:miter lim="800000"/>
                      <a:headEnd/>
                      <a:tailEnd type="none" w="med" len="med"/>
                    </a:ln>
                    <a:effectLst/>
                  </pic:spPr>
                </pic:pic>
              </a:graphicData>
            </a:graphic>
          </wp:inline>
        </w:drawing>
      </w:r>
    </w:p>
    <w:p w:rsidR="008D2978" w:rsidRDefault="008D2978" w:rsidP="008D2978">
      <w:pPr>
        <w:rPr>
          <w:b/>
        </w:rPr>
      </w:pPr>
    </w:p>
    <w:p w:rsidR="008D2978" w:rsidRDefault="008D2978" w:rsidP="008D2978">
      <w:pPr>
        <w:rPr>
          <w:b/>
        </w:rPr>
      </w:pPr>
      <w:r>
        <w:rPr>
          <w:b/>
        </w:rPr>
        <w:br/>
      </w:r>
      <w:r w:rsidRPr="008D2978">
        <w:rPr>
          <w:b/>
        </w:rPr>
        <w:t>FY13 Increase business volume through Federal Strategic Sourcing Initiatives (FSSI)</w:t>
      </w:r>
    </w:p>
    <w:p w:rsidR="008D2978" w:rsidRDefault="008D2978" w:rsidP="008D2978">
      <w:pPr>
        <w:rPr>
          <w:sz w:val="20"/>
        </w:rPr>
      </w:pPr>
      <w:r w:rsidRPr="008D2978">
        <w:rPr>
          <w:sz w:val="20"/>
        </w:rPr>
        <w:lastRenderedPageBreak/>
        <w:t xml:space="preserve">Strategic sourcing is the collaborative and structured process of critically analyzing an organization's spending and using this information to make business decisions about acquiring commodities and services more effectively and efficiently.   Business volume in FSSI is an important proxy of program growth and the adoption rate of agencies utilizing FSSI solutions. </w:t>
      </w:r>
    </w:p>
    <w:p w:rsidR="002A25D5" w:rsidRDefault="002A25D5" w:rsidP="008D2978">
      <w:pPr>
        <w:rPr>
          <w:sz w:val="20"/>
        </w:rPr>
      </w:pPr>
    </w:p>
    <w:tbl>
      <w:tblPr>
        <w:tblW w:w="90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5"/>
        <w:gridCol w:w="3960"/>
      </w:tblGrid>
      <w:tr w:rsidR="002A25D5" w:rsidRPr="00CD6BA1" w:rsidTr="002A25D5">
        <w:trPr>
          <w:trHeight w:val="228"/>
        </w:trPr>
        <w:tc>
          <w:tcPr>
            <w:tcW w:w="5045" w:type="dxa"/>
            <w:shd w:val="clear" w:color="4F81BD" w:fill="4F81BD"/>
            <w:noWrap/>
            <w:vAlign w:val="bottom"/>
            <w:hideMark/>
          </w:tcPr>
          <w:p w:rsidR="002A25D5" w:rsidRPr="00CD6BA1" w:rsidRDefault="002A25D5" w:rsidP="00A223B4">
            <w:pPr>
              <w:jc w:val="center"/>
              <w:rPr>
                <w:rFonts w:ascii="Arial" w:eastAsia="Times New Roman" w:hAnsi="Arial" w:cs="Arial"/>
                <w:b/>
                <w:bCs/>
                <w:color w:val="FFFFFF"/>
                <w:lang w:bidi="ar-SA"/>
              </w:rPr>
            </w:pPr>
            <w:r>
              <w:rPr>
                <w:rFonts w:ascii="Arial" w:eastAsia="Times New Roman" w:hAnsi="Arial" w:cs="Arial"/>
                <w:b/>
                <w:bCs/>
                <w:color w:val="FFFFFF"/>
                <w:sz w:val="22"/>
                <w:szCs w:val="22"/>
                <w:lang w:bidi="ar-SA"/>
              </w:rPr>
              <w:t>Category</w:t>
            </w:r>
          </w:p>
        </w:tc>
        <w:tc>
          <w:tcPr>
            <w:tcW w:w="3960" w:type="dxa"/>
            <w:shd w:val="clear" w:color="4F81BD" w:fill="4F81BD"/>
            <w:noWrap/>
            <w:vAlign w:val="bottom"/>
            <w:hideMark/>
          </w:tcPr>
          <w:p w:rsidR="002A25D5" w:rsidRPr="00CD6BA1" w:rsidRDefault="002A25D5" w:rsidP="00A223B4">
            <w:pPr>
              <w:jc w:val="center"/>
              <w:rPr>
                <w:rFonts w:ascii="Arial" w:eastAsia="Times New Roman" w:hAnsi="Arial" w:cs="Arial"/>
                <w:b/>
                <w:bCs/>
                <w:color w:val="FFFFFF"/>
                <w:lang w:bidi="ar-SA"/>
              </w:rPr>
            </w:pPr>
            <w:r>
              <w:rPr>
                <w:rFonts w:ascii="Arial" w:eastAsia="Times New Roman" w:hAnsi="Arial" w:cs="Arial"/>
                <w:b/>
                <w:bCs/>
                <w:color w:val="FFFFFF"/>
                <w:sz w:val="22"/>
                <w:szCs w:val="22"/>
                <w:lang w:bidi="ar-SA"/>
              </w:rPr>
              <w:t>Business Volume (in millions)</w:t>
            </w:r>
          </w:p>
        </w:tc>
      </w:tr>
      <w:tr w:rsidR="002A25D5" w:rsidRPr="00CD6BA1" w:rsidTr="002A25D5">
        <w:trPr>
          <w:trHeight w:val="228"/>
        </w:trPr>
        <w:tc>
          <w:tcPr>
            <w:tcW w:w="504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Telecommunications Expense Management Services</w:t>
            </w:r>
          </w:p>
        </w:tc>
        <w:tc>
          <w:tcPr>
            <w:tcW w:w="396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$29</w:t>
            </w:r>
          </w:p>
        </w:tc>
      </w:tr>
      <w:tr w:rsidR="002A25D5" w:rsidRPr="00CD6BA1" w:rsidTr="002A25D5">
        <w:trPr>
          <w:trHeight w:val="228"/>
        </w:trPr>
        <w:tc>
          <w:tcPr>
            <w:tcW w:w="504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Print Management</w:t>
            </w:r>
          </w:p>
        </w:tc>
        <w:tc>
          <w:tcPr>
            <w:tcW w:w="3960"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$5.70</w:t>
            </w:r>
          </w:p>
        </w:tc>
      </w:tr>
      <w:tr w:rsidR="002A25D5" w:rsidRPr="00CD6BA1" w:rsidTr="002A25D5">
        <w:trPr>
          <w:trHeight w:val="228"/>
        </w:trPr>
        <w:tc>
          <w:tcPr>
            <w:tcW w:w="504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Domestic Delivery Service 2</w:t>
            </w:r>
          </w:p>
        </w:tc>
        <w:tc>
          <w:tcPr>
            <w:tcW w:w="396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$130</w:t>
            </w:r>
          </w:p>
        </w:tc>
      </w:tr>
      <w:tr w:rsidR="002A25D5" w:rsidRPr="00CD6BA1" w:rsidTr="002A25D5">
        <w:trPr>
          <w:trHeight w:val="228"/>
        </w:trPr>
        <w:tc>
          <w:tcPr>
            <w:tcW w:w="504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Office Supplies 2</w:t>
            </w:r>
          </w:p>
        </w:tc>
        <w:tc>
          <w:tcPr>
            <w:tcW w:w="3960"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$246</w:t>
            </w:r>
          </w:p>
        </w:tc>
      </w:tr>
      <w:tr w:rsidR="002A25D5" w:rsidRPr="00CD6BA1" w:rsidTr="002A25D5">
        <w:trPr>
          <w:trHeight w:val="228"/>
        </w:trPr>
        <w:tc>
          <w:tcPr>
            <w:tcW w:w="504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Wireless</w:t>
            </w:r>
          </w:p>
        </w:tc>
        <w:tc>
          <w:tcPr>
            <w:tcW w:w="396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$47</w:t>
            </w:r>
          </w:p>
        </w:tc>
      </w:tr>
      <w:tr w:rsidR="002A25D5" w:rsidRPr="00CD6BA1" w:rsidTr="002A25D5">
        <w:trPr>
          <w:trHeight w:val="228"/>
        </w:trPr>
        <w:tc>
          <w:tcPr>
            <w:tcW w:w="5045" w:type="dxa"/>
            <w:shd w:val="clear" w:color="auto" w:fill="FFFFFF" w:themeFill="background1"/>
            <w:noWrap/>
            <w:vAlign w:val="bottom"/>
          </w:tcPr>
          <w:p w:rsidR="002A25D5" w:rsidRDefault="002A25D5" w:rsidP="002A25D5">
            <w:pPr>
              <w:jc w:val="right"/>
              <w:rPr>
                <w:rFonts w:ascii="Arial" w:eastAsia="Times New Roman" w:hAnsi="Arial" w:cs="Arial"/>
                <w:b/>
                <w:bCs/>
                <w:color w:val="000000"/>
                <w:sz w:val="22"/>
                <w:szCs w:val="22"/>
                <w:lang w:bidi="ar-SA"/>
              </w:rPr>
            </w:pPr>
            <w:r>
              <w:rPr>
                <w:rFonts w:ascii="Arial" w:eastAsia="Times New Roman" w:hAnsi="Arial" w:cs="Arial"/>
                <w:b/>
                <w:bCs/>
                <w:color w:val="000000"/>
                <w:sz w:val="22"/>
                <w:szCs w:val="22"/>
                <w:lang w:bidi="ar-SA"/>
              </w:rPr>
              <w:t>Total (in millions)</w:t>
            </w:r>
          </w:p>
        </w:tc>
        <w:tc>
          <w:tcPr>
            <w:tcW w:w="3960" w:type="dxa"/>
            <w:shd w:val="clear" w:color="auto" w:fill="FFFFFF" w:themeFill="background1"/>
            <w:noWrap/>
            <w:vAlign w:val="bottom"/>
          </w:tcPr>
          <w:p w:rsidR="002A25D5" w:rsidRDefault="002A25D5" w:rsidP="00A223B4">
            <w:pPr>
              <w:rPr>
                <w:rFonts w:ascii="Arial" w:eastAsia="Times New Roman" w:hAnsi="Arial" w:cs="Arial"/>
                <w:color w:val="000000"/>
                <w:sz w:val="22"/>
                <w:szCs w:val="22"/>
                <w:lang w:bidi="ar-SA"/>
              </w:rPr>
            </w:pPr>
            <w:r>
              <w:rPr>
                <w:rFonts w:ascii="Arial" w:eastAsia="Times New Roman" w:hAnsi="Arial" w:cs="Arial"/>
                <w:color w:val="000000"/>
                <w:sz w:val="22"/>
                <w:szCs w:val="22"/>
                <w:lang w:bidi="ar-SA"/>
              </w:rPr>
              <w:t>$458</w:t>
            </w:r>
          </w:p>
        </w:tc>
      </w:tr>
    </w:tbl>
    <w:p w:rsidR="002A25D5" w:rsidRPr="008D2978" w:rsidRDefault="002A25D5" w:rsidP="008D2978">
      <w:pPr>
        <w:rPr>
          <w:sz w:val="20"/>
        </w:rPr>
      </w:pPr>
    </w:p>
    <w:p w:rsidR="008D2978" w:rsidRDefault="008D2978" w:rsidP="008D2978">
      <w:pPr>
        <w:rPr>
          <w:b/>
        </w:rPr>
      </w:pPr>
    </w:p>
    <w:p w:rsidR="008D2978" w:rsidRDefault="008D2978" w:rsidP="008D2978">
      <w:pPr>
        <w:rPr>
          <w:b/>
        </w:rPr>
      </w:pPr>
    </w:p>
    <w:p w:rsidR="008D2978" w:rsidRDefault="008D2978" w:rsidP="008D2978">
      <w:pPr>
        <w:rPr>
          <w:b/>
        </w:rPr>
      </w:pPr>
      <w:r w:rsidRPr="008D2978">
        <w:rPr>
          <w:b/>
        </w:rPr>
        <w:t>Government-wide Vehicle Purchasing Trends:  Alternative Fuel Vehicle (AFV)</w:t>
      </w:r>
    </w:p>
    <w:p w:rsidR="008D2978" w:rsidRDefault="008D2978" w:rsidP="008D2978">
      <w:pPr>
        <w:rPr>
          <w:sz w:val="20"/>
        </w:rPr>
      </w:pPr>
      <w:r w:rsidRPr="008D2978">
        <w:rPr>
          <w:sz w:val="20"/>
        </w:rPr>
        <w:t>Federal agencies are mandated by the Energy Policy Act (</w:t>
      </w:r>
      <w:proofErr w:type="spellStart"/>
      <w:r w:rsidRPr="008D2978">
        <w:rPr>
          <w:sz w:val="20"/>
        </w:rPr>
        <w:t>EPAct</w:t>
      </w:r>
      <w:proofErr w:type="spellEnd"/>
      <w:r w:rsidRPr="008D2978">
        <w:rPr>
          <w:sz w:val="20"/>
        </w:rPr>
        <w:t xml:space="preserve">), Executive Order 13423, and the Energy Independence and Security Act (EISA) to purchase alternative fuel vehicles, increase consumption of alternative fuels, and reduce petroleum consumption. GSA Fleet strives to assist federal customers in acquiring vehicles that help to meet federal sustainability requirements and reduce costs. Fleet has achieved measurable success in this endeavor. In FY 2013, the GSA leased Fleet had an overall MPG improvement of 19.42%, meaning on average, GSA Fleet put a vehicle in to the fleet that was 19.42% more fuel efficient than the vehicle it replaced. </w:t>
      </w:r>
    </w:p>
    <w:p w:rsidR="002A25D5" w:rsidRDefault="002A25D5" w:rsidP="008D2978">
      <w:pPr>
        <w:rPr>
          <w:sz w:val="20"/>
        </w:rPr>
      </w:pPr>
    </w:p>
    <w:tbl>
      <w:tblPr>
        <w:tblW w:w="549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3330"/>
      </w:tblGrid>
      <w:tr w:rsidR="002A25D5" w:rsidRPr="00CD6BA1" w:rsidTr="002A25D5">
        <w:trPr>
          <w:trHeight w:val="228"/>
        </w:trPr>
        <w:tc>
          <w:tcPr>
            <w:tcW w:w="2165" w:type="dxa"/>
            <w:shd w:val="clear" w:color="4F81BD" w:fill="4F81BD"/>
            <w:noWrap/>
            <w:vAlign w:val="bottom"/>
            <w:hideMark/>
          </w:tcPr>
          <w:p w:rsidR="002A25D5" w:rsidRPr="00CD6BA1" w:rsidRDefault="002A25D5" w:rsidP="00A223B4">
            <w:pPr>
              <w:jc w:val="center"/>
              <w:rPr>
                <w:rFonts w:ascii="Arial" w:eastAsia="Times New Roman" w:hAnsi="Arial" w:cs="Arial"/>
                <w:b/>
                <w:bCs/>
                <w:color w:val="FFFFFF"/>
                <w:lang w:bidi="ar-SA"/>
              </w:rPr>
            </w:pPr>
            <w:r w:rsidRPr="00CD6BA1">
              <w:rPr>
                <w:rFonts w:ascii="Arial" w:eastAsia="Times New Roman" w:hAnsi="Arial" w:cs="Arial"/>
                <w:b/>
                <w:bCs/>
                <w:color w:val="FFFFFF"/>
                <w:sz w:val="22"/>
                <w:szCs w:val="22"/>
                <w:lang w:bidi="ar-SA"/>
              </w:rPr>
              <w:t>FY</w:t>
            </w:r>
          </w:p>
        </w:tc>
        <w:tc>
          <w:tcPr>
            <w:tcW w:w="3330" w:type="dxa"/>
            <w:shd w:val="clear" w:color="4F81BD" w:fill="4F81BD"/>
            <w:noWrap/>
            <w:vAlign w:val="bottom"/>
            <w:hideMark/>
          </w:tcPr>
          <w:p w:rsidR="002A25D5" w:rsidRPr="00CD6BA1" w:rsidRDefault="002A25D5" w:rsidP="002A25D5">
            <w:pPr>
              <w:jc w:val="center"/>
              <w:rPr>
                <w:rFonts w:ascii="Arial" w:eastAsia="Times New Roman" w:hAnsi="Arial" w:cs="Arial"/>
                <w:b/>
                <w:bCs/>
                <w:color w:val="FFFFFF"/>
                <w:lang w:bidi="ar-SA"/>
              </w:rPr>
            </w:pPr>
            <w:r>
              <w:rPr>
                <w:rFonts w:ascii="Arial" w:eastAsia="Times New Roman" w:hAnsi="Arial" w:cs="Arial"/>
                <w:b/>
                <w:bCs/>
                <w:color w:val="FFFFFF"/>
                <w:sz w:val="22"/>
                <w:szCs w:val="22"/>
                <w:lang w:bidi="ar-SA"/>
              </w:rPr>
              <w:t>% of AFVs Purchased vs. Non-AFVs</w:t>
            </w:r>
          </w:p>
        </w:tc>
      </w:tr>
      <w:tr w:rsidR="002A25D5" w:rsidRPr="00CD6BA1" w:rsidTr="002A25D5">
        <w:trPr>
          <w:trHeight w:val="228"/>
        </w:trPr>
        <w:tc>
          <w:tcPr>
            <w:tcW w:w="216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FY2007</w:t>
            </w:r>
          </w:p>
        </w:tc>
        <w:tc>
          <w:tcPr>
            <w:tcW w:w="3330" w:type="dxa"/>
            <w:shd w:val="clear" w:color="DBE5F1" w:fill="DBE5F1"/>
            <w:noWrap/>
            <w:vAlign w:val="bottom"/>
            <w:hideMark/>
          </w:tcPr>
          <w:p w:rsidR="002A25D5" w:rsidRPr="00CD6BA1" w:rsidRDefault="002A25D5" w:rsidP="002A25D5">
            <w:pPr>
              <w:rPr>
                <w:rFonts w:ascii="Arial" w:eastAsia="Times New Roman" w:hAnsi="Arial" w:cs="Arial"/>
                <w:color w:val="000000"/>
                <w:lang w:bidi="ar-SA"/>
              </w:rPr>
            </w:pPr>
            <w:r w:rsidRPr="00CD6BA1">
              <w:rPr>
                <w:rFonts w:ascii="Arial" w:eastAsia="Times New Roman" w:hAnsi="Arial" w:cs="Arial"/>
                <w:color w:val="000000"/>
                <w:sz w:val="22"/>
                <w:szCs w:val="22"/>
                <w:lang w:bidi="ar-SA"/>
              </w:rPr>
              <w:t xml:space="preserve"> </w:t>
            </w:r>
            <w:r>
              <w:rPr>
                <w:rFonts w:ascii="Arial" w:eastAsia="Times New Roman" w:hAnsi="Arial" w:cs="Arial"/>
                <w:color w:val="000000"/>
                <w:sz w:val="22"/>
                <w:szCs w:val="22"/>
                <w:lang w:bidi="ar-SA"/>
              </w:rPr>
              <w:t>37.70%</w:t>
            </w:r>
            <w:r w:rsidRPr="00CD6BA1">
              <w:rPr>
                <w:rFonts w:ascii="Arial" w:eastAsia="Times New Roman" w:hAnsi="Arial" w:cs="Arial"/>
                <w:color w:val="000000"/>
                <w:sz w:val="22"/>
                <w:szCs w:val="22"/>
                <w:lang w:bidi="ar-SA"/>
              </w:rPr>
              <w:t xml:space="preserve"> </w:t>
            </w:r>
          </w:p>
        </w:tc>
      </w:tr>
      <w:tr w:rsidR="002A25D5" w:rsidRPr="00CD6BA1" w:rsidTr="002A25D5">
        <w:trPr>
          <w:trHeight w:val="228"/>
        </w:trPr>
        <w:tc>
          <w:tcPr>
            <w:tcW w:w="216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FY2008</w:t>
            </w:r>
          </w:p>
        </w:tc>
        <w:tc>
          <w:tcPr>
            <w:tcW w:w="3330"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44.40%</w:t>
            </w:r>
          </w:p>
        </w:tc>
      </w:tr>
      <w:tr w:rsidR="002A25D5" w:rsidRPr="00CD6BA1" w:rsidTr="002A25D5">
        <w:trPr>
          <w:trHeight w:val="228"/>
        </w:trPr>
        <w:tc>
          <w:tcPr>
            <w:tcW w:w="216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FY2009</w:t>
            </w:r>
          </w:p>
        </w:tc>
        <w:tc>
          <w:tcPr>
            <w:tcW w:w="333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51.60%</w:t>
            </w:r>
          </w:p>
        </w:tc>
      </w:tr>
      <w:tr w:rsidR="002A25D5" w:rsidRPr="00CD6BA1" w:rsidTr="002A25D5">
        <w:trPr>
          <w:trHeight w:val="228"/>
        </w:trPr>
        <w:tc>
          <w:tcPr>
            <w:tcW w:w="216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FY2010</w:t>
            </w:r>
          </w:p>
        </w:tc>
        <w:tc>
          <w:tcPr>
            <w:tcW w:w="3330"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67.20%</w:t>
            </w:r>
          </w:p>
        </w:tc>
      </w:tr>
      <w:tr w:rsidR="002A25D5" w:rsidRPr="00CD6BA1" w:rsidTr="002A25D5">
        <w:trPr>
          <w:trHeight w:val="228"/>
        </w:trPr>
        <w:tc>
          <w:tcPr>
            <w:tcW w:w="216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FY2011</w:t>
            </w:r>
          </w:p>
        </w:tc>
        <w:tc>
          <w:tcPr>
            <w:tcW w:w="333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80.30%</w:t>
            </w:r>
          </w:p>
        </w:tc>
      </w:tr>
      <w:tr w:rsidR="002A25D5" w:rsidRPr="00CD6BA1" w:rsidTr="002A25D5">
        <w:trPr>
          <w:trHeight w:val="228"/>
        </w:trPr>
        <w:tc>
          <w:tcPr>
            <w:tcW w:w="216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FY2012</w:t>
            </w:r>
          </w:p>
        </w:tc>
        <w:tc>
          <w:tcPr>
            <w:tcW w:w="3330"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75.40%</w:t>
            </w:r>
          </w:p>
        </w:tc>
      </w:tr>
      <w:tr w:rsidR="002A25D5" w:rsidRPr="00CD6BA1" w:rsidTr="002A25D5">
        <w:trPr>
          <w:trHeight w:val="228"/>
        </w:trPr>
        <w:tc>
          <w:tcPr>
            <w:tcW w:w="216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sidRPr="00CD6BA1">
              <w:rPr>
                <w:rFonts w:ascii="Arial" w:eastAsia="Times New Roman" w:hAnsi="Arial" w:cs="Arial"/>
                <w:b/>
                <w:bCs/>
                <w:color w:val="000000"/>
                <w:sz w:val="22"/>
                <w:szCs w:val="22"/>
                <w:lang w:bidi="ar-SA"/>
              </w:rPr>
              <w:t>FY2013</w:t>
            </w:r>
          </w:p>
        </w:tc>
        <w:tc>
          <w:tcPr>
            <w:tcW w:w="333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82.10%</w:t>
            </w:r>
          </w:p>
        </w:tc>
      </w:tr>
    </w:tbl>
    <w:p w:rsidR="002A25D5" w:rsidRPr="008D2978" w:rsidRDefault="002A25D5" w:rsidP="008D2978">
      <w:pPr>
        <w:rPr>
          <w:sz w:val="20"/>
        </w:rPr>
      </w:pPr>
    </w:p>
    <w:p w:rsidR="008D2978" w:rsidRDefault="008D2978" w:rsidP="008D2978">
      <w:pPr>
        <w:rPr>
          <w:b/>
        </w:rPr>
      </w:pPr>
    </w:p>
    <w:p w:rsidR="008D2978" w:rsidRDefault="008D2978">
      <w:pPr>
        <w:spacing w:after="200" w:line="276" w:lineRule="auto"/>
        <w:rPr>
          <w:b/>
        </w:rPr>
      </w:pPr>
    </w:p>
    <w:p w:rsidR="002A25D5" w:rsidRDefault="002A25D5">
      <w:pPr>
        <w:spacing w:after="200" w:line="276" w:lineRule="auto"/>
        <w:rPr>
          <w:b/>
          <w:sz w:val="28"/>
        </w:rPr>
      </w:pPr>
      <w:r>
        <w:rPr>
          <w:b/>
          <w:sz w:val="28"/>
        </w:rPr>
        <w:br w:type="page"/>
      </w:r>
    </w:p>
    <w:p w:rsidR="008D2978" w:rsidRPr="008D2978" w:rsidRDefault="008D2978" w:rsidP="008D2978">
      <w:pPr>
        <w:pBdr>
          <w:bottom w:val="single" w:sz="6" w:space="1" w:color="auto"/>
        </w:pBdr>
        <w:rPr>
          <w:b/>
          <w:sz w:val="28"/>
        </w:rPr>
      </w:pPr>
      <w:r w:rsidRPr="008D2978">
        <w:rPr>
          <w:b/>
          <w:sz w:val="28"/>
        </w:rPr>
        <w:lastRenderedPageBreak/>
        <w:t>PBS DATA</w:t>
      </w:r>
    </w:p>
    <w:p w:rsidR="008D2978" w:rsidRDefault="008D2978" w:rsidP="008D2978">
      <w:pPr>
        <w:rPr>
          <w:b/>
        </w:rPr>
      </w:pPr>
    </w:p>
    <w:p w:rsidR="008D2978" w:rsidRDefault="008D2978" w:rsidP="008D2978">
      <w:pPr>
        <w:rPr>
          <w:b/>
        </w:rPr>
      </w:pPr>
      <w:r w:rsidRPr="008D2978">
        <w:rPr>
          <w:b/>
        </w:rPr>
        <w:t>FY13 Customer Savings</w:t>
      </w:r>
    </w:p>
    <w:p w:rsidR="008D2978" w:rsidRPr="008D2978" w:rsidRDefault="008D2978" w:rsidP="008D2978">
      <w:pPr>
        <w:rPr>
          <w:sz w:val="20"/>
        </w:rPr>
      </w:pPr>
      <w:r w:rsidRPr="008D2978">
        <w:rPr>
          <w:sz w:val="20"/>
        </w:rPr>
        <w:t xml:space="preserve">GSA’s mission is to deliver the best value in real estate, acquisition, and technology services to government and the American people.  To that end, GSA has begun tracking cost savings and cost avoidance in three PBS programs.  The disposal program tracks savings associated with actual costs avoided for environmental cleanup, restoration, and regulatory compliance, including historic preservation, for unneeded federal assets.  In FY2013, the savings measure also included capital cost avoidance, which was removed from the disposal savings measure in FY2014.   Facilities management savings is made up of energy savings and building operations contracts.  Energy savings compares industry average to GSA’s actual costs; on average, GSA operates 1.5% below industry average.  Contract savings is based on negotiation, contract consolidation, and renegotiation.  Leasing savings </w:t>
      </w:r>
      <w:r>
        <w:rPr>
          <w:sz w:val="20"/>
        </w:rPr>
        <w:t>are</w:t>
      </w:r>
      <w:r w:rsidRPr="008D2978">
        <w:rPr>
          <w:sz w:val="20"/>
        </w:rPr>
        <w:t xml:space="preserve"> based on the price PBS pays for a lease compared with benchmark data. </w:t>
      </w:r>
    </w:p>
    <w:p w:rsidR="008D2978" w:rsidRDefault="008D2978" w:rsidP="008D2978">
      <w:pPr>
        <w:rPr>
          <w:b/>
        </w:rPr>
      </w:pPr>
    </w:p>
    <w:tbl>
      <w:tblPr>
        <w:tblW w:w="432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1980"/>
      </w:tblGrid>
      <w:tr w:rsidR="008D2978" w:rsidRPr="008D2978" w:rsidTr="008D2978">
        <w:trPr>
          <w:trHeight w:val="300"/>
        </w:trPr>
        <w:tc>
          <w:tcPr>
            <w:tcW w:w="2345" w:type="dxa"/>
            <w:shd w:val="clear" w:color="4F81BD" w:fill="4F81BD"/>
            <w:noWrap/>
            <w:vAlign w:val="bottom"/>
            <w:hideMark/>
          </w:tcPr>
          <w:p w:rsidR="008D2978" w:rsidRPr="008D2978" w:rsidRDefault="008D2978" w:rsidP="008D2978">
            <w:pPr>
              <w:rPr>
                <w:rFonts w:ascii="Arial" w:eastAsia="Times New Roman" w:hAnsi="Arial" w:cs="Arial"/>
                <w:b/>
                <w:bCs/>
                <w:color w:val="FFFFFF"/>
                <w:lang w:bidi="ar-SA"/>
              </w:rPr>
            </w:pPr>
            <w:r w:rsidRPr="008D2978">
              <w:rPr>
                <w:rFonts w:ascii="Arial" w:eastAsia="Times New Roman" w:hAnsi="Arial" w:cs="Arial"/>
                <w:b/>
                <w:bCs/>
                <w:color w:val="FFFFFF"/>
                <w:sz w:val="22"/>
                <w:szCs w:val="22"/>
                <w:lang w:bidi="ar-SA"/>
              </w:rPr>
              <w:t>Category</w:t>
            </w:r>
          </w:p>
        </w:tc>
        <w:tc>
          <w:tcPr>
            <w:tcW w:w="1980" w:type="dxa"/>
            <w:shd w:val="clear" w:color="4F81BD" w:fill="4F81BD"/>
            <w:noWrap/>
            <w:vAlign w:val="bottom"/>
            <w:hideMark/>
          </w:tcPr>
          <w:p w:rsidR="008D2978" w:rsidRPr="008D2978" w:rsidRDefault="008D2978" w:rsidP="008D2978">
            <w:pPr>
              <w:rPr>
                <w:rFonts w:ascii="Arial" w:eastAsia="Times New Roman" w:hAnsi="Arial" w:cs="Arial"/>
                <w:b/>
                <w:bCs/>
                <w:color w:val="FFFFFF"/>
                <w:lang w:bidi="ar-SA"/>
              </w:rPr>
            </w:pPr>
            <w:r w:rsidRPr="008D2978">
              <w:rPr>
                <w:rFonts w:ascii="Arial" w:eastAsia="Times New Roman" w:hAnsi="Arial" w:cs="Arial"/>
                <w:b/>
                <w:bCs/>
                <w:color w:val="FFFFFF"/>
                <w:sz w:val="22"/>
                <w:szCs w:val="22"/>
                <w:lang w:bidi="ar-SA"/>
              </w:rPr>
              <w:t>Savings Amount</w:t>
            </w:r>
          </w:p>
        </w:tc>
      </w:tr>
      <w:tr w:rsidR="008D2978" w:rsidRPr="008D2978" w:rsidTr="008D2978">
        <w:trPr>
          <w:trHeight w:val="285"/>
        </w:trPr>
        <w:tc>
          <w:tcPr>
            <w:tcW w:w="2345"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Leasing</w:t>
            </w:r>
          </w:p>
        </w:tc>
        <w:tc>
          <w:tcPr>
            <w:tcW w:w="198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$29M</w:t>
            </w:r>
          </w:p>
        </w:tc>
      </w:tr>
      <w:tr w:rsidR="008D2978" w:rsidRPr="008D2978" w:rsidTr="008D2978">
        <w:trPr>
          <w:trHeight w:val="285"/>
        </w:trPr>
        <w:tc>
          <w:tcPr>
            <w:tcW w:w="2345" w:type="dxa"/>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Facility Management</w:t>
            </w:r>
          </w:p>
        </w:tc>
        <w:tc>
          <w:tcPr>
            <w:tcW w:w="1980" w:type="dxa"/>
            <w:shd w:val="clear" w:color="auto" w:fill="auto"/>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$26M</w:t>
            </w:r>
          </w:p>
        </w:tc>
      </w:tr>
      <w:tr w:rsidR="008D2978" w:rsidRPr="008D2978" w:rsidTr="008D2978">
        <w:trPr>
          <w:trHeight w:val="285"/>
        </w:trPr>
        <w:tc>
          <w:tcPr>
            <w:tcW w:w="2345"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Disposal</w:t>
            </w:r>
          </w:p>
        </w:tc>
        <w:tc>
          <w:tcPr>
            <w:tcW w:w="1980" w:type="dxa"/>
            <w:shd w:val="clear" w:color="DBE5F1" w:fill="DBE5F1"/>
            <w:noWrap/>
            <w:vAlign w:val="bottom"/>
            <w:hideMark/>
          </w:tcPr>
          <w:p w:rsidR="008D2978" w:rsidRPr="008D2978" w:rsidRDefault="008D2978" w:rsidP="008D2978">
            <w:pPr>
              <w:rPr>
                <w:rFonts w:ascii="Arial" w:eastAsia="Times New Roman" w:hAnsi="Arial" w:cs="Arial"/>
                <w:color w:val="000000"/>
                <w:lang w:bidi="ar-SA"/>
              </w:rPr>
            </w:pPr>
            <w:r w:rsidRPr="008D2978">
              <w:rPr>
                <w:rFonts w:ascii="Arial" w:eastAsia="Times New Roman" w:hAnsi="Arial" w:cs="Arial"/>
                <w:color w:val="000000"/>
                <w:sz w:val="22"/>
                <w:szCs w:val="22"/>
                <w:lang w:bidi="ar-SA"/>
              </w:rPr>
              <w:t>$73M</w:t>
            </w:r>
          </w:p>
        </w:tc>
      </w:tr>
      <w:tr w:rsidR="008D2978" w:rsidRPr="008D2978" w:rsidTr="008D2978">
        <w:trPr>
          <w:trHeight w:val="285"/>
        </w:trPr>
        <w:tc>
          <w:tcPr>
            <w:tcW w:w="2345" w:type="dxa"/>
            <w:shd w:val="clear" w:color="auto" w:fill="auto"/>
            <w:noWrap/>
            <w:vAlign w:val="bottom"/>
            <w:hideMark/>
          </w:tcPr>
          <w:p w:rsidR="008D2978" w:rsidRPr="008D2978" w:rsidRDefault="008D2978" w:rsidP="008D2978">
            <w:pPr>
              <w:jc w:val="right"/>
              <w:rPr>
                <w:rFonts w:ascii="Arial" w:eastAsia="Times New Roman" w:hAnsi="Arial" w:cs="Arial"/>
                <w:i/>
                <w:iCs/>
                <w:color w:val="000000"/>
                <w:lang w:bidi="ar-SA"/>
              </w:rPr>
            </w:pPr>
            <w:r w:rsidRPr="008D2978">
              <w:rPr>
                <w:rFonts w:ascii="Arial" w:eastAsia="Times New Roman" w:hAnsi="Arial" w:cs="Arial"/>
                <w:i/>
                <w:iCs/>
                <w:color w:val="000000"/>
                <w:sz w:val="22"/>
                <w:szCs w:val="22"/>
                <w:lang w:bidi="ar-SA"/>
              </w:rPr>
              <w:t>Total</w:t>
            </w:r>
          </w:p>
        </w:tc>
        <w:tc>
          <w:tcPr>
            <w:tcW w:w="1980" w:type="dxa"/>
            <w:shd w:val="clear" w:color="auto" w:fill="auto"/>
            <w:noWrap/>
            <w:vAlign w:val="bottom"/>
            <w:hideMark/>
          </w:tcPr>
          <w:p w:rsidR="008D2978" w:rsidRPr="008D2978" w:rsidRDefault="008D2978" w:rsidP="008D2978">
            <w:pPr>
              <w:jc w:val="right"/>
              <w:rPr>
                <w:rFonts w:ascii="Arial" w:eastAsia="Times New Roman" w:hAnsi="Arial" w:cs="Arial"/>
                <w:i/>
                <w:iCs/>
                <w:color w:val="000000"/>
                <w:lang w:bidi="ar-SA"/>
              </w:rPr>
            </w:pPr>
            <w:r w:rsidRPr="008D2978">
              <w:rPr>
                <w:rFonts w:ascii="Arial" w:eastAsia="Times New Roman" w:hAnsi="Arial" w:cs="Arial"/>
                <w:i/>
                <w:iCs/>
                <w:color w:val="000000"/>
                <w:sz w:val="22"/>
                <w:szCs w:val="22"/>
                <w:lang w:bidi="ar-SA"/>
              </w:rPr>
              <w:t>$128 million</w:t>
            </w:r>
          </w:p>
        </w:tc>
      </w:tr>
    </w:tbl>
    <w:p w:rsidR="008D2978" w:rsidRDefault="008D2978" w:rsidP="008D2978">
      <w:pPr>
        <w:rPr>
          <w:b/>
        </w:rPr>
      </w:pPr>
    </w:p>
    <w:p w:rsidR="008D2978" w:rsidRDefault="008D2978" w:rsidP="008D2978">
      <w:pPr>
        <w:rPr>
          <w:b/>
        </w:rPr>
      </w:pPr>
    </w:p>
    <w:p w:rsidR="008D2978" w:rsidRDefault="008D2978" w:rsidP="008D2978">
      <w:pPr>
        <w:rPr>
          <w:b/>
        </w:rPr>
      </w:pPr>
      <w:r w:rsidRPr="008D2978">
        <w:rPr>
          <w:b/>
        </w:rPr>
        <w:t>FY2013 Top PBS Customers by Revenue</w:t>
      </w:r>
    </w:p>
    <w:p w:rsidR="008D2978" w:rsidRPr="008D2978" w:rsidRDefault="008D2978" w:rsidP="008D2978">
      <w:pPr>
        <w:rPr>
          <w:sz w:val="20"/>
        </w:rPr>
      </w:pPr>
      <w:r w:rsidRPr="008D2978">
        <w:rPr>
          <w:sz w:val="20"/>
        </w:rPr>
        <w:t xml:space="preserve">FY 2013 gross revenue was $11.6 billion, with over half the revenue from </w:t>
      </w:r>
      <w:proofErr w:type="spellStart"/>
      <w:r w:rsidRPr="008D2978">
        <w:rPr>
          <w:sz w:val="20"/>
        </w:rPr>
        <w:t>DoJ</w:t>
      </w:r>
      <w:proofErr w:type="spellEnd"/>
      <w:r w:rsidRPr="008D2978">
        <w:rPr>
          <w:sz w:val="20"/>
        </w:rPr>
        <w:t xml:space="preserve">, Judiciary, DHS, DoT, and SSA. </w:t>
      </w:r>
    </w:p>
    <w:p w:rsidR="008D2978" w:rsidRDefault="008D2978" w:rsidP="008D2978">
      <w:pPr>
        <w:rPr>
          <w:b/>
        </w:rPr>
      </w:pPr>
    </w:p>
    <w:tbl>
      <w:tblPr>
        <w:tblW w:w="639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2250"/>
      </w:tblGrid>
      <w:tr w:rsidR="002A25D5" w:rsidRPr="00CD6BA1" w:rsidTr="002A25D5">
        <w:trPr>
          <w:trHeight w:val="228"/>
        </w:trPr>
        <w:tc>
          <w:tcPr>
            <w:tcW w:w="4145" w:type="dxa"/>
            <w:shd w:val="clear" w:color="4F81BD" w:fill="4F81BD"/>
            <w:noWrap/>
            <w:vAlign w:val="bottom"/>
            <w:hideMark/>
          </w:tcPr>
          <w:p w:rsidR="002A25D5" w:rsidRPr="00CD6BA1" w:rsidRDefault="002A25D5" w:rsidP="00A223B4">
            <w:pPr>
              <w:jc w:val="center"/>
              <w:rPr>
                <w:rFonts w:ascii="Arial" w:eastAsia="Times New Roman" w:hAnsi="Arial" w:cs="Arial"/>
                <w:b/>
                <w:bCs/>
                <w:color w:val="FFFFFF"/>
                <w:lang w:bidi="ar-SA"/>
              </w:rPr>
            </w:pPr>
            <w:r>
              <w:rPr>
                <w:rFonts w:ascii="Arial" w:eastAsia="Times New Roman" w:hAnsi="Arial" w:cs="Arial"/>
                <w:b/>
                <w:bCs/>
                <w:color w:val="FFFFFF"/>
                <w:sz w:val="22"/>
                <w:szCs w:val="22"/>
                <w:lang w:bidi="ar-SA"/>
              </w:rPr>
              <w:t>Customer Agency</w:t>
            </w:r>
          </w:p>
        </w:tc>
        <w:tc>
          <w:tcPr>
            <w:tcW w:w="2250" w:type="dxa"/>
            <w:shd w:val="clear" w:color="4F81BD" w:fill="4F81BD"/>
            <w:noWrap/>
            <w:vAlign w:val="bottom"/>
            <w:hideMark/>
          </w:tcPr>
          <w:p w:rsidR="002A25D5" w:rsidRPr="00CD6BA1" w:rsidRDefault="002A25D5" w:rsidP="00A223B4">
            <w:pPr>
              <w:jc w:val="center"/>
              <w:rPr>
                <w:rFonts w:ascii="Arial" w:eastAsia="Times New Roman" w:hAnsi="Arial" w:cs="Arial"/>
                <w:b/>
                <w:bCs/>
                <w:color w:val="FFFFFF"/>
                <w:lang w:bidi="ar-SA"/>
              </w:rPr>
            </w:pPr>
            <w:r>
              <w:rPr>
                <w:rFonts w:ascii="Arial" w:eastAsia="Times New Roman" w:hAnsi="Arial" w:cs="Arial"/>
                <w:b/>
                <w:bCs/>
                <w:color w:val="FFFFFF"/>
                <w:sz w:val="22"/>
                <w:szCs w:val="22"/>
                <w:lang w:bidi="ar-SA"/>
              </w:rPr>
              <w:t>Revenue</w:t>
            </w:r>
          </w:p>
        </w:tc>
      </w:tr>
      <w:tr w:rsidR="002A25D5" w:rsidRPr="00CD6BA1" w:rsidTr="002A25D5">
        <w:trPr>
          <w:trHeight w:val="228"/>
        </w:trPr>
        <w:tc>
          <w:tcPr>
            <w:tcW w:w="414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Department of Justice</w:t>
            </w:r>
          </w:p>
        </w:tc>
        <w:tc>
          <w:tcPr>
            <w:tcW w:w="225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$1,090M</w:t>
            </w:r>
          </w:p>
        </w:tc>
      </w:tr>
      <w:tr w:rsidR="002A25D5" w:rsidRPr="00CD6BA1" w:rsidTr="002A25D5">
        <w:trPr>
          <w:trHeight w:val="228"/>
        </w:trPr>
        <w:tc>
          <w:tcPr>
            <w:tcW w:w="414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Federal Judiciary</w:t>
            </w:r>
          </w:p>
        </w:tc>
        <w:tc>
          <w:tcPr>
            <w:tcW w:w="2250"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$1,847M</w:t>
            </w:r>
          </w:p>
        </w:tc>
      </w:tr>
      <w:tr w:rsidR="002A25D5" w:rsidRPr="00CD6BA1" w:rsidTr="002A25D5">
        <w:trPr>
          <w:trHeight w:val="228"/>
        </w:trPr>
        <w:tc>
          <w:tcPr>
            <w:tcW w:w="414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Department of Homeland Security</w:t>
            </w:r>
          </w:p>
        </w:tc>
        <w:tc>
          <w:tcPr>
            <w:tcW w:w="225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$1,182M</w:t>
            </w:r>
          </w:p>
        </w:tc>
      </w:tr>
      <w:tr w:rsidR="002A25D5" w:rsidRPr="00CD6BA1" w:rsidTr="002A25D5">
        <w:trPr>
          <w:trHeight w:val="228"/>
        </w:trPr>
        <w:tc>
          <w:tcPr>
            <w:tcW w:w="4145" w:type="dxa"/>
            <w:shd w:val="clear" w:color="auto" w:fill="auto"/>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lang w:bidi="ar-SA"/>
              </w:rPr>
              <w:t>Department of Transportation</w:t>
            </w:r>
          </w:p>
        </w:tc>
        <w:tc>
          <w:tcPr>
            <w:tcW w:w="2250" w:type="dxa"/>
            <w:shd w:val="clear" w:color="auto" w:fill="auto"/>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$791M</w:t>
            </w:r>
          </w:p>
        </w:tc>
      </w:tr>
      <w:tr w:rsidR="002A25D5" w:rsidRPr="00CD6BA1" w:rsidTr="002A25D5">
        <w:trPr>
          <w:trHeight w:val="228"/>
        </w:trPr>
        <w:tc>
          <w:tcPr>
            <w:tcW w:w="4145" w:type="dxa"/>
            <w:shd w:val="clear" w:color="DBE5F1" w:fill="DBE5F1"/>
            <w:noWrap/>
            <w:vAlign w:val="bottom"/>
            <w:hideMark/>
          </w:tcPr>
          <w:p w:rsidR="002A25D5" w:rsidRPr="00CD6BA1" w:rsidRDefault="002A25D5" w:rsidP="00A223B4">
            <w:pPr>
              <w:rPr>
                <w:rFonts w:ascii="Arial" w:eastAsia="Times New Roman" w:hAnsi="Arial" w:cs="Arial"/>
                <w:b/>
                <w:bCs/>
                <w:color w:val="000000"/>
                <w:lang w:bidi="ar-SA"/>
              </w:rPr>
            </w:pPr>
            <w:r>
              <w:rPr>
                <w:rFonts w:ascii="Arial" w:eastAsia="Times New Roman" w:hAnsi="Arial" w:cs="Arial"/>
                <w:b/>
                <w:bCs/>
                <w:color w:val="000000"/>
                <w:sz w:val="22"/>
                <w:szCs w:val="22"/>
                <w:lang w:bidi="ar-SA"/>
              </w:rPr>
              <w:t>Social Security Administration</w:t>
            </w:r>
          </w:p>
        </w:tc>
        <w:tc>
          <w:tcPr>
            <w:tcW w:w="2250" w:type="dxa"/>
            <w:shd w:val="clear" w:color="DBE5F1" w:fill="DBE5F1"/>
            <w:noWrap/>
            <w:vAlign w:val="bottom"/>
            <w:hideMark/>
          </w:tcPr>
          <w:p w:rsidR="002A25D5" w:rsidRPr="00CD6BA1" w:rsidRDefault="002A25D5" w:rsidP="00A223B4">
            <w:pPr>
              <w:rPr>
                <w:rFonts w:ascii="Arial" w:eastAsia="Times New Roman" w:hAnsi="Arial" w:cs="Arial"/>
                <w:color w:val="000000"/>
                <w:lang w:bidi="ar-SA"/>
              </w:rPr>
            </w:pPr>
            <w:r>
              <w:rPr>
                <w:rFonts w:ascii="Arial" w:eastAsia="Times New Roman" w:hAnsi="Arial" w:cs="Arial"/>
                <w:color w:val="000000"/>
                <w:sz w:val="22"/>
                <w:szCs w:val="22"/>
                <w:lang w:bidi="ar-SA"/>
              </w:rPr>
              <w:t>$776M</w:t>
            </w:r>
          </w:p>
        </w:tc>
      </w:tr>
    </w:tbl>
    <w:p w:rsidR="002A25D5" w:rsidRDefault="002A25D5" w:rsidP="008D2978">
      <w:pPr>
        <w:rPr>
          <w:b/>
        </w:rPr>
      </w:pPr>
    </w:p>
    <w:p w:rsidR="008D2978" w:rsidRDefault="008D2978" w:rsidP="008D2978">
      <w:pPr>
        <w:rPr>
          <w:b/>
        </w:rPr>
      </w:pPr>
    </w:p>
    <w:p w:rsidR="008D2978" w:rsidRDefault="008D2978" w:rsidP="008D2978">
      <w:pPr>
        <w:rPr>
          <w:b/>
        </w:rPr>
      </w:pPr>
    </w:p>
    <w:p w:rsidR="008D2978" w:rsidRDefault="008D2978" w:rsidP="008D2978">
      <w:pPr>
        <w:rPr>
          <w:b/>
        </w:rPr>
      </w:pPr>
    </w:p>
    <w:p w:rsidR="003024F5" w:rsidRDefault="003024F5" w:rsidP="008D2978">
      <w:pPr>
        <w:rPr>
          <w:b/>
        </w:rPr>
      </w:pPr>
      <w:r>
        <w:rPr>
          <w:b/>
        </w:rPr>
        <w:br/>
      </w:r>
    </w:p>
    <w:p w:rsidR="003024F5" w:rsidRDefault="003024F5">
      <w:pPr>
        <w:spacing w:after="200" w:line="276" w:lineRule="auto"/>
        <w:rPr>
          <w:b/>
        </w:rPr>
      </w:pPr>
      <w:r>
        <w:rPr>
          <w:b/>
        </w:rPr>
        <w:br w:type="page"/>
      </w:r>
    </w:p>
    <w:p w:rsidR="008D2978" w:rsidRDefault="008D2978" w:rsidP="008D2978">
      <w:pPr>
        <w:rPr>
          <w:b/>
        </w:rPr>
      </w:pPr>
      <w:r w:rsidRPr="008D2978">
        <w:rPr>
          <w:b/>
        </w:rPr>
        <w:lastRenderedPageBreak/>
        <w:t>GSA-managed inventory leased vs owned rentable square foot</w:t>
      </w:r>
    </w:p>
    <w:p w:rsidR="008D2978" w:rsidRDefault="008D2978" w:rsidP="008D2978">
      <w:pPr>
        <w:rPr>
          <w:sz w:val="22"/>
        </w:rPr>
      </w:pPr>
      <w:r w:rsidRPr="008D2978">
        <w:rPr>
          <w:sz w:val="22"/>
        </w:rPr>
        <w:t xml:space="preserve">Historically, GSA managed more owned assets than leased assets.  In 2008, leased </w:t>
      </w:r>
      <w:proofErr w:type="spellStart"/>
      <w:r w:rsidRPr="008D2978">
        <w:rPr>
          <w:sz w:val="22"/>
        </w:rPr>
        <w:t>rsf</w:t>
      </w:r>
      <w:proofErr w:type="spellEnd"/>
      <w:r w:rsidRPr="008D2978">
        <w:rPr>
          <w:sz w:val="22"/>
        </w:rPr>
        <w:t xml:space="preserve"> overcame federally owned assets.  This trend is concerning since, generally, owned inventory is a better long-term housing solution for most federal tenants and provides cost savings over time.   GSA slowed this trend and we hope to continue to reverse the trend by exploring innovative solutions and initiatives to promote consolidations and co-locations into the federal inventory. </w:t>
      </w:r>
    </w:p>
    <w:p w:rsidR="003024F5" w:rsidRPr="003024F5" w:rsidRDefault="003024F5" w:rsidP="008D2978">
      <w:pPr>
        <w:rPr>
          <w:sz w:val="22"/>
        </w:rPr>
      </w:pPr>
    </w:p>
    <w:tbl>
      <w:tblPr>
        <w:tblW w:w="10297" w:type="dxa"/>
        <w:tblInd w:w="-379" w:type="dxa"/>
        <w:tblLayout w:type="fixed"/>
        <w:tblLook w:val="04A0" w:firstRow="1" w:lastRow="0" w:firstColumn="1" w:lastColumn="0" w:noHBand="0" w:noVBand="1"/>
      </w:tblPr>
      <w:tblGrid>
        <w:gridCol w:w="663"/>
        <w:gridCol w:w="845"/>
        <w:gridCol w:w="922"/>
        <w:gridCol w:w="718"/>
        <w:gridCol w:w="845"/>
        <w:gridCol w:w="876"/>
        <w:gridCol w:w="388"/>
        <w:gridCol w:w="720"/>
        <w:gridCol w:w="900"/>
        <w:gridCol w:w="900"/>
        <w:gridCol w:w="720"/>
        <w:gridCol w:w="900"/>
        <w:gridCol w:w="900"/>
      </w:tblGrid>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FY</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Leased</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Owned</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Total</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 Leased</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 Owned</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b/>
                <w:bCs/>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FY</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Leased</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Owned</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Total</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 Leased</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b/>
                <w:bCs/>
                <w:color w:val="000000"/>
                <w:lang w:bidi="ar-SA"/>
              </w:rPr>
            </w:pPr>
            <w:r w:rsidRPr="003024F5">
              <w:rPr>
                <w:rFonts w:ascii="Calibri" w:eastAsia="Times New Roman" w:hAnsi="Calibri"/>
                <w:b/>
                <w:bCs/>
                <w:color w:val="000000"/>
                <w:sz w:val="22"/>
                <w:szCs w:val="22"/>
                <w:lang w:bidi="ar-SA"/>
              </w:rPr>
              <w:t>% Owned</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bookmarkStart w:id="0" w:name="_GoBack" w:colFirst="2" w:colLast="5"/>
            <w:r w:rsidRPr="003024F5">
              <w:rPr>
                <w:rFonts w:ascii="Calibri" w:eastAsia="Times New Roman" w:hAnsi="Calibri"/>
                <w:color w:val="000000"/>
                <w:sz w:val="22"/>
                <w:szCs w:val="22"/>
                <w:lang w:bidi="ar-SA"/>
              </w:rPr>
              <w:t>1965</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43.1</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145.8</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188.9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77%</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1998</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149.8</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185.8</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335.6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55%</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1966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149.4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194.4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77%</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1999</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152.3</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184.9</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337.2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55%</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1967</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46.4</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155.5</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201.9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77%</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2000</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152.8</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183.9</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336.7</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55%</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1968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48.3</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160.3</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208.6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77%</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2001</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152.6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181.7</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334.2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54%</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1969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51</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160.6</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211.6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24%</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76%</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154.2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181.5</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335.7</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54%</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1970</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54.1</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163.2</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217.3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25%</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75%</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2003</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159.7</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179.7</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339.4</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47%</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53%</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55.5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164.4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219.9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25%</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75%</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2004</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164.6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179.3</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343.9</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48%</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52%</w:t>
            </w:r>
          </w:p>
        </w:tc>
      </w:tr>
      <w:bookmarkEnd w:id="0"/>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1972</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61.9</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157.8</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219.7</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28%</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72%</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167.1</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175.4</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342.5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49%</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51%</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68</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156.4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224.4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30%</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70%</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174.4</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346.5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50%</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50%</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77.7</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153.7</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231.4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34%</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66%</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2007</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175.6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176.6</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352.2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50%</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50%</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1975</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81.3</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155.1</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236.4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34%</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66%</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2008</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177.9</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176.6</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354.5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50%</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50%</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87.5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144.5</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232</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38%</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62%</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2009</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184.4</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177.1</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361.5</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51%</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49%</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1977</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88.9</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137.5</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226.4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2010</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191.4</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178.8</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370.2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48%</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91.9</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138.4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230.3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40%</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60%</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2011</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192.7</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182.0</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374.6</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51%</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49%</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1979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93.3</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137.4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230.7</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40%</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60%</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2012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194.1</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181.6</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375.7</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48%</w:t>
            </w:r>
          </w:p>
        </w:tc>
      </w:tr>
      <w:tr w:rsidR="00264C0D" w:rsidRPr="003024F5" w:rsidTr="00264C0D">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1980</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90.4</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138.5</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228.9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w:t>
            </w:r>
          </w:p>
        </w:tc>
        <w:tc>
          <w:tcPr>
            <w:tcW w:w="388" w:type="dxa"/>
            <w:tcBorders>
              <w:top w:val="single" w:sz="4" w:space="0" w:color="auto"/>
              <w:bottom w:val="single" w:sz="4" w:space="0" w:color="auto"/>
            </w:tcBorders>
            <w:shd w:val="clear" w:color="auto" w:fill="000000" w:themeFill="text1"/>
          </w:tcPr>
          <w:p w:rsidR="00264C0D" w:rsidRPr="003024F5" w:rsidRDefault="00264C0D" w:rsidP="00F60E96">
            <w:pPr>
              <w:jc w:val="center"/>
              <w:rPr>
                <w:rFonts w:ascii="Calibri" w:eastAsia="Times New Roman" w:hAnsi="Calibri"/>
                <w:color w:val="000000"/>
                <w:lang w:bidi="ar-SA"/>
              </w:rPr>
            </w:pPr>
          </w:p>
        </w:tc>
        <w:tc>
          <w:tcPr>
            <w:tcW w:w="720" w:type="dxa"/>
            <w:tcBorders>
              <w:top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2013</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194.9</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183.0</w:t>
            </w:r>
          </w:p>
        </w:tc>
        <w:tc>
          <w:tcPr>
            <w:tcW w:w="72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377.9</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52%</w:t>
            </w:r>
          </w:p>
        </w:tc>
        <w:tc>
          <w:tcPr>
            <w:tcW w:w="900" w:type="dxa"/>
            <w:tcBorders>
              <w:top w:val="single" w:sz="4" w:space="0" w:color="auto"/>
              <w:left w:val="single" w:sz="4" w:space="0" w:color="auto"/>
              <w:bottom w:val="single" w:sz="4" w:space="0" w:color="auto"/>
              <w:right w:val="single" w:sz="4" w:space="0" w:color="auto"/>
            </w:tcBorders>
            <w:vAlign w:val="bottom"/>
          </w:tcPr>
          <w:p w:rsidR="00264C0D" w:rsidRPr="003024F5" w:rsidRDefault="00264C0D" w:rsidP="00F60E96">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48%</w:t>
            </w: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90.2</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139.6</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229.8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1982</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91.2</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138.7</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229.9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40%</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60%</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90.1</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138</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228.1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40%</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60%</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88.7</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137.4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226.1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1985</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88.3</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138.5</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226.8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89</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138.6</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227.6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1987</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89.8</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137.6</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227.4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39%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93</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140</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40%</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60%</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1989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97.4</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141.2</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238.6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41%</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59%</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1990</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101.7</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141.9</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243.6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42%</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58%</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109.5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137.1</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246.6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44%</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56%</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1992</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118.4</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139.4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257.8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46%</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54%</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125.7</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142.1</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267.8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47%</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53%</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133.5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143.1</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276.6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48%</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52%</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1995</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137</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144.8</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281.8</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139.5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146.4</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285.9</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r w:rsidR="00264C0D" w:rsidRPr="003024F5" w:rsidTr="00264C0D">
        <w:trPr>
          <w:gridAfter w:val="6"/>
          <w:wAfter w:w="504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1997</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141.5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148.6</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290.1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49%</w:t>
            </w:r>
          </w:p>
        </w:tc>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C0D" w:rsidRPr="003024F5" w:rsidRDefault="00264C0D" w:rsidP="003024F5">
            <w:pPr>
              <w:jc w:val="center"/>
              <w:rPr>
                <w:rFonts w:ascii="Calibri" w:eastAsia="Times New Roman" w:hAnsi="Calibri"/>
                <w:color w:val="000000"/>
                <w:lang w:bidi="ar-SA"/>
              </w:rPr>
            </w:pPr>
            <w:r w:rsidRPr="003024F5">
              <w:rPr>
                <w:rFonts w:ascii="Calibri" w:eastAsia="Times New Roman" w:hAnsi="Calibri"/>
                <w:color w:val="000000"/>
                <w:sz w:val="22"/>
                <w:szCs w:val="22"/>
                <w:lang w:bidi="ar-SA"/>
              </w:rPr>
              <w:t>51%</w:t>
            </w:r>
          </w:p>
        </w:tc>
        <w:tc>
          <w:tcPr>
            <w:tcW w:w="388" w:type="dxa"/>
            <w:tcBorders>
              <w:top w:val="single" w:sz="4" w:space="0" w:color="auto"/>
              <w:left w:val="single" w:sz="4" w:space="0" w:color="auto"/>
              <w:bottom w:val="single" w:sz="4" w:space="0" w:color="auto"/>
              <w:right w:val="single" w:sz="4" w:space="0" w:color="auto"/>
            </w:tcBorders>
            <w:shd w:val="clear" w:color="auto" w:fill="000000" w:themeFill="text1"/>
          </w:tcPr>
          <w:p w:rsidR="00264C0D" w:rsidRPr="003024F5" w:rsidRDefault="00264C0D" w:rsidP="003024F5">
            <w:pPr>
              <w:jc w:val="center"/>
              <w:rPr>
                <w:rFonts w:ascii="Calibri" w:eastAsia="Times New Roman" w:hAnsi="Calibri"/>
                <w:color w:val="000000"/>
                <w:lang w:bidi="ar-SA"/>
              </w:rPr>
            </w:pPr>
          </w:p>
        </w:tc>
      </w:tr>
    </w:tbl>
    <w:p w:rsidR="003024F5" w:rsidRDefault="003024F5" w:rsidP="008D2978">
      <w:pPr>
        <w:rPr>
          <w:b/>
        </w:rPr>
      </w:pPr>
    </w:p>
    <w:p w:rsidR="008D2978" w:rsidRDefault="008D2978" w:rsidP="008D2978">
      <w:pPr>
        <w:rPr>
          <w:b/>
        </w:rPr>
      </w:pPr>
      <w:r w:rsidRPr="008D2978">
        <w:rPr>
          <w:b/>
        </w:rPr>
        <w:t>FY2013 Top PBS Customers by Total Rentable Square Feet (RSF)</w:t>
      </w:r>
    </w:p>
    <w:p w:rsidR="008D2978" w:rsidRPr="008D2978" w:rsidRDefault="008D2978" w:rsidP="008D2978">
      <w:pPr>
        <w:rPr>
          <w:sz w:val="20"/>
        </w:rPr>
      </w:pPr>
      <w:r w:rsidRPr="008D2978">
        <w:rPr>
          <w:sz w:val="20"/>
        </w:rPr>
        <w:t xml:space="preserve">The four largest customers in the PBS owned inventory are Judiciary, DOJ, DHS and Treasury.  These customers comprise approximately 50% of office rentable square feet and rent payments. </w:t>
      </w:r>
    </w:p>
    <w:p w:rsidR="008D2978" w:rsidRDefault="008D2978" w:rsidP="008D2978">
      <w:pPr>
        <w:rPr>
          <w:b/>
        </w:rPr>
      </w:pPr>
    </w:p>
    <w:tbl>
      <w:tblPr>
        <w:tblW w:w="6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6"/>
        <w:gridCol w:w="990"/>
        <w:gridCol w:w="990"/>
      </w:tblGrid>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b/>
                <w:bCs/>
                <w:color w:val="000000"/>
                <w:sz w:val="20"/>
                <w:szCs w:val="20"/>
                <w:lang w:bidi="ar-SA"/>
              </w:rPr>
            </w:pPr>
            <w:r w:rsidRPr="00264C0D">
              <w:rPr>
                <w:rFonts w:ascii="Arial" w:eastAsia="Times New Roman" w:hAnsi="Arial" w:cs="Arial"/>
                <w:b/>
                <w:bCs/>
                <w:color w:val="000000"/>
                <w:sz w:val="20"/>
                <w:szCs w:val="20"/>
                <w:lang w:bidi="ar-SA"/>
              </w:rPr>
              <w:t>Customer</w:t>
            </w:r>
          </w:p>
        </w:tc>
        <w:tc>
          <w:tcPr>
            <w:tcW w:w="990" w:type="dxa"/>
            <w:shd w:val="clear" w:color="auto" w:fill="auto"/>
            <w:vAlign w:val="bottom"/>
            <w:hideMark/>
          </w:tcPr>
          <w:p w:rsidR="00264C0D" w:rsidRPr="00264C0D" w:rsidRDefault="00264C0D" w:rsidP="00264C0D">
            <w:pPr>
              <w:rPr>
                <w:rFonts w:ascii="Arial" w:eastAsia="Times New Roman" w:hAnsi="Arial" w:cs="Arial"/>
                <w:b/>
                <w:bCs/>
                <w:color w:val="000000"/>
                <w:sz w:val="20"/>
                <w:szCs w:val="20"/>
                <w:lang w:bidi="ar-SA"/>
              </w:rPr>
            </w:pPr>
            <w:r w:rsidRPr="00264C0D">
              <w:rPr>
                <w:rFonts w:ascii="Arial" w:eastAsia="Times New Roman" w:hAnsi="Arial" w:cs="Arial"/>
                <w:b/>
                <w:bCs/>
                <w:color w:val="000000"/>
                <w:sz w:val="20"/>
                <w:szCs w:val="20"/>
                <w:lang w:bidi="ar-SA"/>
              </w:rPr>
              <w:t>Owned</w:t>
            </w:r>
            <w:r>
              <w:rPr>
                <w:rFonts w:ascii="Arial" w:eastAsia="Times New Roman" w:hAnsi="Arial" w:cs="Arial"/>
                <w:b/>
                <w:bCs/>
                <w:color w:val="000000"/>
                <w:sz w:val="20"/>
                <w:szCs w:val="20"/>
                <w:lang w:bidi="ar-SA"/>
              </w:rPr>
              <w:t>*</w:t>
            </w:r>
          </w:p>
        </w:tc>
        <w:tc>
          <w:tcPr>
            <w:tcW w:w="990" w:type="dxa"/>
            <w:shd w:val="clear" w:color="auto" w:fill="auto"/>
            <w:vAlign w:val="bottom"/>
            <w:hideMark/>
          </w:tcPr>
          <w:p w:rsidR="00264C0D" w:rsidRPr="00264C0D" w:rsidRDefault="00264C0D" w:rsidP="00264C0D">
            <w:pPr>
              <w:rPr>
                <w:rFonts w:ascii="Arial" w:eastAsia="Times New Roman" w:hAnsi="Arial" w:cs="Arial"/>
                <w:b/>
                <w:bCs/>
                <w:color w:val="000000"/>
                <w:sz w:val="20"/>
                <w:szCs w:val="20"/>
                <w:lang w:bidi="ar-SA"/>
              </w:rPr>
            </w:pPr>
            <w:r w:rsidRPr="00264C0D">
              <w:rPr>
                <w:rFonts w:ascii="Arial" w:eastAsia="Times New Roman" w:hAnsi="Arial" w:cs="Arial"/>
                <w:b/>
                <w:bCs/>
                <w:color w:val="000000"/>
                <w:sz w:val="20"/>
                <w:szCs w:val="20"/>
                <w:lang w:bidi="ar-SA"/>
              </w:rPr>
              <w:t>Leased</w:t>
            </w:r>
            <w:r>
              <w:rPr>
                <w:rFonts w:ascii="Arial" w:eastAsia="Times New Roman" w:hAnsi="Arial" w:cs="Arial"/>
                <w:b/>
                <w:bCs/>
                <w:color w:val="000000"/>
                <w:sz w:val="20"/>
                <w:szCs w:val="20"/>
                <w:lang w:bidi="ar-SA"/>
              </w:rPr>
              <w:t>*</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Department of </w:t>
            </w:r>
            <w:r w:rsidRPr="00264C0D">
              <w:rPr>
                <w:rFonts w:ascii="Arial" w:eastAsia="Times New Roman" w:hAnsi="Arial" w:cs="Arial"/>
                <w:color w:val="000000"/>
                <w:sz w:val="20"/>
                <w:szCs w:val="20"/>
                <w:lang w:bidi="ar-SA"/>
              </w:rPr>
              <w:t>Justice</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20</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31.6</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Department of Homeland Security</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14.9</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29.3</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Department of Justice </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37.1</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6.1</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Department of </w:t>
            </w:r>
            <w:r w:rsidRPr="00264C0D">
              <w:rPr>
                <w:rFonts w:ascii="Arial" w:eastAsia="Times New Roman" w:hAnsi="Arial" w:cs="Arial"/>
                <w:color w:val="000000"/>
                <w:sz w:val="20"/>
                <w:szCs w:val="20"/>
                <w:lang w:bidi="ar-SA"/>
              </w:rPr>
              <w:t xml:space="preserve">Treasury </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13.8</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17.2</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S</w:t>
            </w:r>
            <w:r>
              <w:rPr>
                <w:rFonts w:ascii="Arial" w:eastAsia="Times New Roman" w:hAnsi="Arial" w:cs="Arial"/>
                <w:color w:val="000000"/>
                <w:sz w:val="20"/>
                <w:szCs w:val="20"/>
                <w:lang w:bidi="ar-SA"/>
              </w:rPr>
              <w:t xml:space="preserve">ocial </w:t>
            </w:r>
            <w:r w:rsidRPr="00264C0D">
              <w:rPr>
                <w:rFonts w:ascii="Arial" w:eastAsia="Times New Roman" w:hAnsi="Arial" w:cs="Arial"/>
                <w:color w:val="000000"/>
                <w:sz w:val="20"/>
                <w:szCs w:val="20"/>
                <w:lang w:bidi="ar-SA"/>
              </w:rPr>
              <w:t>S</w:t>
            </w:r>
            <w:r>
              <w:rPr>
                <w:rFonts w:ascii="Arial" w:eastAsia="Times New Roman" w:hAnsi="Arial" w:cs="Arial"/>
                <w:color w:val="000000"/>
                <w:sz w:val="20"/>
                <w:szCs w:val="20"/>
                <w:lang w:bidi="ar-SA"/>
              </w:rPr>
              <w:t xml:space="preserve">ecurity </w:t>
            </w:r>
            <w:r w:rsidRPr="00264C0D">
              <w:rPr>
                <w:rFonts w:ascii="Arial" w:eastAsia="Times New Roman" w:hAnsi="Arial" w:cs="Arial"/>
                <w:color w:val="000000"/>
                <w:sz w:val="20"/>
                <w:szCs w:val="20"/>
                <w:lang w:bidi="ar-SA"/>
              </w:rPr>
              <w:t>A</w:t>
            </w:r>
            <w:r>
              <w:rPr>
                <w:rFonts w:ascii="Arial" w:eastAsia="Times New Roman" w:hAnsi="Arial" w:cs="Arial"/>
                <w:color w:val="000000"/>
                <w:sz w:val="20"/>
                <w:szCs w:val="20"/>
                <w:lang w:bidi="ar-SA"/>
              </w:rPr>
              <w:t>dministration</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10</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20.5</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Department of Health and Human Services </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6.4</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10.7</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Department of Interior</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6.3</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8</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United States </w:t>
            </w:r>
            <w:r w:rsidRPr="00264C0D">
              <w:rPr>
                <w:rFonts w:ascii="Arial" w:eastAsia="Times New Roman" w:hAnsi="Arial" w:cs="Arial"/>
                <w:color w:val="000000"/>
                <w:sz w:val="20"/>
                <w:szCs w:val="20"/>
                <w:lang w:bidi="ar-SA"/>
              </w:rPr>
              <w:t>D</w:t>
            </w:r>
            <w:r>
              <w:rPr>
                <w:rFonts w:ascii="Arial" w:eastAsia="Times New Roman" w:hAnsi="Arial" w:cs="Arial"/>
                <w:color w:val="000000"/>
                <w:sz w:val="20"/>
                <w:szCs w:val="20"/>
                <w:lang w:bidi="ar-SA"/>
              </w:rPr>
              <w:t xml:space="preserve">epartment of </w:t>
            </w:r>
            <w:r w:rsidRPr="00264C0D">
              <w:rPr>
                <w:rFonts w:ascii="Arial" w:eastAsia="Times New Roman" w:hAnsi="Arial" w:cs="Arial"/>
                <w:color w:val="000000"/>
                <w:sz w:val="20"/>
                <w:szCs w:val="20"/>
                <w:lang w:bidi="ar-SA"/>
              </w:rPr>
              <w:t>A</w:t>
            </w:r>
            <w:r>
              <w:rPr>
                <w:rFonts w:ascii="Arial" w:eastAsia="Times New Roman" w:hAnsi="Arial" w:cs="Arial"/>
                <w:color w:val="000000"/>
                <w:sz w:val="20"/>
                <w:szCs w:val="20"/>
                <w:lang w:bidi="ar-SA"/>
              </w:rPr>
              <w:t>griculture</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5.9</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6.5</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D</w:t>
            </w:r>
            <w:r>
              <w:rPr>
                <w:rFonts w:ascii="Arial" w:eastAsia="Times New Roman" w:hAnsi="Arial" w:cs="Arial"/>
                <w:color w:val="000000"/>
                <w:sz w:val="20"/>
                <w:szCs w:val="20"/>
                <w:lang w:bidi="ar-SA"/>
              </w:rPr>
              <w:t>epartment of Defense</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4</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8.3</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Department of </w:t>
            </w:r>
            <w:r w:rsidRPr="00264C0D">
              <w:rPr>
                <w:rFonts w:ascii="Arial" w:eastAsia="Times New Roman" w:hAnsi="Arial" w:cs="Arial"/>
                <w:color w:val="000000"/>
                <w:sz w:val="20"/>
                <w:szCs w:val="20"/>
                <w:lang w:bidi="ar-SA"/>
              </w:rPr>
              <w:t>Commerce</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5.7</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5.4</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G</w:t>
            </w:r>
            <w:r>
              <w:rPr>
                <w:rFonts w:ascii="Arial" w:eastAsia="Times New Roman" w:hAnsi="Arial" w:cs="Arial"/>
                <w:color w:val="000000"/>
                <w:sz w:val="20"/>
                <w:szCs w:val="20"/>
                <w:lang w:bidi="ar-SA"/>
              </w:rPr>
              <w:t>eneral Services Administration</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7.4</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1.7</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Department of Veterans Affairs</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3.8</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4</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Department of </w:t>
            </w:r>
            <w:r w:rsidRPr="00264C0D">
              <w:rPr>
                <w:rFonts w:ascii="Arial" w:eastAsia="Times New Roman" w:hAnsi="Arial" w:cs="Arial"/>
                <w:color w:val="000000"/>
                <w:sz w:val="20"/>
                <w:szCs w:val="20"/>
                <w:lang w:bidi="ar-SA"/>
              </w:rPr>
              <w:t>State</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3.3</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4.1</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E</w:t>
            </w:r>
            <w:r>
              <w:rPr>
                <w:rFonts w:ascii="Arial" w:eastAsia="Times New Roman" w:hAnsi="Arial" w:cs="Arial"/>
                <w:color w:val="000000"/>
                <w:sz w:val="20"/>
                <w:szCs w:val="20"/>
                <w:lang w:bidi="ar-SA"/>
              </w:rPr>
              <w:t xml:space="preserve">nvironmental </w:t>
            </w:r>
            <w:r w:rsidRPr="00264C0D">
              <w:rPr>
                <w:rFonts w:ascii="Arial" w:eastAsia="Times New Roman" w:hAnsi="Arial" w:cs="Arial"/>
                <w:color w:val="000000"/>
                <w:sz w:val="20"/>
                <w:szCs w:val="20"/>
                <w:lang w:bidi="ar-SA"/>
              </w:rPr>
              <w:t>P</w:t>
            </w:r>
            <w:r>
              <w:rPr>
                <w:rFonts w:ascii="Arial" w:eastAsia="Times New Roman" w:hAnsi="Arial" w:cs="Arial"/>
                <w:color w:val="000000"/>
                <w:sz w:val="20"/>
                <w:szCs w:val="20"/>
                <w:lang w:bidi="ar-SA"/>
              </w:rPr>
              <w:t xml:space="preserve">rotection </w:t>
            </w:r>
            <w:r w:rsidRPr="00264C0D">
              <w:rPr>
                <w:rFonts w:ascii="Arial" w:eastAsia="Times New Roman" w:hAnsi="Arial" w:cs="Arial"/>
                <w:color w:val="000000"/>
                <w:sz w:val="20"/>
                <w:szCs w:val="20"/>
                <w:lang w:bidi="ar-SA"/>
              </w:rPr>
              <w:t>A</w:t>
            </w:r>
            <w:r>
              <w:rPr>
                <w:rFonts w:ascii="Arial" w:eastAsia="Times New Roman" w:hAnsi="Arial" w:cs="Arial"/>
                <w:color w:val="000000"/>
                <w:sz w:val="20"/>
                <w:szCs w:val="20"/>
                <w:lang w:bidi="ar-SA"/>
              </w:rPr>
              <w:t>gency</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3.6</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3.3</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D</w:t>
            </w:r>
            <w:r>
              <w:rPr>
                <w:rFonts w:ascii="Arial" w:eastAsia="Times New Roman" w:hAnsi="Arial" w:cs="Arial"/>
                <w:color w:val="000000"/>
                <w:sz w:val="20"/>
                <w:szCs w:val="20"/>
                <w:lang w:bidi="ar-SA"/>
              </w:rPr>
              <w:t>epartment of Energy</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3.4</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3.2</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D</w:t>
            </w:r>
            <w:r>
              <w:rPr>
                <w:rFonts w:ascii="Arial" w:eastAsia="Times New Roman" w:hAnsi="Arial" w:cs="Arial"/>
                <w:color w:val="000000"/>
                <w:sz w:val="20"/>
                <w:szCs w:val="20"/>
                <w:lang w:bidi="ar-SA"/>
              </w:rPr>
              <w:t>epartment of Transportation</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4.4</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D</w:t>
            </w:r>
            <w:r>
              <w:rPr>
                <w:rFonts w:ascii="Arial" w:eastAsia="Times New Roman" w:hAnsi="Arial" w:cs="Arial"/>
                <w:color w:val="000000"/>
                <w:sz w:val="20"/>
                <w:szCs w:val="20"/>
                <w:lang w:bidi="ar-SA"/>
              </w:rPr>
              <w:t>epartment of Labor</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4</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2.2</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N</w:t>
            </w:r>
            <w:r>
              <w:rPr>
                <w:rFonts w:ascii="Arial" w:eastAsia="Times New Roman" w:hAnsi="Arial" w:cs="Arial"/>
                <w:color w:val="000000"/>
                <w:sz w:val="20"/>
                <w:szCs w:val="20"/>
                <w:lang w:bidi="ar-SA"/>
              </w:rPr>
              <w:t>ational Archives and Records Administration</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1.9</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3.4</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Army</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2.1</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2.9</w:t>
            </w:r>
          </w:p>
        </w:tc>
      </w:tr>
      <w:tr w:rsidR="00264C0D" w:rsidRPr="00264C0D" w:rsidTr="00264C0D">
        <w:trPr>
          <w:trHeight w:val="300"/>
        </w:trPr>
        <w:tc>
          <w:tcPr>
            <w:tcW w:w="4396" w:type="dxa"/>
            <w:shd w:val="clear" w:color="auto" w:fill="auto"/>
            <w:vAlign w:val="bottom"/>
            <w:hideMark/>
          </w:tcPr>
          <w:p w:rsidR="00264C0D" w:rsidRPr="00264C0D" w:rsidRDefault="00264C0D" w:rsidP="00264C0D">
            <w:pPr>
              <w:rPr>
                <w:rFonts w:ascii="Arial" w:eastAsia="Times New Roman" w:hAnsi="Arial" w:cs="Arial"/>
                <w:color w:val="000000"/>
                <w:sz w:val="20"/>
                <w:szCs w:val="20"/>
                <w:lang w:bidi="ar-SA"/>
              </w:rPr>
            </w:pPr>
            <w:r>
              <w:rPr>
                <w:rFonts w:ascii="Arial" w:eastAsia="Times New Roman" w:hAnsi="Arial" w:cs="Arial"/>
                <w:color w:val="000000"/>
                <w:sz w:val="20"/>
                <w:szCs w:val="20"/>
                <w:lang w:bidi="ar-SA"/>
              </w:rPr>
              <w:t xml:space="preserve">US Army Corps of Engineers </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2.5</w:t>
            </w:r>
          </w:p>
        </w:tc>
        <w:tc>
          <w:tcPr>
            <w:tcW w:w="990" w:type="dxa"/>
            <w:shd w:val="clear" w:color="auto" w:fill="auto"/>
            <w:vAlign w:val="bottom"/>
            <w:hideMark/>
          </w:tcPr>
          <w:p w:rsidR="00264C0D" w:rsidRPr="00264C0D" w:rsidRDefault="00264C0D" w:rsidP="00264C0D">
            <w:pPr>
              <w:jc w:val="right"/>
              <w:rPr>
                <w:rFonts w:ascii="Arial" w:eastAsia="Times New Roman" w:hAnsi="Arial" w:cs="Arial"/>
                <w:color w:val="000000"/>
                <w:sz w:val="20"/>
                <w:szCs w:val="20"/>
                <w:lang w:bidi="ar-SA"/>
              </w:rPr>
            </w:pPr>
            <w:r w:rsidRPr="00264C0D">
              <w:rPr>
                <w:rFonts w:ascii="Arial" w:eastAsia="Times New Roman" w:hAnsi="Arial" w:cs="Arial"/>
                <w:color w:val="000000"/>
                <w:sz w:val="20"/>
                <w:szCs w:val="20"/>
                <w:lang w:bidi="ar-SA"/>
              </w:rPr>
              <w:t>2.3</w:t>
            </w:r>
          </w:p>
        </w:tc>
      </w:tr>
      <w:tr w:rsidR="00264C0D" w:rsidRPr="00264C0D" w:rsidTr="00264C0D">
        <w:trPr>
          <w:trHeight w:val="285"/>
        </w:trPr>
        <w:tc>
          <w:tcPr>
            <w:tcW w:w="4396" w:type="dxa"/>
            <w:shd w:val="clear" w:color="auto" w:fill="auto"/>
            <w:vAlign w:val="bottom"/>
            <w:hideMark/>
          </w:tcPr>
          <w:p w:rsidR="00264C0D" w:rsidRPr="00264C0D" w:rsidRDefault="00F60E96" w:rsidP="00264C0D">
            <w:pPr>
              <w:jc w:val="right"/>
              <w:rPr>
                <w:rFonts w:ascii="Arial" w:eastAsia="Times New Roman" w:hAnsi="Arial" w:cs="Arial"/>
                <w:color w:val="000000"/>
                <w:sz w:val="20"/>
                <w:szCs w:val="20"/>
                <w:lang w:bidi="ar-SA"/>
              </w:rPr>
            </w:pPr>
            <w:r>
              <w:rPr>
                <w:rFonts w:ascii="Arial" w:eastAsia="Times New Roman" w:hAnsi="Arial" w:cs="Arial"/>
                <w:color w:val="000000"/>
                <w:sz w:val="20"/>
                <w:szCs w:val="20"/>
                <w:lang w:bidi="ar-SA"/>
              </w:rPr>
              <w:t>T</w:t>
            </w:r>
            <w:r w:rsidR="00264C0D" w:rsidRPr="00264C0D">
              <w:rPr>
                <w:rFonts w:ascii="Arial" w:eastAsia="Times New Roman" w:hAnsi="Arial" w:cs="Arial"/>
                <w:color w:val="000000"/>
                <w:sz w:val="20"/>
                <w:szCs w:val="20"/>
                <w:lang w:bidi="ar-SA"/>
              </w:rPr>
              <w:t>otal</w:t>
            </w:r>
          </w:p>
        </w:tc>
        <w:tc>
          <w:tcPr>
            <w:tcW w:w="990" w:type="dxa"/>
            <w:shd w:val="clear" w:color="auto" w:fill="auto"/>
            <w:noWrap/>
            <w:vAlign w:val="bottom"/>
            <w:hideMark/>
          </w:tcPr>
          <w:p w:rsidR="00264C0D" w:rsidRPr="00264C0D" w:rsidRDefault="00264C0D" w:rsidP="00264C0D">
            <w:pPr>
              <w:jc w:val="right"/>
              <w:rPr>
                <w:rFonts w:ascii="Arial" w:eastAsia="Times New Roman" w:hAnsi="Arial" w:cs="Arial"/>
                <w:color w:val="000000"/>
                <w:lang w:bidi="ar-SA"/>
              </w:rPr>
            </w:pPr>
            <w:r w:rsidRPr="00264C0D">
              <w:rPr>
                <w:rFonts w:ascii="Arial" w:eastAsia="Times New Roman" w:hAnsi="Arial" w:cs="Arial"/>
                <w:color w:val="000000"/>
                <w:sz w:val="22"/>
                <w:szCs w:val="22"/>
                <w:lang w:bidi="ar-SA"/>
              </w:rPr>
              <w:t>158.1</w:t>
            </w:r>
          </w:p>
        </w:tc>
        <w:tc>
          <w:tcPr>
            <w:tcW w:w="990" w:type="dxa"/>
            <w:shd w:val="clear" w:color="auto" w:fill="auto"/>
            <w:noWrap/>
            <w:vAlign w:val="bottom"/>
            <w:hideMark/>
          </w:tcPr>
          <w:p w:rsidR="00264C0D" w:rsidRPr="00264C0D" w:rsidRDefault="00264C0D" w:rsidP="00264C0D">
            <w:pPr>
              <w:jc w:val="right"/>
              <w:rPr>
                <w:rFonts w:ascii="Arial" w:eastAsia="Times New Roman" w:hAnsi="Arial" w:cs="Arial"/>
                <w:color w:val="000000"/>
                <w:lang w:bidi="ar-SA"/>
              </w:rPr>
            </w:pPr>
            <w:r w:rsidRPr="00264C0D">
              <w:rPr>
                <w:rFonts w:ascii="Arial" w:eastAsia="Times New Roman" w:hAnsi="Arial" w:cs="Arial"/>
                <w:color w:val="000000"/>
                <w:sz w:val="22"/>
                <w:szCs w:val="22"/>
                <w:lang w:bidi="ar-SA"/>
              </w:rPr>
              <w:t>175.1</w:t>
            </w:r>
          </w:p>
        </w:tc>
      </w:tr>
    </w:tbl>
    <w:p w:rsidR="00264C0D" w:rsidRPr="00264C0D" w:rsidRDefault="00264C0D" w:rsidP="008D2978">
      <w:pPr>
        <w:rPr>
          <w:i/>
          <w:sz w:val="22"/>
        </w:rPr>
      </w:pPr>
      <w:r w:rsidRPr="00264C0D">
        <w:rPr>
          <w:i/>
          <w:sz w:val="22"/>
        </w:rPr>
        <w:t>*in millions</w:t>
      </w:r>
    </w:p>
    <w:p w:rsidR="00264C0D" w:rsidRDefault="00264C0D" w:rsidP="008D2978">
      <w:pPr>
        <w:rPr>
          <w:b/>
        </w:rPr>
      </w:pPr>
    </w:p>
    <w:p w:rsidR="008D2978" w:rsidRDefault="008D2978" w:rsidP="008D2978">
      <w:pPr>
        <w:rPr>
          <w:b/>
        </w:rPr>
      </w:pPr>
    </w:p>
    <w:p w:rsidR="00F60E96" w:rsidRDefault="00F60E96" w:rsidP="008D2978">
      <w:pPr>
        <w:rPr>
          <w:b/>
        </w:rPr>
      </w:pPr>
      <w:r>
        <w:rPr>
          <w:b/>
        </w:rPr>
        <w:br/>
      </w:r>
    </w:p>
    <w:p w:rsidR="00F60E96" w:rsidRDefault="00F60E96">
      <w:pPr>
        <w:spacing w:after="200" w:line="276" w:lineRule="auto"/>
        <w:rPr>
          <w:b/>
        </w:rPr>
      </w:pPr>
      <w:r>
        <w:rPr>
          <w:b/>
        </w:rPr>
        <w:br w:type="page"/>
      </w:r>
    </w:p>
    <w:p w:rsidR="008D2978" w:rsidRDefault="008D2978" w:rsidP="008D2978">
      <w:pPr>
        <w:rPr>
          <w:b/>
        </w:rPr>
      </w:pPr>
      <w:r w:rsidRPr="008D2978">
        <w:rPr>
          <w:b/>
        </w:rPr>
        <w:lastRenderedPageBreak/>
        <w:t>FY2013 Top 15 PBS Key Market</w:t>
      </w:r>
    </w:p>
    <w:p w:rsidR="008D2978" w:rsidRDefault="008D2978" w:rsidP="008D2978">
      <w:pPr>
        <w:rPr>
          <w:sz w:val="20"/>
        </w:rPr>
      </w:pPr>
      <w:r w:rsidRPr="008D2978">
        <w:rPr>
          <w:sz w:val="20"/>
        </w:rPr>
        <w:t xml:space="preserve">PBS owned and leased assets are located in more than 750 market areas.  These include major cities across all 50 U.S. states, 6 U.S. territories, and the District of Columbia.  The top 15 markets represent approximately 60% of the total </w:t>
      </w:r>
      <w:proofErr w:type="spellStart"/>
      <w:r w:rsidRPr="008D2978">
        <w:rPr>
          <w:sz w:val="20"/>
        </w:rPr>
        <w:t>rsf</w:t>
      </w:r>
      <w:proofErr w:type="spellEnd"/>
      <w:r w:rsidRPr="008D2978">
        <w:rPr>
          <w:sz w:val="20"/>
        </w:rPr>
        <w:t xml:space="preserve"> in the inventory.  The Washington, DC area alone makes up more than one quarter of</w:t>
      </w:r>
      <w:proofErr w:type="gramStart"/>
      <w:r w:rsidRPr="008D2978">
        <w:rPr>
          <w:sz w:val="20"/>
        </w:rPr>
        <w:t>  the</w:t>
      </w:r>
      <w:proofErr w:type="gramEnd"/>
      <w:r w:rsidRPr="008D2978">
        <w:rPr>
          <w:sz w:val="20"/>
        </w:rPr>
        <w:t xml:space="preserve"> total square footage in the PBS portfolio. </w:t>
      </w:r>
    </w:p>
    <w:p w:rsidR="003024F5" w:rsidRPr="008D2978" w:rsidRDefault="003024F5" w:rsidP="008D2978">
      <w:pPr>
        <w:rPr>
          <w:sz w:val="20"/>
        </w:rPr>
      </w:pPr>
    </w:p>
    <w:tbl>
      <w:tblPr>
        <w:tblStyle w:val="TableGrid"/>
        <w:tblW w:w="9578" w:type="dxa"/>
        <w:tblCellMar>
          <w:left w:w="86" w:type="dxa"/>
          <w:right w:w="86" w:type="dxa"/>
        </w:tblCellMar>
        <w:tblLook w:val="0000" w:firstRow="0" w:lastRow="0" w:firstColumn="0" w:lastColumn="0" w:noHBand="0" w:noVBand="0"/>
      </w:tblPr>
      <w:tblGrid>
        <w:gridCol w:w="6116"/>
        <w:gridCol w:w="900"/>
        <w:gridCol w:w="916"/>
        <w:gridCol w:w="816"/>
        <w:gridCol w:w="830"/>
      </w:tblGrid>
      <w:tr w:rsidR="003024F5" w:rsidTr="003024F5">
        <w:trPr>
          <w:trHeight w:val="197"/>
        </w:trPr>
        <w:tc>
          <w:tcPr>
            <w:tcW w:w="6116" w:type="dxa"/>
            <w:vMerge w:val="restart"/>
          </w:tcPr>
          <w:p w:rsidR="003024F5" w:rsidRDefault="003024F5" w:rsidP="003024F5">
            <w:pPr>
              <w:ind w:left="108"/>
              <w:rPr>
                <w:b/>
              </w:rPr>
            </w:pPr>
          </w:p>
          <w:p w:rsidR="003024F5" w:rsidRDefault="003024F5" w:rsidP="003024F5">
            <w:pPr>
              <w:ind w:left="108"/>
              <w:rPr>
                <w:b/>
              </w:rPr>
            </w:pPr>
            <w:r w:rsidRPr="003024F5">
              <w:rPr>
                <w:b/>
                <w:sz w:val="28"/>
              </w:rPr>
              <w:t>Metropolitan Statistical Areas</w:t>
            </w:r>
          </w:p>
        </w:tc>
        <w:tc>
          <w:tcPr>
            <w:tcW w:w="1816" w:type="dxa"/>
            <w:gridSpan w:val="2"/>
            <w:shd w:val="clear" w:color="auto" w:fill="auto"/>
            <w:vAlign w:val="center"/>
          </w:tcPr>
          <w:p w:rsidR="003024F5" w:rsidRPr="003024F5" w:rsidRDefault="003024F5" w:rsidP="003024F5">
            <w:pPr>
              <w:spacing w:after="200" w:line="276" w:lineRule="auto"/>
              <w:jc w:val="center"/>
              <w:rPr>
                <w:b/>
                <w:sz w:val="20"/>
                <w:szCs w:val="20"/>
              </w:rPr>
            </w:pPr>
            <w:r>
              <w:rPr>
                <w:b/>
                <w:sz w:val="20"/>
                <w:szCs w:val="20"/>
              </w:rPr>
              <w:t>RSF (in millions)</w:t>
            </w:r>
          </w:p>
        </w:tc>
        <w:tc>
          <w:tcPr>
            <w:tcW w:w="1646" w:type="dxa"/>
            <w:gridSpan w:val="2"/>
            <w:shd w:val="clear" w:color="auto" w:fill="auto"/>
            <w:vAlign w:val="center"/>
          </w:tcPr>
          <w:p w:rsidR="003024F5" w:rsidRPr="003024F5" w:rsidRDefault="003024F5" w:rsidP="003024F5">
            <w:pPr>
              <w:spacing w:after="200" w:line="276" w:lineRule="auto"/>
              <w:jc w:val="center"/>
              <w:rPr>
                <w:b/>
                <w:sz w:val="20"/>
                <w:szCs w:val="20"/>
              </w:rPr>
            </w:pPr>
            <w:r>
              <w:rPr>
                <w:b/>
                <w:sz w:val="20"/>
                <w:szCs w:val="20"/>
              </w:rPr>
              <w:t># of Assets</w:t>
            </w:r>
          </w:p>
        </w:tc>
      </w:tr>
      <w:tr w:rsidR="003024F5" w:rsidTr="003024F5">
        <w:trPr>
          <w:trHeight w:val="60"/>
        </w:trPr>
        <w:tc>
          <w:tcPr>
            <w:tcW w:w="6116" w:type="dxa"/>
            <w:vMerge/>
          </w:tcPr>
          <w:p w:rsidR="003024F5" w:rsidRDefault="003024F5" w:rsidP="003024F5">
            <w:pPr>
              <w:ind w:left="108"/>
              <w:rPr>
                <w:b/>
              </w:rPr>
            </w:pPr>
          </w:p>
        </w:tc>
        <w:tc>
          <w:tcPr>
            <w:tcW w:w="900" w:type="dxa"/>
            <w:shd w:val="clear" w:color="auto" w:fill="auto"/>
            <w:vAlign w:val="center"/>
          </w:tcPr>
          <w:p w:rsidR="003024F5" w:rsidRPr="003024F5" w:rsidRDefault="003024F5" w:rsidP="003024F5">
            <w:pPr>
              <w:spacing w:after="200" w:line="276" w:lineRule="auto"/>
              <w:rPr>
                <w:b/>
                <w:sz w:val="20"/>
                <w:szCs w:val="20"/>
              </w:rPr>
            </w:pPr>
            <w:r>
              <w:rPr>
                <w:b/>
                <w:sz w:val="20"/>
                <w:szCs w:val="20"/>
              </w:rPr>
              <w:t>Owned</w:t>
            </w:r>
          </w:p>
        </w:tc>
        <w:tc>
          <w:tcPr>
            <w:tcW w:w="916" w:type="dxa"/>
            <w:shd w:val="clear" w:color="auto" w:fill="auto"/>
            <w:vAlign w:val="center"/>
          </w:tcPr>
          <w:p w:rsidR="003024F5" w:rsidRPr="003024F5" w:rsidRDefault="003024F5" w:rsidP="003024F5">
            <w:pPr>
              <w:spacing w:after="200" w:line="276" w:lineRule="auto"/>
              <w:rPr>
                <w:b/>
                <w:sz w:val="20"/>
                <w:szCs w:val="20"/>
              </w:rPr>
            </w:pPr>
            <w:r>
              <w:rPr>
                <w:b/>
                <w:sz w:val="20"/>
                <w:szCs w:val="20"/>
              </w:rPr>
              <w:t>Leased</w:t>
            </w:r>
          </w:p>
        </w:tc>
        <w:tc>
          <w:tcPr>
            <w:tcW w:w="816" w:type="dxa"/>
            <w:shd w:val="clear" w:color="auto" w:fill="auto"/>
            <w:vAlign w:val="center"/>
          </w:tcPr>
          <w:p w:rsidR="003024F5" w:rsidRPr="003024F5" w:rsidRDefault="003024F5" w:rsidP="003024F5">
            <w:pPr>
              <w:spacing w:after="200" w:line="276" w:lineRule="auto"/>
              <w:jc w:val="center"/>
              <w:rPr>
                <w:b/>
                <w:sz w:val="20"/>
                <w:szCs w:val="20"/>
              </w:rPr>
            </w:pPr>
            <w:r>
              <w:rPr>
                <w:b/>
                <w:sz w:val="20"/>
                <w:szCs w:val="20"/>
              </w:rPr>
              <w:t>Owned</w:t>
            </w:r>
          </w:p>
        </w:tc>
        <w:tc>
          <w:tcPr>
            <w:tcW w:w="830" w:type="dxa"/>
            <w:shd w:val="clear" w:color="auto" w:fill="auto"/>
            <w:vAlign w:val="center"/>
          </w:tcPr>
          <w:p w:rsidR="003024F5" w:rsidRPr="003024F5" w:rsidRDefault="003024F5" w:rsidP="003024F5">
            <w:pPr>
              <w:spacing w:after="200" w:line="276" w:lineRule="auto"/>
              <w:jc w:val="center"/>
              <w:rPr>
                <w:b/>
                <w:sz w:val="20"/>
                <w:szCs w:val="20"/>
              </w:rPr>
            </w:pPr>
            <w:r>
              <w:rPr>
                <w:b/>
                <w:sz w:val="20"/>
                <w:szCs w:val="20"/>
              </w:rPr>
              <w:t>Leased</w:t>
            </w:r>
          </w:p>
        </w:tc>
      </w:tr>
      <w:tr w:rsidR="003024F5" w:rsidTr="003024F5">
        <w:tblPrEx>
          <w:tblLook w:val="04A0" w:firstRow="1" w:lastRow="0" w:firstColumn="1" w:lastColumn="0" w:noHBand="0" w:noVBand="1"/>
        </w:tblPrEx>
        <w:tc>
          <w:tcPr>
            <w:tcW w:w="6116" w:type="dxa"/>
          </w:tcPr>
          <w:p w:rsidR="003024F5" w:rsidRPr="003024F5" w:rsidRDefault="003024F5" w:rsidP="008D2978">
            <w:r w:rsidRPr="003024F5">
              <w:t>Washington</w:t>
            </w:r>
            <w:r>
              <w:t>-Arlington-Alexandria, DC-VA-MD-WV</w:t>
            </w:r>
          </w:p>
        </w:tc>
        <w:tc>
          <w:tcPr>
            <w:tcW w:w="900" w:type="dxa"/>
          </w:tcPr>
          <w:p w:rsidR="003024F5" w:rsidRPr="003024F5" w:rsidRDefault="003024F5" w:rsidP="008D2978">
            <w:r>
              <w:t>42.8</w:t>
            </w:r>
          </w:p>
        </w:tc>
        <w:tc>
          <w:tcPr>
            <w:tcW w:w="916" w:type="dxa"/>
          </w:tcPr>
          <w:p w:rsidR="003024F5" w:rsidRPr="003024F5" w:rsidRDefault="003024F5" w:rsidP="008D2978">
            <w:r>
              <w:t>57.5</w:t>
            </w:r>
          </w:p>
        </w:tc>
        <w:tc>
          <w:tcPr>
            <w:tcW w:w="816" w:type="dxa"/>
          </w:tcPr>
          <w:p w:rsidR="003024F5" w:rsidRPr="003024F5" w:rsidRDefault="003024F5" w:rsidP="008D2978">
            <w:r>
              <w:t>175</w:t>
            </w:r>
          </w:p>
        </w:tc>
        <w:tc>
          <w:tcPr>
            <w:tcW w:w="830" w:type="dxa"/>
          </w:tcPr>
          <w:p w:rsidR="003024F5" w:rsidRPr="003024F5" w:rsidRDefault="003024F5" w:rsidP="008D2978">
            <w:r>
              <w:t>547</w:t>
            </w:r>
          </w:p>
        </w:tc>
      </w:tr>
      <w:tr w:rsidR="003024F5" w:rsidTr="003024F5">
        <w:tblPrEx>
          <w:tblLook w:val="04A0" w:firstRow="1" w:lastRow="0" w:firstColumn="1" w:lastColumn="0" w:noHBand="0" w:noVBand="1"/>
        </w:tblPrEx>
        <w:tc>
          <w:tcPr>
            <w:tcW w:w="6116" w:type="dxa"/>
          </w:tcPr>
          <w:p w:rsidR="003024F5" w:rsidRPr="003024F5" w:rsidRDefault="003024F5" w:rsidP="008D2978">
            <w:r>
              <w:t>New York-Northern New Jersey-Long Island, NY-NJ-PA</w:t>
            </w:r>
          </w:p>
        </w:tc>
        <w:tc>
          <w:tcPr>
            <w:tcW w:w="900" w:type="dxa"/>
          </w:tcPr>
          <w:p w:rsidR="003024F5" w:rsidRPr="003024F5" w:rsidRDefault="003024F5" w:rsidP="008D2978">
            <w:r>
              <w:t>10.1</w:t>
            </w:r>
          </w:p>
        </w:tc>
        <w:tc>
          <w:tcPr>
            <w:tcW w:w="916" w:type="dxa"/>
          </w:tcPr>
          <w:p w:rsidR="003024F5" w:rsidRPr="003024F5" w:rsidRDefault="003024F5" w:rsidP="008D2978">
            <w:r>
              <w:t>6.9</w:t>
            </w:r>
          </w:p>
        </w:tc>
        <w:tc>
          <w:tcPr>
            <w:tcW w:w="816" w:type="dxa"/>
          </w:tcPr>
          <w:p w:rsidR="003024F5" w:rsidRPr="003024F5" w:rsidRDefault="003024F5" w:rsidP="008D2978">
            <w:r>
              <w:t>20</w:t>
            </w:r>
          </w:p>
        </w:tc>
        <w:tc>
          <w:tcPr>
            <w:tcW w:w="830" w:type="dxa"/>
          </w:tcPr>
          <w:p w:rsidR="003024F5" w:rsidRPr="003024F5" w:rsidRDefault="003024F5" w:rsidP="008D2978">
            <w:r>
              <w:t>242</w:t>
            </w:r>
          </w:p>
        </w:tc>
      </w:tr>
      <w:tr w:rsidR="003024F5" w:rsidTr="003024F5">
        <w:tblPrEx>
          <w:tblLook w:val="04A0" w:firstRow="1" w:lastRow="0" w:firstColumn="1" w:lastColumn="0" w:noHBand="0" w:noVBand="1"/>
        </w:tblPrEx>
        <w:tc>
          <w:tcPr>
            <w:tcW w:w="6116" w:type="dxa"/>
          </w:tcPr>
          <w:p w:rsidR="003024F5" w:rsidRPr="003024F5" w:rsidRDefault="003024F5" w:rsidP="008D2978">
            <w:r>
              <w:t>Kansas city, MO-KS</w:t>
            </w:r>
          </w:p>
        </w:tc>
        <w:tc>
          <w:tcPr>
            <w:tcW w:w="900" w:type="dxa"/>
          </w:tcPr>
          <w:p w:rsidR="003024F5" w:rsidRPr="003024F5" w:rsidRDefault="003024F5" w:rsidP="008D2978">
            <w:r>
              <w:t>4.1</w:t>
            </w:r>
          </w:p>
        </w:tc>
        <w:tc>
          <w:tcPr>
            <w:tcW w:w="916" w:type="dxa"/>
          </w:tcPr>
          <w:p w:rsidR="003024F5" w:rsidRPr="003024F5" w:rsidRDefault="003024F5" w:rsidP="008D2978">
            <w:r>
              <w:t>8.1</w:t>
            </w:r>
          </w:p>
        </w:tc>
        <w:tc>
          <w:tcPr>
            <w:tcW w:w="816" w:type="dxa"/>
          </w:tcPr>
          <w:p w:rsidR="003024F5" w:rsidRPr="003024F5" w:rsidRDefault="003024F5" w:rsidP="008D2978">
            <w:r>
              <w:t>17</w:t>
            </w:r>
          </w:p>
        </w:tc>
        <w:tc>
          <w:tcPr>
            <w:tcW w:w="830" w:type="dxa"/>
          </w:tcPr>
          <w:p w:rsidR="003024F5" w:rsidRPr="003024F5" w:rsidRDefault="003024F5" w:rsidP="008D2978">
            <w:r>
              <w:t>71</w:t>
            </w:r>
          </w:p>
        </w:tc>
      </w:tr>
      <w:tr w:rsidR="003024F5" w:rsidTr="003024F5">
        <w:tblPrEx>
          <w:tblLook w:val="04A0" w:firstRow="1" w:lastRow="0" w:firstColumn="1" w:lastColumn="0" w:noHBand="0" w:noVBand="1"/>
        </w:tblPrEx>
        <w:tc>
          <w:tcPr>
            <w:tcW w:w="6116" w:type="dxa"/>
          </w:tcPr>
          <w:p w:rsidR="003024F5" w:rsidRPr="003024F5" w:rsidRDefault="003024F5" w:rsidP="008D2978">
            <w:r>
              <w:t>Baltimore-Columbia-Towson, MD</w:t>
            </w:r>
          </w:p>
        </w:tc>
        <w:tc>
          <w:tcPr>
            <w:tcW w:w="900" w:type="dxa"/>
          </w:tcPr>
          <w:p w:rsidR="003024F5" w:rsidRPr="003024F5" w:rsidRDefault="003024F5" w:rsidP="008D2978">
            <w:r>
              <w:t>5.9</w:t>
            </w:r>
          </w:p>
        </w:tc>
        <w:tc>
          <w:tcPr>
            <w:tcW w:w="916" w:type="dxa"/>
          </w:tcPr>
          <w:p w:rsidR="003024F5" w:rsidRPr="003024F5" w:rsidRDefault="003024F5" w:rsidP="008D2978">
            <w:r>
              <w:t>3.9</w:t>
            </w:r>
          </w:p>
        </w:tc>
        <w:tc>
          <w:tcPr>
            <w:tcW w:w="816" w:type="dxa"/>
          </w:tcPr>
          <w:p w:rsidR="003024F5" w:rsidRPr="003024F5" w:rsidRDefault="003024F5" w:rsidP="008D2978">
            <w:r>
              <w:t>19</w:t>
            </w:r>
          </w:p>
        </w:tc>
        <w:tc>
          <w:tcPr>
            <w:tcW w:w="830" w:type="dxa"/>
          </w:tcPr>
          <w:p w:rsidR="003024F5" w:rsidRPr="003024F5" w:rsidRDefault="003024F5" w:rsidP="008D2978">
            <w:r>
              <w:t>86</w:t>
            </w:r>
          </w:p>
        </w:tc>
      </w:tr>
      <w:tr w:rsidR="003024F5" w:rsidTr="003024F5">
        <w:tblPrEx>
          <w:tblLook w:val="04A0" w:firstRow="1" w:lastRow="0" w:firstColumn="1" w:lastColumn="0" w:noHBand="0" w:noVBand="1"/>
        </w:tblPrEx>
        <w:tc>
          <w:tcPr>
            <w:tcW w:w="6116" w:type="dxa"/>
          </w:tcPr>
          <w:p w:rsidR="003024F5" w:rsidRPr="003024F5" w:rsidRDefault="003024F5" w:rsidP="008D2978">
            <w:r>
              <w:t>Chicago-Naperville-Elgin, IL-IN-WI</w:t>
            </w:r>
          </w:p>
        </w:tc>
        <w:tc>
          <w:tcPr>
            <w:tcW w:w="900" w:type="dxa"/>
          </w:tcPr>
          <w:p w:rsidR="003024F5" w:rsidRPr="003024F5" w:rsidRDefault="003024F5" w:rsidP="008D2978">
            <w:r>
              <w:t>5.8</w:t>
            </w:r>
          </w:p>
        </w:tc>
        <w:tc>
          <w:tcPr>
            <w:tcW w:w="916" w:type="dxa"/>
          </w:tcPr>
          <w:p w:rsidR="003024F5" w:rsidRPr="003024F5" w:rsidRDefault="003024F5" w:rsidP="008D2978">
            <w:r>
              <w:t>3.4</w:t>
            </w:r>
          </w:p>
        </w:tc>
        <w:tc>
          <w:tcPr>
            <w:tcW w:w="816" w:type="dxa"/>
          </w:tcPr>
          <w:p w:rsidR="003024F5" w:rsidRPr="003024F5" w:rsidRDefault="003024F5" w:rsidP="008D2978">
            <w:r>
              <w:t>29</w:t>
            </w:r>
          </w:p>
        </w:tc>
        <w:tc>
          <w:tcPr>
            <w:tcW w:w="830" w:type="dxa"/>
          </w:tcPr>
          <w:p w:rsidR="003024F5" w:rsidRPr="003024F5" w:rsidRDefault="003024F5" w:rsidP="008D2978">
            <w:r>
              <w:t>134</w:t>
            </w:r>
          </w:p>
        </w:tc>
      </w:tr>
      <w:tr w:rsidR="003024F5" w:rsidTr="003024F5">
        <w:tblPrEx>
          <w:tblLook w:val="04A0" w:firstRow="1" w:lastRow="0" w:firstColumn="1" w:lastColumn="0" w:noHBand="0" w:noVBand="1"/>
        </w:tblPrEx>
        <w:tc>
          <w:tcPr>
            <w:tcW w:w="6116" w:type="dxa"/>
          </w:tcPr>
          <w:p w:rsidR="003024F5" w:rsidRPr="003024F5" w:rsidRDefault="003024F5" w:rsidP="008D2978">
            <w:r>
              <w:t>Atlanta-Sandy Springs-Roswell, GA</w:t>
            </w:r>
          </w:p>
        </w:tc>
        <w:tc>
          <w:tcPr>
            <w:tcW w:w="900" w:type="dxa"/>
          </w:tcPr>
          <w:p w:rsidR="003024F5" w:rsidRPr="003024F5" w:rsidRDefault="003024F5" w:rsidP="008D2978">
            <w:r>
              <w:t>5</w:t>
            </w:r>
          </w:p>
        </w:tc>
        <w:tc>
          <w:tcPr>
            <w:tcW w:w="916" w:type="dxa"/>
          </w:tcPr>
          <w:p w:rsidR="003024F5" w:rsidRPr="003024F5" w:rsidRDefault="003024F5" w:rsidP="008D2978">
            <w:r>
              <w:t>4.2</w:t>
            </w:r>
          </w:p>
        </w:tc>
        <w:tc>
          <w:tcPr>
            <w:tcW w:w="816" w:type="dxa"/>
          </w:tcPr>
          <w:p w:rsidR="003024F5" w:rsidRPr="003024F5" w:rsidRDefault="003024F5" w:rsidP="008D2978">
            <w:r>
              <w:t>13</w:t>
            </w:r>
          </w:p>
        </w:tc>
        <w:tc>
          <w:tcPr>
            <w:tcW w:w="830" w:type="dxa"/>
          </w:tcPr>
          <w:p w:rsidR="003024F5" w:rsidRPr="003024F5" w:rsidRDefault="003024F5" w:rsidP="008D2978">
            <w:r>
              <w:t>93</w:t>
            </w:r>
          </w:p>
        </w:tc>
      </w:tr>
      <w:tr w:rsidR="003024F5" w:rsidTr="003024F5">
        <w:tblPrEx>
          <w:tblLook w:val="04A0" w:firstRow="1" w:lastRow="0" w:firstColumn="1" w:lastColumn="0" w:noHBand="0" w:noVBand="1"/>
        </w:tblPrEx>
        <w:tc>
          <w:tcPr>
            <w:tcW w:w="6116" w:type="dxa"/>
          </w:tcPr>
          <w:p w:rsidR="003024F5" w:rsidRPr="003024F5" w:rsidRDefault="003024F5" w:rsidP="008D2978">
            <w:r>
              <w:t>Denver-Aurora-Lakewood, CO</w:t>
            </w:r>
          </w:p>
        </w:tc>
        <w:tc>
          <w:tcPr>
            <w:tcW w:w="900" w:type="dxa"/>
          </w:tcPr>
          <w:p w:rsidR="003024F5" w:rsidRPr="003024F5" w:rsidRDefault="003024F5" w:rsidP="008D2978">
            <w:r>
              <w:t>5.5</w:t>
            </w:r>
          </w:p>
        </w:tc>
        <w:tc>
          <w:tcPr>
            <w:tcW w:w="916" w:type="dxa"/>
          </w:tcPr>
          <w:p w:rsidR="003024F5" w:rsidRPr="003024F5" w:rsidRDefault="003024F5" w:rsidP="008D2978">
            <w:r>
              <w:t>3.6</w:t>
            </w:r>
          </w:p>
        </w:tc>
        <w:tc>
          <w:tcPr>
            <w:tcW w:w="816" w:type="dxa"/>
          </w:tcPr>
          <w:p w:rsidR="003024F5" w:rsidRPr="003024F5" w:rsidRDefault="003024F5" w:rsidP="008D2978">
            <w:r>
              <w:t>50</w:t>
            </w:r>
          </w:p>
        </w:tc>
        <w:tc>
          <w:tcPr>
            <w:tcW w:w="830" w:type="dxa"/>
          </w:tcPr>
          <w:p w:rsidR="003024F5" w:rsidRPr="003024F5" w:rsidRDefault="003024F5" w:rsidP="008D2978">
            <w:r>
              <w:t>83</w:t>
            </w:r>
          </w:p>
        </w:tc>
      </w:tr>
      <w:tr w:rsidR="003024F5" w:rsidTr="003024F5">
        <w:tblPrEx>
          <w:tblLook w:val="04A0" w:firstRow="1" w:lastRow="0" w:firstColumn="1" w:lastColumn="0" w:noHBand="0" w:noVBand="1"/>
        </w:tblPrEx>
        <w:tc>
          <w:tcPr>
            <w:tcW w:w="6116" w:type="dxa"/>
          </w:tcPr>
          <w:p w:rsidR="003024F5" w:rsidRPr="003024F5" w:rsidRDefault="003024F5" w:rsidP="008D2978">
            <w:r>
              <w:t>Los Angeles-Long Beach-Anaheim, CA</w:t>
            </w:r>
          </w:p>
        </w:tc>
        <w:tc>
          <w:tcPr>
            <w:tcW w:w="900" w:type="dxa"/>
          </w:tcPr>
          <w:p w:rsidR="003024F5" w:rsidRPr="003024F5" w:rsidRDefault="003024F5" w:rsidP="008D2978">
            <w:r>
              <w:t>5.7</w:t>
            </w:r>
          </w:p>
        </w:tc>
        <w:tc>
          <w:tcPr>
            <w:tcW w:w="916" w:type="dxa"/>
          </w:tcPr>
          <w:p w:rsidR="003024F5" w:rsidRPr="003024F5" w:rsidRDefault="003024F5" w:rsidP="008D2978">
            <w:r>
              <w:t>3.4</w:t>
            </w:r>
          </w:p>
        </w:tc>
        <w:tc>
          <w:tcPr>
            <w:tcW w:w="816" w:type="dxa"/>
          </w:tcPr>
          <w:p w:rsidR="003024F5" w:rsidRPr="003024F5" w:rsidRDefault="003024F5" w:rsidP="008D2978">
            <w:r>
              <w:t>17</w:t>
            </w:r>
          </w:p>
        </w:tc>
        <w:tc>
          <w:tcPr>
            <w:tcW w:w="830" w:type="dxa"/>
          </w:tcPr>
          <w:p w:rsidR="003024F5" w:rsidRPr="003024F5" w:rsidRDefault="003024F5" w:rsidP="008D2978">
            <w:r>
              <w:t>152</w:t>
            </w:r>
          </w:p>
        </w:tc>
      </w:tr>
      <w:tr w:rsidR="003024F5" w:rsidTr="003024F5">
        <w:tblPrEx>
          <w:tblLook w:val="04A0" w:firstRow="1" w:lastRow="0" w:firstColumn="1" w:lastColumn="0" w:noHBand="0" w:noVBand="1"/>
        </w:tblPrEx>
        <w:tc>
          <w:tcPr>
            <w:tcW w:w="6116" w:type="dxa"/>
          </w:tcPr>
          <w:p w:rsidR="003024F5" w:rsidRPr="003024F5" w:rsidRDefault="003024F5" w:rsidP="008D2978">
            <w:r>
              <w:t>Philadelphia-Camden-Wilmington, PA-NJ-DE-MD</w:t>
            </w:r>
          </w:p>
        </w:tc>
        <w:tc>
          <w:tcPr>
            <w:tcW w:w="900" w:type="dxa"/>
          </w:tcPr>
          <w:p w:rsidR="003024F5" w:rsidRPr="003024F5" w:rsidRDefault="003024F5" w:rsidP="008D2978">
            <w:r>
              <w:t>3.6</w:t>
            </w:r>
          </w:p>
        </w:tc>
        <w:tc>
          <w:tcPr>
            <w:tcW w:w="916" w:type="dxa"/>
          </w:tcPr>
          <w:p w:rsidR="003024F5" w:rsidRPr="003024F5" w:rsidRDefault="003024F5" w:rsidP="008D2978">
            <w:r>
              <w:t>5.4</w:t>
            </w:r>
          </w:p>
        </w:tc>
        <w:tc>
          <w:tcPr>
            <w:tcW w:w="816" w:type="dxa"/>
          </w:tcPr>
          <w:p w:rsidR="003024F5" w:rsidRPr="003024F5" w:rsidRDefault="003024F5" w:rsidP="008D2978">
            <w:r>
              <w:t>10</w:t>
            </w:r>
          </w:p>
        </w:tc>
        <w:tc>
          <w:tcPr>
            <w:tcW w:w="830" w:type="dxa"/>
          </w:tcPr>
          <w:p w:rsidR="003024F5" w:rsidRPr="003024F5" w:rsidRDefault="003024F5" w:rsidP="008D2978">
            <w:r>
              <w:t>112</w:t>
            </w:r>
          </w:p>
        </w:tc>
      </w:tr>
      <w:tr w:rsidR="003024F5" w:rsidTr="003024F5">
        <w:tblPrEx>
          <w:tblLook w:val="04A0" w:firstRow="1" w:lastRow="0" w:firstColumn="1" w:lastColumn="0" w:noHBand="0" w:noVBand="1"/>
        </w:tblPrEx>
        <w:tc>
          <w:tcPr>
            <w:tcW w:w="6116" w:type="dxa"/>
          </w:tcPr>
          <w:p w:rsidR="003024F5" w:rsidRPr="003024F5" w:rsidRDefault="003024F5" w:rsidP="008D2978">
            <w:r>
              <w:t>Dallas-Fort Worth-Arlington, TX</w:t>
            </w:r>
          </w:p>
        </w:tc>
        <w:tc>
          <w:tcPr>
            <w:tcW w:w="900" w:type="dxa"/>
          </w:tcPr>
          <w:p w:rsidR="003024F5" w:rsidRPr="003024F5" w:rsidRDefault="003024F5" w:rsidP="008D2978">
            <w:r>
              <w:t>3.6</w:t>
            </w:r>
          </w:p>
        </w:tc>
        <w:tc>
          <w:tcPr>
            <w:tcW w:w="916" w:type="dxa"/>
          </w:tcPr>
          <w:p w:rsidR="003024F5" w:rsidRPr="003024F5" w:rsidRDefault="003024F5" w:rsidP="008D2978">
            <w:r>
              <w:t>3.8</w:t>
            </w:r>
          </w:p>
        </w:tc>
        <w:tc>
          <w:tcPr>
            <w:tcW w:w="816" w:type="dxa"/>
          </w:tcPr>
          <w:p w:rsidR="003024F5" w:rsidRPr="003024F5" w:rsidRDefault="003024F5" w:rsidP="008D2978">
            <w:r>
              <w:t>24</w:t>
            </w:r>
          </w:p>
        </w:tc>
        <w:tc>
          <w:tcPr>
            <w:tcW w:w="830" w:type="dxa"/>
          </w:tcPr>
          <w:p w:rsidR="003024F5" w:rsidRPr="003024F5" w:rsidRDefault="003024F5" w:rsidP="008D2978">
            <w:r>
              <w:t>105</w:t>
            </w:r>
          </w:p>
        </w:tc>
      </w:tr>
      <w:tr w:rsidR="003024F5" w:rsidTr="003024F5">
        <w:tblPrEx>
          <w:tblLook w:val="04A0" w:firstRow="1" w:lastRow="0" w:firstColumn="1" w:lastColumn="0" w:noHBand="0" w:noVBand="1"/>
        </w:tblPrEx>
        <w:tc>
          <w:tcPr>
            <w:tcW w:w="6116" w:type="dxa"/>
          </w:tcPr>
          <w:p w:rsidR="003024F5" w:rsidRPr="003024F5" w:rsidRDefault="003024F5" w:rsidP="008D2978">
            <w:r>
              <w:t>San Francisco-Oakland-Hayward, CA</w:t>
            </w:r>
          </w:p>
        </w:tc>
        <w:tc>
          <w:tcPr>
            <w:tcW w:w="900" w:type="dxa"/>
          </w:tcPr>
          <w:p w:rsidR="003024F5" w:rsidRPr="003024F5" w:rsidRDefault="003024F5" w:rsidP="008D2978">
            <w:r>
              <w:t>5.1</w:t>
            </w:r>
          </w:p>
        </w:tc>
        <w:tc>
          <w:tcPr>
            <w:tcW w:w="916" w:type="dxa"/>
          </w:tcPr>
          <w:p w:rsidR="003024F5" w:rsidRPr="003024F5" w:rsidRDefault="003024F5" w:rsidP="008D2978">
            <w:r>
              <w:t>2.3</w:t>
            </w:r>
          </w:p>
        </w:tc>
        <w:tc>
          <w:tcPr>
            <w:tcW w:w="816" w:type="dxa"/>
          </w:tcPr>
          <w:p w:rsidR="003024F5" w:rsidRPr="003024F5" w:rsidRDefault="003024F5" w:rsidP="008D2978">
            <w:r>
              <w:t>37</w:t>
            </w:r>
          </w:p>
        </w:tc>
        <w:tc>
          <w:tcPr>
            <w:tcW w:w="830" w:type="dxa"/>
          </w:tcPr>
          <w:p w:rsidR="003024F5" w:rsidRPr="003024F5" w:rsidRDefault="003024F5" w:rsidP="008D2978">
            <w:r>
              <w:t>90</w:t>
            </w:r>
          </w:p>
        </w:tc>
      </w:tr>
      <w:tr w:rsidR="003024F5" w:rsidTr="003024F5">
        <w:tblPrEx>
          <w:tblLook w:val="04A0" w:firstRow="1" w:lastRow="0" w:firstColumn="1" w:lastColumn="0" w:noHBand="0" w:noVBand="1"/>
        </w:tblPrEx>
        <w:tc>
          <w:tcPr>
            <w:tcW w:w="6116" w:type="dxa"/>
          </w:tcPr>
          <w:p w:rsidR="003024F5" w:rsidRPr="003024F5" w:rsidRDefault="003024F5" w:rsidP="008D2978">
            <w:r>
              <w:t>St. Louis, MO-IL</w:t>
            </w:r>
          </w:p>
        </w:tc>
        <w:tc>
          <w:tcPr>
            <w:tcW w:w="900" w:type="dxa"/>
          </w:tcPr>
          <w:p w:rsidR="003024F5" w:rsidRPr="003024F5" w:rsidRDefault="003024F5" w:rsidP="008D2978">
            <w:r>
              <w:t>5.3</w:t>
            </w:r>
          </w:p>
        </w:tc>
        <w:tc>
          <w:tcPr>
            <w:tcW w:w="916" w:type="dxa"/>
          </w:tcPr>
          <w:p w:rsidR="003024F5" w:rsidRPr="003024F5" w:rsidRDefault="003024F5" w:rsidP="008D2978">
            <w:r>
              <w:t>1.3</w:t>
            </w:r>
          </w:p>
        </w:tc>
        <w:tc>
          <w:tcPr>
            <w:tcW w:w="816" w:type="dxa"/>
          </w:tcPr>
          <w:p w:rsidR="003024F5" w:rsidRPr="003024F5" w:rsidRDefault="003024F5" w:rsidP="008D2978">
            <w:r>
              <w:t>33</w:t>
            </w:r>
          </w:p>
        </w:tc>
        <w:tc>
          <w:tcPr>
            <w:tcW w:w="830" w:type="dxa"/>
          </w:tcPr>
          <w:p w:rsidR="003024F5" w:rsidRPr="003024F5" w:rsidRDefault="003024F5" w:rsidP="008D2978">
            <w:r>
              <w:t>47</w:t>
            </w:r>
          </w:p>
        </w:tc>
      </w:tr>
      <w:tr w:rsidR="003024F5" w:rsidTr="003024F5">
        <w:tblPrEx>
          <w:tblLook w:val="04A0" w:firstRow="1" w:lastRow="0" w:firstColumn="1" w:lastColumn="0" w:noHBand="0" w:noVBand="1"/>
        </w:tblPrEx>
        <w:tc>
          <w:tcPr>
            <w:tcW w:w="6116" w:type="dxa"/>
          </w:tcPr>
          <w:p w:rsidR="003024F5" w:rsidRPr="003024F5" w:rsidRDefault="003024F5" w:rsidP="008D2978">
            <w:r>
              <w:t>Seattle-Tacoma-Bellevue, WA</w:t>
            </w:r>
          </w:p>
        </w:tc>
        <w:tc>
          <w:tcPr>
            <w:tcW w:w="900" w:type="dxa"/>
          </w:tcPr>
          <w:p w:rsidR="003024F5" w:rsidRPr="003024F5" w:rsidRDefault="003024F5" w:rsidP="008D2978">
            <w:r>
              <w:t>4.1</w:t>
            </w:r>
          </w:p>
        </w:tc>
        <w:tc>
          <w:tcPr>
            <w:tcW w:w="916" w:type="dxa"/>
          </w:tcPr>
          <w:p w:rsidR="003024F5" w:rsidRPr="003024F5" w:rsidRDefault="003024F5" w:rsidP="008D2978">
            <w:r>
              <w:t>2.4</w:t>
            </w:r>
          </w:p>
        </w:tc>
        <w:tc>
          <w:tcPr>
            <w:tcW w:w="816" w:type="dxa"/>
          </w:tcPr>
          <w:p w:rsidR="003024F5" w:rsidRPr="003024F5" w:rsidRDefault="003024F5" w:rsidP="008D2978">
            <w:r>
              <w:t>26</w:t>
            </w:r>
          </w:p>
        </w:tc>
        <w:tc>
          <w:tcPr>
            <w:tcW w:w="830" w:type="dxa"/>
          </w:tcPr>
          <w:p w:rsidR="003024F5" w:rsidRPr="003024F5" w:rsidRDefault="003024F5" w:rsidP="008D2978">
            <w:r>
              <w:t>79</w:t>
            </w:r>
          </w:p>
        </w:tc>
      </w:tr>
      <w:tr w:rsidR="003024F5" w:rsidTr="003024F5">
        <w:tblPrEx>
          <w:tblLook w:val="04A0" w:firstRow="1" w:lastRow="0" w:firstColumn="1" w:lastColumn="0" w:noHBand="0" w:noVBand="1"/>
        </w:tblPrEx>
        <w:tc>
          <w:tcPr>
            <w:tcW w:w="6116" w:type="dxa"/>
          </w:tcPr>
          <w:p w:rsidR="003024F5" w:rsidRPr="003024F5" w:rsidRDefault="003024F5" w:rsidP="008D2978">
            <w:r>
              <w:t>Boston-Cambridge-Newton, MA-NH</w:t>
            </w:r>
          </w:p>
        </w:tc>
        <w:tc>
          <w:tcPr>
            <w:tcW w:w="900" w:type="dxa"/>
          </w:tcPr>
          <w:p w:rsidR="003024F5" w:rsidRPr="003024F5" w:rsidRDefault="003024F5" w:rsidP="008D2978">
            <w:r>
              <w:t>3.6</w:t>
            </w:r>
          </w:p>
        </w:tc>
        <w:tc>
          <w:tcPr>
            <w:tcW w:w="916" w:type="dxa"/>
          </w:tcPr>
          <w:p w:rsidR="003024F5" w:rsidRPr="003024F5" w:rsidRDefault="003024F5" w:rsidP="008D2978">
            <w:r>
              <w:t>1.6</w:t>
            </w:r>
          </w:p>
        </w:tc>
        <w:tc>
          <w:tcPr>
            <w:tcW w:w="816" w:type="dxa"/>
          </w:tcPr>
          <w:p w:rsidR="003024F5" w:rsidRPr="003024F5" w:rsidRDefault="003024F5" w:rsidP="008D2978">
            <w:r>
              <w:t>9</w:t>
            </w:r>
          </w:p>
        </w:tc>
        <w:tc>
          <w:tcPr>
            <w:tcW w:w="830" w:type="dxa"/>
          </w:tcPr>
          <w:p w:rsidR="003024F5" w:rsidRPr="003024F5" w:rsidRDefault="003024F5" w:rsidP="008D2978">
            <w:r>
              <w:t>79</w:t>
            </w:r>
          </w:p>
        </w:tc>
      </w:tr>
      <w:tr w:rsidR="003024F5" w:rsidTr="003024F5">
        <w:tblPrEx>
          <w:tblLook w:val="04A0" w:firstRow="1" w:lastRow="0" w:firstColumn="1" w:lastColumn="0" w:noHBand="0" w:noVBand="1"/>
        </w:tblPrEx>
        <w:tc>
          <w:tcPr>
            <w:tcW w:w="6116" w:type="dxa"/>
          </w:tcPr>
          <w:p w:rsidR="003024F5" w:rsidRPr="003024F5" w:rsidRDefault="003024F5" w:rsidP="008D2978">
            <w:r>
              <w:t>Miami-Fort Lauderdale-West Palm Beach, FL</w:t>
            </w:r>
          </w:p>
        </w:tc>
        <w:tc>
          <w:tcPr>
            <w:tcW w:w="900" w:type="dxa"/>
          </w:tcPr>
          <w:p w:rsidR="003024F5" w:rsidRPr="003024F5" w:rsidRDefault="003024F5" w:rsidP="008D2978">
            <w:r>
              <w:t>1.8</w:t>
            </w:r>
          </w:p>
        </w:tc>
        <w:tc>
          <w:tcPr>
            <w:tcW w:w="916" w:type="dxa"/>
          </w:tcPr>
          <w:p w:rsidR="003024F5" w:rsidRPr="003024F5" w:rsidRDefault="003024F5" w:rsidP="008D2978">
            <w:r>
              <w:t>3.2</w:t>
            </w:r>
          </w:p>
        </w:tc>
        <w:tc>
          <w:tcPr>
            <w:tcW w:w="816" w:type="dxa"/>
          </w:tcPr>
          <w:p w:rsidR="003024F5" w:rsidRPr="003024F5" w:rsidRDefault="003024F5" w:rsidP="008D2978">
            <w:r>
              <w:t>9</w:t>
            </w:r>
          </w:p>
        </w:tc>
        <w:tc>
          <w:tcPr>
            <w:tcW w:w="830" w:type="dxa"/>
          </w:tcPr>
          <w:p w:rsidR="003024F5" w:rsidRPr="003024F5" w:rsidRDefault="003024F5" w:rsidP="008D2978">
            <w:r>
              <w:t>124</w:t>
            </w:r>
          </w:p>
        </w:tc>
      </w:tr>
      <w:tr w:rsidR="003024F5" w:rsidTr="003024F5">
        <w:tblPrEx>
          <w:tblLook w:val="04A0" w:firstRow="1" w:lastRow="0" w:firstColumn="1" w:lastColumn="0" w:noHBand="0" w:noVBand="1"/>
        </w:tblPrEx>
        <w:tc>
          <w:tcPr>
            <w:tcW w:w="6116" w:type="dxa"/>
          </w:tcPr>
          <w:p w:rsidR="003024F5" w:rsidRPr="003024F5" w:rsidRDefault="003024F5" w:rsidP="003024F5">
            <w:pPr>
              <w:jc w:val="right"/>
            </w:pPr>
            <w:r w:rsidRPr="003024F5">
              <w:rPr>
                <w:b/>
              </w:rPr>
              <w:t>Total</w:t>
            </w:r>
            <w:r>
              <w:t xml:space="preserve"> </w:t>
            </w:r>
          </w:p>
        </w:tc>
        <w:tc>
          <w:tcPr>
            <w:tcW w:w="900" w:type="dxa"/>
          </w:tcPr>
          <w:p w:rsidR="003024F5" w:rsidRPr="003024F5" w:rsidRDefault="003024F5" w:rsidP="003024F5">
            <w:pPr>
              <w:jc w:val="right"/>
              <w:rPr>
                <w:b/>
              </w:rPr>
            </w:pPr>
            <w:r w:rsidRPr="003024F5">
              <w:rPr>
                <w:b/>
              </w:rPr>
              <w:t>112</w:t>
            </w:r>
          </w:p>
        </w:tc>
        <w:tc>
          <w:tcPr>
            <w:tcW w:w="916" w:type="dxa"/>
          </w:tcPr>
          <w:p w:rsidR="003024F5" w:rsidRPr="003024F5" w:rsidRDefault="003024F5" w:rsidP="003024F5">
            <w:pPr>
              <w:jc w:val="right"/>
              <w:rPr>
                <w:b/>
              </w:rPr>
            </w:pPr>
            <w:r w:rsidRPr="003024F5">
              <w:rPr>
                <w:b/>
              </w:rPr>
              <w:t>111</w:t>
            </w:r>
          </w:p>
        </w:tc>
        <w:tc>
          <w:tcPr>
            <w:tcW w:w="816" w:type="dxa"/>
          </w:tcPr>
          <w:p w:rsidR="003024F5" w:rsidRPr="003024F5" w:rsidRDefault="003024F5" w:rsidP="003024F5">
            <w:pPr>
              <w:jc w:val="right"/>
              <w:rPr>
                <w:b/>
              </w:rPr>
            </w:pPr>
            <w:r w:rsidRPr="003024F5">
              <w:rPr>
                <w:b/>
              </w:rPr>
              <w:t>488</w:t>
            </w:r>
          </w:p>
        </w:tc>
        <w:tc>
          <w:tcPr>
            <w:tcW w:w="830" w:type="dxa"/>
          </w:tcPr>
          <w:p w:rsidR="003024F5" w:rsidRPr="003024F5" w:rsidRDefault="003024F5" w:rsidP="003024F5">
            <w:pPr>
              <w:jc w:val="right"/>
              <w:rPr>
                <w:b/>
              </w:rPr>
            </w:pPr>
            <w:r w:rsidRPr="003024F5">
              <w:rPr>
                <w:b/>
              </w:rPr>
              <w:t>2044</w:t>
            </w:r>
          </w:p>
        </w:tc>
      </w:tr>
    </w:tbl>
    <w:p w:rsidR="003024F5" w:rsidRDefault="003024F5" w:rsidP="008D2978">
      <w:pPr>
        <w:rPr>
          <w:b/>
        </w:rPr>
      </w:pPr>
    </w:p>
    <w:p w:rsidR="00F60E96" w:rsidRDefault="00F60E96" w:rsidP="008D2978">
      <w:pPr>
        <w:rPr>
          <w:b/>
        </w:rPr>
      </w:pPr>
    </w:p>
    <w:p w:rsidR="00F60E96" w:rsidRPr="00F60E96" w:rsidRDefault="00F60E96" w:rsidP="00F60E96">
      <w:pPr>
        <w:rPr>
          <w:b/>
        </w:rPr>
      </w:pPr>
      <w:r w:rsidRPr="00F60E96">
        <w:rPr>
          <w:b/>
        </w:rPr>
        <w:t>Vacancy Rates for Owned and Leased Buildings</w:t>
      </w:r>
    </w:p>
    <w:p w:rsidR="00F60E96" w:rsidRPr="00F60E96" w:rsidRDefault="00F60E96" w:rsidP="00F60E96">
      <w:pPr>
        <w:rPr>
          <w:sz w:val="20"/>
        </w:rPr>
      </w:pPr>
      <w:r w:rsidRPr="00F60E96">
        <w:rPr>
          <w:sz w:val="20"/>
        </w:rPr>
        <w:t>GSA maintains low vacancy rates across our portfolio.  For leased buildings we average approximately 2% per year and for owned buildings we average approximately 7% per year.  Considering industry averages approximately 17% per year, these numbers are impressive and demonstrate an efficient usage of space.</w:t>
      </w:r>
    </w:p>
    <w:p w:rsidR="00F60E96" w:rsidRDefault="00F60E96" w:rsidP="008D2978">
      <w:pPr>
        <w:rPr>
          <w:b/>
        </w:rPr>
      </w:pPr>
    </w:p>
    <w:tbl>
      <w:tblPr>
        <w:tblStyle w:val="TableGrid"/>
        <w:tblW w:w="0" w:type="auto"/>
        <w:tblLook w:val="04A0" w:firstRow="1" w:lastRow="0" w:firstColumn="1" w:lastColumn="0" w:noHBand="0" w:noVBand="1"/>
      </w:tblPr>
      <w:tblGrid>
        <w:gridCol w:w="987"/>
        <w:gridCol w:w="1549"/>
      </w:tblGrid>
      <w:tr w:rsidR="00F60E96" w:rsidTr="00F60E96">
        <w:tc>
          <w:tcPr>
            <w:tcW w:w="987" w:type="dxa"/>
          </w:tcPr>
          <w:p w:rsidR="00F60E96" w:rsidRDefault="00F60E96" w:rsidP="008D2978">
            <w:pPr>
              <w:rPr>
                <w:b/>
              </w:rPr>
            </w:pPr>
            <w:r>
              <w:rPr>
                <w:b/>
              </w:rPr>
              <w:t>FY</w:t>
            </w:r>
          </w:p>
        </w:tc>
        <w:tc>
          <w:tcPr>
            <w:tcW w:w="1549" w:type="dxa"/>
          </w:tcPr>
          <w:p w:rsidR="00F60E96" w:rsidRDefault="00F60E96" w:rsidP="008D2978">
            <w:pPr>
              <w:rPr>
                <w:b/>
              </w:rPr>
            </w:pPr>
            <w:r>
              <w:rPr>
                <w:b/>
              </w:rPr>
              <w:t>Vacancy Rate</w:t>
            </w:r>
          </w:p>
        </w:tc>
      </w:tr>
      <w:tr w:rsidR="00F60E96" w:rsidTr="00F60E96">
        <w:tc>
          <w:tcPr>
            <w:tcW w:w="987" w:type="dxa"/>
          </w:tcPr>
          <w:p w:rsidR="00F60E96" w:rsidRPr="00F60E96" w:rsidRDefault="00F60E96" w:rsidP="008D2978">
            <w:r w:rsidRPr="00F60E96">
              <w:t>FY2011</w:t>
            </w:r>
          </w:p>
        </w:tc>
        <w:tc>
          <w:tcPr>
            <w:tcW w:w="1549" w:type="dxa"/>
          </w:tcPr>
          <w:p w:rsidR="00F60E96" w:rsidRPr="00F60E96" w:rsidRDefault="00F60E96" w:rsidP="008D2978">
            <w:r w:rsidRPr="00F60E96">
              <w:t>5.0%</w:t>
            </w:r>
          </w:p>
        </w:tc>
      </w:tr>
      <w:tr w:rsidR="00F60E96" w:rsidTr="00F60E96">
        <w:tc>
          <w:tcPr>
            <w:tcW w:w="987" w:type="dxa"/>
          </w:tcPr>
          <w:p w:rsidR="00F60E96" w:rsidRPr="00F60E96" w:rsidRDefault="00F60E96" w:rsidP="008D2978">
            <w:r w:rsidRPr="00F60E96">
              <w:t>FY2012</w:t>
            </w:r>
          </w:p>
        </w:tc>
        <w:tc>
          <w:tcPr>
            <w:tcW w:w="1549" w:type="dxa"/>
          </w:tcPr>
          <w:p w:rsidR="00F60E96" w:rsidRPr="00F60E96" w:rsidRDefault="00F60E96" w:rsidP="008D2978">
            <w:r w:rsidRPr="00F60E96">
              <w:t>4.2%</w:t>
            </w:r>
          </w:p>
        </w:tc>
      </w:tr>
      <w:tr w:rsidR="00F60E96" w:rsidTr="00F60E96">
        <w:tc>
          <w:tcPr>
            <w:tcW w:w="987" w:type="dxa"/>
          </w:tcPr>
          <w:p w:rsidR="00F60E96" w:rsidRPr="00F60E96" w:rsidRDefault="00F60E96" w:rsidP="008D2978">
            <w:r w:rsidRPr="00F60E96">
              <w:t>FY2013</w:t>
            </w:r>
          </w:p>
        </w:tc>
        <w:tc>
          <w:tcPr>
            <w:tcW w:w="1549" w:type="dxa"/>
          </w:tcPr>
          <w:p w:rsidR="00F60E96" w:rsidRPr="00F60E96" w:rsidRDefault="00F60E96" w:rsidP="008D2978">
            <w:r w:rsidRPr="00F60E96">
              <w:t>4.3%</w:t>
            </w:r>
          </w:p>
        </w:tc>
      </w:tr>
      <w:tr w:rsidR="00F60E96" w:rsidTr="00F60E96">
        <w:tc>
          <w:tcPr>
            <w:tcW w:w="987" w:type="dxa"/>
          </w:tcPr>
          <w:p w:rsidR="00F60E96" w:rsidRPr="00F60E96" w:rsidRDefault="00F60E96" w:rsidP="008D2978"/>
        </w:tc>
        <w:tc>
          <w:tcPr>
            <w:tcW w:w="1549" w:type="dxa"/>
          </w:tcPr>
          <w:p w:rsidR="00F60E96" w:rsidRPr="00F60E96" w:rsidRDefault="00F60E96" w:rsidP="008D2978"/>
        </w:tc>
      </w:tr>
    </w:tbl>
    <w:p w:rsidR="00F60E96" w:rsidRDefault="00F60E96" w:rsidP="008D2978">
      <w:pPr>
        <w:rPr>
          <w:b/>
        </w:rPr>
      </w:pPr>
    </w:p>
    <w:p w:rsidR="00F60E96" w:rsidRDefault="00F60E96">
      <w:pPr>
        <w:spacing w:after="200" w:line="276" w:lineRule="auto"/>
        <w:rPr>
          <w:b/>
        </w:rPr>
      </w:pPr>
      <w:r>
        <w:rPr>
          <w:b/>
        </w:rPr>
        <w:br w:type="page"/>
      </w:r>
    </w:p>
    <w:p w:rsidR="00F60E96" w:rsidRPr="00F60E96" w:rsidRDefault="00F60E96" w:rsidP="00F60E96">
      <w:pPr>
        <w:rPr>
          <w:b/>
        </w:rPr>
      </w:pPr>
      <w:r w:rsidRPr="00F60E96">
        <w:rPr>
          <w:b/>
        </w:rPr>
        <w:lastRenderedPageBreak/>
        <w:t>PBS Repair and Alterations Appropriation Funding History with Functional Replacement Value Comparison</w:t>
      </w:r>
    </w:p>
    <w:p w:rsidR="00F60E96" w:rsidRPr="00F60E96" w:rsidRDefault="00F60E96" w:rsidP="00F60E96">
      <w:pPr>
        <w:rPr>
          <w:sz w:val="20"/>
        </w:rPr>
      </w:pPr>
      <w:r w:rsidRPr="00F60E96">
        <w:rPr>
          <w:sz w:val="20"/>
        </w:rPr>
        <w:t>Industry recommends investing approximately 2-4% of functional replacement value of a building into building maintenance and upkeep every year.  As the chart demonstrates, over the past few years GSA hasn’t received the recommended investment amount through appropriations.  This leads to assets deteriorating over time and creates a challenge for GSA to keep the inventory within appropriate fire and safety standards.</w:t>
      </w:r>
    </w:p>
    <w:p w:rsidR="00F60E96" w:rsidRDefault="00F60E96" w:rsidP="008D2978">
      <w:pPr>
        <w:rPr>
          <w:b/>
        </w:rPr>
      </w:pPr>
    </w:p>
    <w:tbl>
      <w:tblPr>
        <w:tblStyle w:val="TableGrid"/>
        <w:tblW w:w="0" w:type="auto"/>
        <w:tblLook w:val="04A0" w:firstRow="1" w:lastRow="0" w:firstColumn="1" w:lastColumn="0" w:noHBand="0" w:noVBand="1"/>
      </w:tblPr>
      <w:tblGrid>
        <w:gridCol w:w="1008"/>
        <w:gridCol w:w="1710"/>
        <w:gridCol w:w="1748"/>
        <w:gridCol w:w="1748"/>
        <w:gridCol w:w="1829"/>
      </w:tblGrid>
      <w:tr w:rsidR="00D7622F" w:rsidTr="00D7622F">
        <w:tc>
          <w:tcPr>
            <w:tcW w:w="1008" w:type="dxa"/>
            <w:vAlign w:val="center"/>
          </w:tcPr>
          <w:p w:rsidR="00D7622F" w:rsidRDefault="00D7622F" w:rsidP="00D7622F">
            <w:pPr>
              <w:rPr>
                <w:b/>
              </w:rPr>
            </w:pPr>
            <w:r>
              <w:rPr>
                <w:b/>
              </w:rPr>
              <w:t>FY</w:t>
            </w:r>
          </w:p>
        </w:tc>
        <w:tc>
          <w:tcPr>
            <w:tcW w:w="1710" w:type="dxa"/>
            <w:tcBorders>
              <w:right w:val="single" w:sz="4" w:space="0" w:color="auto"/>
            </w:tcBorders>
            <w:vAlign w:val="center"/>
          </w:tcPr>
          <w:p w:rsidR="00D7622F" w:rsidRDefault="00D7622F" w:rsidP="00D7622F">
            <w:pPr>
              <w:rPr>
                <w:b/>
              </w:rPr>
            </w:pPr>
            <w:r>
              <w:rPr>
                <w:b/>
              </w:rPr>
              <w:t xml:space="preserve">Funding Dollars </w:t>
            </w:r>
            <w:r w:rsidRPr="00D7622F">
              <w:rPr>
                <w:sz w:val="18"/>
              </w:rPr>
              <w:t>(millions)</w:t>
            </w:r>
          </w:p>
        </w:tc>
        <w:tc>
          <w:tcPr>
            <w:tcW w:w="1748" w:type="dxa"/>
            <w:tcBorders>
              <w:top w:val="nil"/>
              <w:left w:val="single" w:sz="4" w:space="0" w:color="auto"/>
              <w:bottom w:val="nil"/>
              <w:right w:val="single" w:sz="4" w:space="0" w:color="auto"/>
            </w:tcBorders>
            <w:shd w:val="clear" w:color="auto" w:fill="auto"/>
          </w:tcPr>
          <w:p w:rsidR="00D7622F" w:rsidRDefault="00D7622F">
            <w:pPr>
              <w:jc w:val="center"/>
              <w:rPr>
                <w:rFonts w:ascii="Arial" w:hAnsi="Arial" w:cs="Arial"/>
                <w:b/>
                <w:bCs/>
                <w:sz w:val="20"/>
                <w:szCs w:val="20"/>
              </w:rPr>
            </w:pPr>
          </w:p>
        </w:tc>
        <w:tc>
          <w:tcPr>
            <w:tcW w:w="1748" w:type="dxa"/>
            <w:tcBorders>
              <w:left w:val="single" w:sz="4" w:space="0" w:color="auto"/>
            </w:tcBorders>
            <w:vAlign w:val="bottom"/>
          </w:tcPr>
          <w:p w:rsidR="00D7622F" w:rsidRDefault="00D7622F">
            <w:pPr>
              <w:jc w:val="center"/>
              <w:rPr>
                <w:rFonts w:ascii="Arial" w:hAnsi="Arial" w:cs="Arial"/>
                <w:b/>
                <w:bCs/>
                <w:sz w:val="20"/>
                <w:szCs w:val="20"/>
              </w:rPr>
            </w:pPr>
            <w:r>
              <w:rPr>
                <w:rFonts w:ascii="Arial" w:hAnsi="Arial" w:cs="Arial"/>
                <w:b/>
                <w:bCs/>
                <w:sz w:val="20"/>
                <w:szCs w:val="20"/>
              </w:rPr>
              <w:t>2%</w:t>
            </w:r>
          </w:p>
        </w:tc>
        <w:tc>
          <w:tcPr>
            <w:tcW w:w="1829" w:type="dxa"/>
            <w:vAlign w:val="bottom"/>
          </w:tcPr>
          <w:p w:rsidR="00D7622F" w:rsidRDefault="00D7622F">
            <w:pPr>
              <w:jc w:val="center"/>
              <w:rPr>
                <w:rFonts w:ascii="Arial" w:hAnsi="Arial" w:cs="Arial"/>
                <w:b/>
                <w:bCs/>
                <w:sz w:val="20"/>
                <w:szCs w:val="20"/>
              </w:rPr>
            </w:pPr>
            <w:r>
              <w:rPr>
                <w:rFonts w:ascii="Arial" w:hAnsi="Arial" w:cs="Arial"/>
                <w:b/>
                <w:bCs/>
                <w:sz w:val="20"/>
                <w:szCs w:val="20"/>
              </w:rPr>
              <w:t>4%</w:t>
            </w:r>
          </w:p>
        </w:tc>
      </w:tr>
      <w:tr w:rsidR="00D7622F" w:rsidTr="00D7622F">
        <w:tc>
          <w:tcPr>
            <w:tcW w:w="1008" w:type="dxa"/>
          </w:tcPr>
          <w:p w:rsidR="00D7622F" w:rsidRPr="00D7622F" w:rsidRDefault="00D7622F" w:rsidP="008D2978">
            <w:r>
              <w:t>FY2005</w:t>
            </w:r>
          </w:p>
        </w:tc>
        <w:tc>
          <w:tcPr>
            <w:tcW w:w="1710" w:type="dxa"/>
            <w:tcBorders>
              <w:right w:val="single" w:sz="4" w:space="0" w:color="auto"/>
            </w:tcBorders>
          </w:tcPr>
          <w:p w:rsidR="00D7622F" w:rsidRPr="00D7622F" w:rsidRDefault="00D7622F" w:rsidP="008D2978">
            <w:r>
              <w:t>$887</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   644,911,777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644,911,777 </w:t>
            </w:r>
          </w:p>
        </w:tc>
      </w:tr>
      <w:tr w:rsidR="00D7622F" w:rsidTr="00D7622F">
        <w:tc>
          <w:tcPr>
            <w:tcW w:w="1008" w:type="dxa"/>
          </w:tcPr>
          <w:p w:rsidR="00D7622F" w:rsidRPr="00D7622F" w:rsidRDefault="00D7622F" w:rsidP="008D2978">
            <w:r>
              <w:t>FY2006</w:t>
            </w:r>
          </w:p>
        </w:tc>
        <w:tc>
          <w:tcPr>
            <w:tcW w:w="1710" w:type="dxa"/>
            <w:tcBorders>
              <w:right w:val="single" w:sz="4" w:space="0" w:color="auto"/>
            </w:tcBorders>
          </w:tcPr>
          <w:p w:rsidR="00D7622F" w:rsidRPr="00D7622F" w:rsidRDefault="00D7622F" w:rsidP="008D2978">
            <w:r>
              <w:t>$921</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   736,751,095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736,751,095 </w:t>
            </w:r>
          </w:p>
        </w:tc>
      </w:tr>
      <w:tr w:rsidR="00D7622F" w:rsidTr="00D7622F">
        <w:tc>
          <w:tcPr>
            <w:tcW w:w="1008" w:type="dxa"/>
          </w:tcPr>
          <w:p w:rsidR="00D7622F" w:rsidRPr="00D7622F" w:rsidRDefault="00D7622F" w:rsidP="008D2978">
            <w:r>
              <w:t>FY2007</w:t>
            </w:r>
          </w:p>
        </w:tc>
        <w:tc>
          <w:tcPr>
            <w:tcW w:w="1710" w:type="dxa"/>
            <w:tcBorders>
              <w:right w:val="single" w:sz="4" w:space="0" w:color="auto"/>
            </w:tcBorders>
          </w:tcPr>
          <w:p w:rsidR="00D7622F" w:rsidRPr="00D7622F" w:rsidRDefault="00D7622F" w:rsidP="008D2978">
            <w:r>
              <w:t>$618</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   785,947,153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785,947,153 </w:t>
            </w:r>
          </w:p>
        </w:tc>
      </w:tr>
      <w:tr w:rsidR="00D7622F" w:rsidTr="00D7622F">
        <w:tc>
          <w:tcPr>
            <w:tcW w:w="1008" w:type="dxa"/>
          </w:tcPr>
          <w:p w:rsidR="00D7622F" w:rsidRPr="00D7622F" w:rsidRDefault="00D7622F" w:rsidP="008D2978">
            <w:r>
              <w:t>FY2008</w:t>
            </w:r>
          </w:p>
        </w:tc>
        <w:tc>
          <w:tcPr>
            <w:tcW w:w="1710" w:type="dxa"/>
            <w:tcBorders>
              <w:right w:val="single" w:sz="4" w:space="0" w:color="auto"/>
            </w:tcBorders>
          </w:tcPr>
          <w:p w:rsidR="00D7622F" w:rsidRPr="00D7622F" w:rsidRDefault="00D7622F" w:rsidP="008D2978">
            <w:r>
              <w:t>$722</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   823,100,464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823,100,464 </w:t>
            </w:r>
          </w:p>
        </w:tc>
      </w:tr>
      <w:tr w:rsidR="00D7622F" w:rsidTr="00D7622F">
        <w:tc>
          <w:tcPr>
            <w:tcW w:w="1008" w:type="dxa"/>
          </w:tcPr>
          <w:p w:rsidR="00D7622F" w:rsidRPr="00D7622F" w:rsidRDefault="00D7622F" w:rsidP="008D2978">
            <w:r w:rsidRPr="00D7622F">
              <w:t>FY2009</w:t>
            </w:r>
          </w:p>
        </w:tc>
        <w:tc>
          <w:tcPr>
            <w:tcW w:w="1710" w:type="dxa"/>
            <w:tcBorders>
              <w:right w:val="single" w:sz="4" w:space="0" w:color="auto"/>
            </w:tcBorders>
          </w:tcPr>
          <w:p w:rsidR="00D7622F" w:rsidRPr="00D7622F" w:rsidRDefault="00D7622F" w:rsidP="008D2978">
            <w:r w:rsidRPr="00D7622F">
              <w:t>$692</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   827,921,362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827,921,362 </w:t>
            </w:r>
          </w:p>
        </w:tc>
      </w:tr>
      <w:tr w:rsidR="00D7622F" w:rsidTr="00D7622F">
        <w:tc>
          <w:tcPr>
            <w:tcW w:w="1008" w:type="dxa"/>
          </w:tcPr>
          <w:p w:rsidR="00D7622F" w:rsidRPr="00D7622F" w:rsidRDefault="00D7622F" w:rsidP="008D2978">
            <w:r w:rsidRPr="00D7622F">
              <w:t>FY2010</w:t>
            </w:r>
          </w:p>
        </w:tc>
        <w:tc>
          <w:tcPr>
            <w:tcW w:w="1710" w:type="dxa"/>
            <w:tcBorders>
              <w:right w:val="single" w:sz="4" w:space="0" w:color="auto"/>
            </w:tcBorders>
          </w:tcPr>
          <w:p w:rsidR="00D7622F" w:rsidRPr="00D7622F" w:rsidRDefault="00D7622F" w:rsidP="008D2978">
            <w:r w:rsidRPr="00D7622F">
              <w:t>$414</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   860,170,666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860,170,666 </w:t>
            </w:r>
          </w:p>
        </w:tc>
      </w:tr>
      <w:tr w:rsidR="00D7622F" w:rsidTr="00D7622F">
        <w:tc>
          <w:tcPr>
            <w:tcW w:w="1008" w:type="dxa"/>
          </w:tcPr>
          <w:p w:rsidR="00D7622F" w:rsidRPr="00D7622F" w:rsidRDefault="00D7622F" w:rsidP="008D2978">
            <w:r w:rsidRPr="00D7622F">
              <w:t>FY2011</w:t>
            </w:r>
          </w:p>
        </w:tc>
        <w:tc>
          <w:tcPr>
            <w:tcW w:w="1710" w:type="dxa"/>
            <w:tcBorders>
              <w:right w:val="single" w:sz="4" w:space="0" w:color="auto"/>
            </w:tcBorders>
          </w:tcPr>
          <w:p w:rsidR="00D7622F" w:rsidRPr="00D7622F" w:rsidRDefault="00D7622F" w:rsidP="008D2978">
            <w:r w:rsidRPr="00D7622F">
              <w:t>$280</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   894,913,583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894,913,583 </w:t>
            </w:r>
          </w:p>
        </w:tc>
      </w:tr>
      <w:tr w:rsidR="00D7622F" w:rsidTr="00D7622F">
        <w:tc>
          <w:tcPr>
            <w:tcW w:w="1008" w:type="dxa"/>
          </w:tcPr>
          <w:p w:rsidR="00D7622F" w:rsidRPr="00D7622F" w:rsidRDefault="00D7622F" w:rsidP="008D2978">
            <w:r w:rsidRPr="00D7622F">
              <w:t>FY2012</w:t>
            </w:r>
          </w:p>
        </w:tc>
        <w:tc>
          <w:tcPr>
            <w:tcW w:w="1710" w:type="dxa"/>
            <w:tcBorders>
              <w:right w:val="single" w:sz="4" w:space="0" w:color="auto"/>
            </w:tcBorders>
          </w:tcPr>
          <w:p w:rsidR="00D7622F" w:rsidRPr="00D7622F" w:rsidRDefault="00D7622F" w:rsidP="008D2978">
            <w:r w:rsidRPr="00D7622F">
              <w:t>$280</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$1,369,432,340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1,369,432,340 </w:t>
            </w:r>
          </w:p>
        </w:tc>
      </w:tr>
      <w:tr w:rsidR="00D7622F" w:rsidTr="00D7622F">
        <w:tc>
          <w:tcPr>
            <w:tcW w:w="1008" w:type="dxa"/>
          </w:tcPr>
          <w:p w:rsidR="00D7622F" w:rsidRPr="00D7622F" w:rsidRDefault="00D7622F" w:rsidP="008D2978">
            <w:r w:rsidRPr="00D7622F">
              <w:t>FY2013</w:t>
            </w:r>
          </w:p>
        </w:tc>
        <w:tc>
          <w:tcPr>
            <w:tcW w:w="1710" w:type="dxa"/>
            <w:tcBorders>
              <w:right w:val="single" w:sz="4" w:space="0" w:color="auto"/>
            </w:tcBorders>
          </w:tcPr>
          <w:p w:rsidR="00D7622F" w:rsidRPr="00D7622F" w:rsidRDefault="00D7622F" w:rsidP="008D2978">
            <w:r w:rsidRPr="00D7622F">
              <w:t>$287</w:t>
            </w:r>
          </w:p>
        </w:tc>
        <w:tc>
          <w:tcPr>
            <w:tcW w:w="0" w:type="auto"/>
            <w:tcBorders>
              <w:top w:val="nil"/>
              <w:left w:val="single" w:sz="4" w:space="0" w:color="auto"/>
              <w:bottom w:val="nil"/>
              <w:right w:val="single" w:sz="4" w:space="0" w:color="auto"/>
            </w:tcBorders>
            <w:shd w:val="clear" w:color="auto" w:fill="auto"/>
          </w:tcPr>
          <w:p w:rsidR="00D7622F" w:rsidRDefault="00D7622F">
            <w:pPr>
              <w:rPr>
                <w:rFonts w:ascii="Arial" w:hAnsi="Arial" w:cs="Arial"/>
                <w:sz w:val="20"/>
                <w:szCs w:val="20"/>
              </w:rPr>
            </w:pPr>
          </w:p>
        </w:tc>
        <w:tc>
          <w:tcPr>
            <w:tcW w:w="0" w:type="auto"/>
            <w:tcBorders>
              <w:left w:val="single" w:sz="4" w:space="0" w:color="auto"/>
            </w:tcBorders>
            <w:vAlign w:val="bottom"/>
          </w:tcPr>
          <w:p w:rsidR="00D7622F" w:rsidRDefault="00D7622F">
            <w:pPr>
              <w:rPr>
                <w:rFonts w:ascii="Arial" w:hAnsi="Arial" w:cs="Arial"/>
                <w:sz w:val="20"/>
                <w:szCs w:val="20"/>
              </w:rPr>
            </w:pPr>
            <w:r>
              <w:rPr>
                <w:rFonts w:ascii="Arial" w:hAnsi="Arial" w:cs="Arial"/>
                <w:sz w:val="20"/>
                <w:szCs w:val="20"/>
              </w:rPr>
              <w:t xml:space="preserve"> $1,450,584,670 </w:t>
            </w:r>
          </w:p>
        </w:tc>
        <w:tc>
          <w:tcPr>
            <w:tcW w:w="0" w:type="auto"/>
            <w:vAlign w:val="bottom"/>
          </w:tcPr>
          <w:p w:rsidR="00D7622F" w:rsidRDefault="00D7622F">
            <w:pPr>
              <w:rPr>
                <w:rFonts w:ascii="Arial" w:hAnsi="Arial" w:cs="Arial"/>
                <w:sz w:val="20"/>
                <w:szCs w:val="20"/>
              </w:rPr>
            </w:pPr>
            <w:r>
              <w:rPr>
                <w:rFonts w:ascii="Arial" w:hAnsi="Arial" w:cs="Arial"/>
                <w:sz w:val="20"/>
                <w:szCs w:val="20"/>
              </w:rPr>
              <w:t xml:space="preserve"> $   1,450,584,670 </w:t>
            </w:r>
          </w:p>
        </w:tc>
      </w:tr>
    </w:tbl>
    <w:p w:rsidR="00F60E96" w:rsidRPr="00CD6BA1" w:rsidRDefault="00F60E96" w:rsidP="008D2978">
      <w:pPr>
        <w:rPr>
          <w:b/>
        </w:rPr>
      </w:pPr>
    </w:p>
    <w:sectPr w:rsidR="00F60E96" w:rsidRPr="00CD6BA1" w:rsidSect="001C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CD6BA1"/>
    <w:rsid w:val="001C265C"/>
    <w:rsid w:val="00264C0D"/>
    <w:rsid w:val="002A25D5"/>
    <w:rsid w:val="003024F5"/>
    <w:rsid w:val="007C53D4"/>
    <w:rsid w:val="008D2978"/>
    <w:rsid w:val="00CD6BA1"/>
    <w:rsid w:val="00D7622F"/>
    <w:rsid w:val="00F6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BA1"/>
    <w:pPr>
      <w:spacing w:after="0" w:line="240" w:lineRule="auto"/>
    </w:pPr>
    <w:rPr>
      <w:sz w:val="24"/>
      <w:szCs w:val="24"/>
    </w:rPr>
  </w:style>
  <w:style w:type="paragraph" w:styleId="Heading1">
    <w:name w:val="heading 1"/>
    <w:basedOn w:val="Normal"/>
    <w:next w:val="Normal"/>
    <w:link w:val="Heading1Char"/>
    <w:uiPriority w:val="9"/>
    <w:qFormat/>
    <w:rsid w:val="00CD6BA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6BA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6BA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6BA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6BA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6BA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6BA1"/>
    <w:pPr>
      <w:spacing w:before="240" w:after="60"/>
      <w:outlineLvl w:val="6"/>
    </w:pPr>
  </w:style>
  <w:style w:type="paragraph" w:styleId="Heading8">
    <w:name w:val="heading 8"/>
    <w:basedOn w:val="Normal"/>
    <w:next w:val="Normal"/>
    <w:link w:val="Heading8Char"/>
    <w:uiPriority w:val="9"/>
    <w:semiHidden/>
    <w:unhideWhenUsed/>
    <w:qFormat/>
    <w:rsid w:val="00CD6BA1"/>
    <w:pPr>
      <w:spacing w:before="240" w:after="60"/>
      <w:outlineLvl w:val="7"/>
    </w:pPr>
    <w:rPr>
      <w:i/>
      <w:iCs/>
    </w:rPr>
  </w:style>
  <w:style w:type="paragraph" w:styleId="Heading9">
    <w:name w:val="heading 9"/>
    <w:basedOn w:val="Normal"/>
    <w:next w:val="Normal"/>
    <w:link w:val="Heading9Char"/>
    <w:uiPriority w:val="9"/>
    <w:semiHidden/>
    <w:unhideWhenUsed/>
    <w:qFormat/>
    <w:rsid w:val="00CD6BA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A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6BA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6BA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CD6BA1"/>
    <w:rPr>
      <w:b/>
      <w:bCs/>
      <w:sz w:val="28"/>
      <w:szCs w:val="28"/>
    </w:rPr>
  </w:style>
  <w:style w:type="character" w:customStyle="1" w:styleId="Heading5Char">
    <w:name w:val="Heading 5 Char"/>
    <w:basedOn w:val="DefaultParagraphFont"/>
    <w:link w:val="Heading5"/>
    <w:uiPriority w:val="9"/>
    <w:semiHidden/>
    <w:rsid w:val="00CD6BA1"/>
    <w:rPr>
      <w:b/>
      <w:bCs/>
      <w:i/>
      <w:iCs/>
      <w:sz w:val="26"/>
      <w:szCs w:val="26"/>
    </w:rPr>
  </w:style>
  <w:style w:type="character" w:customStyle="1" w:styleId="Heading6Char">
    <w:name w:val="Heading 6 Char"/>
    <w:basedOn w:val="DefaultParagraphFont"/>
    <w:link w:val="Heading6"/>
    <w:uiPriority w:val="9"/>
    <w:semiHidden/>
    <w:rsid w:val="00CD6BA1"/>
    <w:rPr>
      <w:b/>
      <w:bCs/>
    </w:rPr>
  </w:style>
  <w:style w:type="character" w:customStyle="1" w:styleId="Heading7Char">
    <w:name w:val="Heading 7 Char"/>
    <w:basedOn w:val="DefaultParagraphFont"/>
    <w:link w:val="Heading7"/>
    <w:uiPriority w:val="9"/>
    <w:semiHidden/>
    <w:rsid w:val="00CD6BA1"/>
    <w:rPr>
      <w:sz w:val="24"/>
      <w:szCs w:val="24"/>
    </w:rPr>
  </w:style>
  <w:style w:type="character" w:customStyle="1" w:styleId="Heading8Char">
    <w:name w:val="Heading 8 Char"/>
    <w:basedOn w:val="DefaultParagraphFont"/>
    <w:link w:val="Heading8"/>
    <w:uiPriority w:val="9"/>
    <w:semiHidden/>
    <w:rsid w:val="00CD6BA1"/>
    <w:rPr>
      <w:i/>
      <w:iCs/>
      <w:sz w:val="24"/>
      <w:szCs w:val="24"/>
    </w:rPr>
  </w:style>
  <w:style w:type="character" w:customStyle="1" w:styleId="Heading9Char">
    <w:name w:val="Heading 9 Char"/>
    <w:basedOn w:val="DefaultParagraphFont"/>
    <w:link w:val="Heading9"/>
    <w:uiPriority w:val="9"/>
    <w:semiHidden/>
    <w:rsid w:val="00CD6BA1"/>
    <w:rPr>
      <w:rFonts w:asciiTheme="majorHAnsi" w:eastAsiaTheme="majorEastAsia" w:hAnsiTheme="majorHAnsi"/>
    </w:rPr>
  </w:style>
  <w:style w:type="paragraph" w:styleId="Title">
    <w:name w:val="Title"/>
    <w:basedOn w:val="Normal"/>
    <w:next w:val="Normal"/>
    <w:link w:val="TitleChar"/>
    <w:uiPriority w:val="10"/>
    <w:qFormat/>
    <w:rsid w:val="00CD6BA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6BA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6BA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6BA1"/>
    <w:rPr>
      <w:rFonts w:asciiTheme="majorHAnsi" w:eastAsiaTheme="majorEastAsia" w:hAnsiTheme="majorHAnsi"/>
      <w:sz w:val="24"/>
      <w:szCs w:val="24"/>
    </w:rPr>
  </w:style>
  <w:style w:type="character" w:styleId="Strong">
    <w:name w:val="Strong"/>
    <w:basedOn w:val="DefaultParagraphFont"/>
    <w:uiPriority w:val="22"/>
    <w:qFormat/>
    <w:rsid w:val="00CD6BA1"/>
    <w:rPr>
      <w:b/>
      <w:bCs/>
    </w:rPr>
  </w:style>
  <w:style w:type="character" w:styleId="Emphasis">
    <w:name w:val="Emphasis"/>
    <w:basedOn w:val="DefaultParagraphFont"/>
    <w:uiPriority w:val="20"/>
    <w:qFormat/>
    <w:rsid w:val="00CD6BA1"/>
    <w:rPr>
      <w:rFonts w:asciiTheme="minorHAnsi" w:hAnsiTheme="minorHAnsi"/>
      <w:b/>
      <w:i/>
      <w:iCs/>
    </w:rPr>
  </w:style>
  <w:style w:type="paragraph" w:styleId="NoSpacing">
    <w:name w:val="No Spacing"/>
    <w:basedOn w:val="Normal"/>
    <w:uiPriority w:val="1"/>
    <w:qFormat/>
    <w:rsid w:val="00CD6BA1"/>
    <w:rPr>
      <w:szCs w:val="32"/>
    </w:rPr>
  </w:style>
  <w:style w:type="paragraph" w:styleId="ListParagraph">
    <w:name w:val="List Paragraph"/>
    <w:basedOn w:val="Normal"/>
    <w:uiPriority w:val="34"/>
    <w:qFormat/>
    <w:rsid w:val="00CD6BA1"/>
    <w:pPr>
      <w:ind w:left="720"/>
      <w:contextualSpacing/>
    </w:pPr>
  </w:style>
  <w:style w:type="paragraph" w:styleId="Quote">
    <w:name w:val="Quote"/>
    <w:basedOn w:val="Normal"/>
    <w:next w:val="Normal"/>
    <w:link w:val="QuoteChar"/>
    <w:uiPriority w:val="29"/>
    <w:qFormat/>
    <w:rsid w:val="00CD6BA1"/>
    <w:rPr>
      <w:i/>
    </w:rPr>
  </w:style>
  <w:style w:type="character" w:customStyle="1" w:styleId="QuoteChar">
    <w:name w:val="Quote Char"/>
    <w:basedOn w:val="DefaultParagraphFont"/>
    <w:link w:val="Quote"/>
    <w:uiPriority w:val="29"/>
    <w:rsid w:val="00CD6BA1"/>
    <w:rPr>
      <w:i/>
      <w:sz w:val="24"/>
      <w:szCs w:val="24"/>
    </w:rPr>
  </w:style>
  <w:style w:type="paragraph" w:styleId="IntenseQuote">
    <w:name w:val="Intense Quote"/>
    <w:basedOn w:val="Normal"/>
    <w:next w:val="Normal"/>
    <w:link w:val="IntenseQuoteChar"/>
    <w:uiPriority w:val="30"/>
    <w:qFormat/>
    <w:rsid w:val="00CD6BA1"/>
    <w:pPr>
      <w:ind w:left="720" w:right="720"/>
    </w:pPr>
    <w:rPr>
      <w:b/>
      <w:i/>
      <w:szCs w:val="22"/>
    </w:rPr>
  </w:style>
  <w:style w:type="character" w:customStyle="1" w:styleId="IntenseQuoteChar">
    <w:name w:val="Intense Quote Char"/>
    <w:basedOn w:val="DefaultParagraphFont"/>
    <w:link w:val="IntenseQuote"/>
    <w:uiPriority w:val="30"/>
    <w:rsid w:val="00CD6BA1"/>
    <w:rPr>
      <w:b/>
      <w:i/>
      <w:sz w:val="24"/>
    </w:rPr>
  </w:style>
  <w:style w:type="character" w:styleId="SubtleEmphasis">
    <w:name w:val="Subtle Emphasis"/>
    <w:uiPriority w:val="19"/>
    <w:qFormat/>
    <w:rsid w:val="00CD6BA1"/>
    <w:rPr>
      <w:i/>
      <w:color w:val="5A5A5A" w:themeColor="text1" w:themeTint="A5"/>
    </w:rPr>
  </w:style>
  <w:style w:type="character" w:styleId="IntenseEmphasis">
    <w:name w:val="Intense Emphasis"/>
    <w:basedOn w:val="DefaultParagraphFont"/>
    <w:uiPriority w:val="21"/>
    <w:qFormat/>
    <w:rsid w:val="00CD6BA1"/>
    <w:rPr>
      <w:b/>
      <w:i/>
      <w:sz w:val="24"/>
      <w:szCs w:val="24"/>
      <w:u w:val="single"/>
    </w:rPr>
  </w:style>
  <w:style w:type="character" w:styleId="SubtleReference">
    <w:name w:val="Subtle Reference"/>
    <w:basedOn w:val="DefaultParagraphFont"/>
    <w:uiPriority w:val="31"/>
    <w:qFormat/>
    <w:rsid w:val="00CD6BA1"/>
    <w:rPr>
      <w:sz w:val="24"/>
      <w:szCs w:val="24"/>
      <w:u w:val="single"/>
    </w:rPr>
  </w:style>
  <w:style w:type="character" w:styleId="IntenseReference">
    <w:name w:val="Intense Reference"/>
    <w:basedOn w:val="DefaultParagraphFont"/>
    <w:uiPriority w:val="32"/>
    <w:qFormat/>
    <w:rsid w:val="00CD6BA1"/>
    <w:rPr>
      <w:b/>
      <w:sz w:val="24"/>
      <w:u w:val="single"/>
    </w:rPr>
  </w:style>
  <w:style w:type="character" w:styleId="BookTitle">
    <w:name w:val="Book Title"/>
    <w:basedOn w:val="DefaultParagraphFont"/>
    <w:uiPriority w:val="33"/>
    <w:qFormat/>
    <w:rsid w:val="00CD6BA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6BA1"/>
    <w:pPr>
      <w:outlineLvl w:val="9"/>
    </w:pPr>
  </w:style>
  <w:style w:type="paragraph" w:styleId="BalloonText">
    <w:name w:val="Balloon Text"/>
    <w:basedOn w:val="Normal"/>
    <w:link w:val="BalloonTextChar"/>
    <w:uiPriority w:val="99"/>
    <w:semiHidden/>
    <w:unhideWhenUsed/>
    <w:rsid w:val="008D2978"/>
    <w:rPr>
      <w:rFonts w:ascii="Tahoma" w:hAnsi="Tahoma" w:cs="Tahoma"/>
      <w:sz w:val="16"/>
      <w:szCs w:val="16"/>
    </w:rPr>
  </w:style>
  <w:style w:type="character" w:customStyle="1" w:styleId="BalloonTextChar">
    <w:name w:val="Balloon Text Char"/>
    <w:basedOn w:val="DefaultParagraphFont"/>
    <w:link w:val="BalloonText"/>
    <w:uiPriority w:val="99"/>
    <w:semiHidden/>
    <w:rsid w:val="008D2978"/>
    <w:rPr>
      <w:rFonts w:ascii="Tahoma" w:hAnsi="Tahoma" w:cs="Tahoma"/>
      <w:sz w:val="16"/>
      <w:szCs w:val="16"/>
    </w:rPr>
  </w:style>
  <w:style w:type="table" w:styleId="TableGrid">
    <w:name w:val="Table Grid"/>
    <w:basedOn w:val="TableNormal"/>
    <w:uiPriority w:val="59"/>
    <w:rsid w:val="008D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8D297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ragraph-style">
    <w:name w:val="paragraph-style"/>
    <w:basedOn w:val="Normal"/>
    <w:rsid w:val="00F60E96"/>
    <w:pPr>
      <w:spacing w:before="100" w:beforeAutospacing="1" w:after="100" w:afterAutospacing="1"/>
    </w:pPr>
    <w:rPr>
      <w:rFonts w:ascii="Times New Roman" w:eastAsia="Times New Roman" w:hAnsi="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3079">
      <w:bodyDiv w:val="1"/>
      <w:marLeft w:val="0"/>
      <w:marRight w:val="0"/>
      <w:marTop w:val="0"/>
      <w:marBottom w:val="0"/>
      <w:divBdr>
        <w:top w:val="none" w:sz="0" w:space="0" w:color="auto"/>
        <w:left w:val="none" w:sz="0" w:space="0" w:color="auto"/>
        <w:bottom w:val="none" w:sz="0" w:space="0" w:color="auto"/>
        <w:right w:val="none" w:sz="0" w:space="0" w:color="auto"/>
      </w:divBdr>
    </w:div>
    <w:div w:id="271278787">
      <w:bodyDiv w:val="1"/>
      <w:marLeft w:val="0"/>
      <w:marRight w:val="0"/>
      <w:marTop w:val="0"/>
      <w:marBottom w:val="0"/>
      <w:divBdr>
        <w:top w:val="none" w:sz="0" w:space="0" w:color="auto"/>
        <w:left w:val="none" w:sz="0" w:space="0" w:color="auto"/>
        <w:bottom w:val="none" w:sz="0" w:space="0" w:color="auto"/>
        <w:right w:val="none" w:sz="0" w:space="0" w:color="auto"/>
      </w:divBdr>
    </w:div>
    <w:div w:id="319581342">
      <w:bodyDiv w:val="1"/>
      <w:marLeft w:val="0"/>
      <w:marRight w:val="0"/>
      <w:marTop w:val="0"/>
      <w:marBottom w:val="0"/>
      <w:divBdr>
        <w:top w:val="none" w:sz="0" w:space="0" w:color="auto"/>
        <w:left w:val="none" w:sz="0" w:space="0" w:color="auto"/>
        <w:bottom w:val="none" w:sz="0" w:space="0" w:color="auto"/>
        <w:right w:val="none" w:sz="0" w:space="0" w:color="auto"/>
      </w:divBdr>
    </w:div>
    <w:div w:id="447743054">
      <w:bodyDiv w:val="1"/>
      <w:marLeft w:val="0"/>
      <w:marRight w:val="0"/>
      <w:marTop w:val="0"/>
      <w:marBottom w:val="0"/>
      <w:divBdr>
        <w:top w:val="none" w:sz="0" w:space="0" w:color="auto"/>
        <w:left w:val="none" w:sz="0" w:space="0" w:color="auto"/>
        <w:bottom w:val="none" w:sz="0" w:space="0" w:color="auto"/>
        <w:right w:val="none" w:sz="0" w:space="0" w:color="auto"/>
      </w:divBdr>
    </w:div>
    <w:div w:id="499930809">
      <w:bodyDiv w:val="1"/>
      <w:marLeft w:val="0"/>
      <w:marRight w:val="0"/>
      <w:marTop w:val="0"/>
      <w:marBottom w:val="0"/>
      <w:divBdr>
        <w:top w:val="none" w:sz="0" w:space="0" w:color="auto"/>
        <w:left w:val="none" w:sz="0" w:space="0" w:color="auto"/>
        <w:bottom w:val="none" w:sz="0" w:space="0" w:color="auto"/>
        <w:right w:val="none" w:sz="0" w:space="0" w:color="auto"/>
      </w:divBdr>
    </w:div>
    <w:div w:id="517892322">
      <w:bodyDiv w:val="1"/>
      <w:marLeft w:val="0"/>
      <w:marRight w:val="0"/>
      <w:marTop w:val="0"/>
      <w:marBottom w:val="0"/>
      <w:divBdr>
        <w:top w:val="none" w:sz="0" w:space="0" w:color="auto"/>
        <w:left w:val="none" w:sz="0" w:space="0" w:color="auto"/>
        <w:bottom w:val="none" w:sz="0" w:space="0" w:color="auto"/>
        <w:right w:val="none" w:sz="0" w:space="0" w:color="auto"/>
      </w:divBdr>
    </w:div>
    <w:div w:id="599992563">
      <w:bodyDiv w:val="1"/>
      <w:marLeft w:val="0"/>
      <w:marRight w:val="0"/>
      <w:marTop w:val="0"/>
      <w:marBottom w:val="0"/>
      <w:divBdr>
        <w:top w:val="none" w:sz="0" w:space="0" w:color="auto"/>
        <w:left w:val="none" w:sz="0" w:space="0" w:color="auto"/>
        <w:bottom w:val="none" w:sz="0" w:space="0" w:color="auto"/>
        <w:right w:val="none" w:sz="0" w:space="0" w:color="auto"/>
      </w:divBdr>
    </w:div>
    <w:div w:id="643892101">
      <w:bodyDiv w:val="1"/>
      <w:marLeft w:val="0"/>
      <w:marRight w:val="0"/>
      <w:marTop w:val="0"/>
      <w:marBottom w:val="0"/>
      <w:divBdr>
        <w:top w:val="none" w:sz="0" w:space="0" w:color="auto"/>
        <w:left w:val="none" w:sz="0" w:space="0" w:color="auto"/>
        <w:bottom w:val="none" w:sz="0" w:space="0" w:color="auto"/>
        <w:right w:val="none" w:sz="0" w:space="0" w:color="auto"/>
      </w:divBdr>
    </w:div>
    <w:div w:id="736853735">
      <w:bodyDiv w:val="1"/>
      <w:marLeft w:val="0"/>
      <w:marRight w:val="0"/>
      <w:marTop w:val="0"/>
      <w:marBottom w:val="0"/>
      <w:divBdr>
        <w:top w:val="none" w:sz="0" w:space="0" w:color="auto"/>
        <w:left w:val="none" w:sz="0" w:space="0" w:color="auto"/>
        <w:bottom w:val="none" w:sz="0" w:space="0" w:color="auto"/>
        <w:right w:val="none" w:sz="0" w:space="0" w:color="auto"/>
      </w:divBdr>
    </w:div>
    <w:div w:id="762454831">
      <w:bodyDiv w:val="1"/>
      <w:marLeft w:val="0"/>
      <w:marRight w:val="0"/>
      <w:marTop w:val="0"/>
      <w:marBottom w:val="0"/>
      <w:divBdr>
        <w:top w:val="none" w:sz="0" w:space="0" w:color="auto"/>
        <w:left w:val="none" w:sz="0" w:space="0" w:color="auto"/>
        <w:bottom w:val="none" w:sz="0" w:space="0" w:color="auto"/>
        <w:right w:val="none" w:sz="0" w:space="0" w:color="auto"/>
      </w:divBdr>
    </w:div>
    <w:div w:id="763379858">
      <w:bodyDiv w:val="1"/>
      <w:marLeft w:val="0"/>
      <w:marRight w:val="0"/>
      <w:marTop w:val="0"/>
      <w:marBottom w:val="0"/>
      <w:divBdr>
        <w:top w:val="none" w:sz="0" w:space="0" w:color="auto"/>
        <w:left w:val="none" w:sz="0" w:space="0" w:color="auto"/>
        <w:bottom w:val="none" w:sz="0" w:space="0" w:color="auto"/>
        <w:right w:val="none" w:sz="0" w:space="0" w:color="auto"/>
      </w:divBdr>
    </w:div>
    <w:div w:id="777716707">
      <w:bodyDiv w:val="1"/>
      <w:marLeft w:val="0"/>
      <w:marRight w:val="0"/>
      <w:marTop w:val="0"/>
      <w:marBottom w:val="0"/>
      <w:divBdr>
        <w:top w:val="none" w:sz="0" w:space="0" w:color="auto"/>
        <w:left w:val="none" w:sz="0" w:space="0" w:color="auto"/>
        <w:bottom w:val="none" w:sz="0" w:space="0" w:color="auto"/>
        <w:right w:val="none" w:sz="0" w:space="0" w:color="auto"/>
      </w:divBdr>
    </w:div>
    <w:div w:id="787235119">
      <w:bodyDiv w:val="1"/>
      <w:marLeft w:val="0"/>
      <w:marRight w:val="0"/>
      <w:marTop w:val="0"/>
      <w:marBottom w:val="0"/>
      <w:divBdr>
        <w:top w:val="none" w:sz="0" w:space="0" w:color="auto"/>
        <w:left w:val="none" w:sz="0" w:space="0" w:color="auto"/>
        <w:bottom w:val="none" w:sz="0" w:space="0" w:color="auto"/>
        <w:right w:val="none" w:sz="0" w:space="0" w:color="auto"/>
      </w:divBdr>
    </w:div>
    <w:div w:id="894780738">
      <w:bodyDiv w:val="1"/>
      <w:marLeft w:val="0"/>
      <w:marRight w:val="0"/>
      <w:marTop w:val="0"/>
      <w:marBottom w:val="0"/>
      <w:divBdr>
        <w:top w:val="none" w:sz="0" w:space="0" w:color="auto"/>
        <w:left w:val="none" w:sz="0" w:space="0" w:color="auto"/>
        <w:bottom w:val="none" w:sz="0" w:space="0" w:color="auto"/>
        <w:right w:val="none" w:sz="0" w:space="0" w:color="auto"/>
      </w:divBdr>
    </w:div>
    <w:div w:id="967786709">
      <w:bodyDiv w:val="1"/>
      <w:marLeft w:val="0"/>
      <w:marRight w:val="0"/>
      <w:marTop w:val="0"/>
      <w:marBottom w:val="0"/>
      <w:divBdr>
        <w:top w:val="none" w:sz="0" w:space="0" w:color="auto"/>
        <w:left w:val="none" w:sz="0" w:space="0" w:color="auto"/>
        <w:bottom w:val="none" w:sz="0" w:space="0" w:color="auto"/>
        <w:right w:val="none" w:sz="0" w:space="0" w:color="auto"/>
      </w:divBdr>
    </w:div>
    <w:div w:id="1089275883">
      <w:bodyDiv w:val="1"/>
      <w:marLeft w:val="0"/>
      <w:marRight w:val="0"/>
      <w:marTop w:val="0"/>
      <w:marBottom w:val="0"/>
      <w:divBdr>
        <w:top w:val="none" w:sz="0" w:space="0" w:color="auto"/>
        <w:left w:val="none" w:sz="0" w:space="0" w:color="auto"/>
        <w:bottom w:val="none" w:sz="0" w:space="0" w:color="auto"/>
        <w:right w:val="none" w:sz="0" w:space="0" w:color="auto"/>
      </w:divBdr>
    </w:div>
    <w:div w:id="1193154760">
      <w:bodyDiv w:val="1"/>
      <w:marLeft w:val="0"/>
      <w:marRight w:val="0"/>
      <w:marTop w:val="0"/>
      <w:marBottom w:val="0"/>
      <w:divBdr>
        <w:top w:val="none" w:sz="0" w:space="0" w:color="auto"/>
        <w:left w:val="none" w:sz="0" w:space="0" w:color="auto"/>
        <w:bottom w:val="none" w:sz="0" w:space="0" w:color="auto"/>
        <w:right w:val="none" w:sz="0" w:space="0" w:color="auto"/>
      </w:divBdr>
    </w:div>
    <w:div w:id="1257055252">
      <w:bodyDiv w:val="1"/>
      <w:marLeft w:val="0"/>
      <w:marRight w:val="0"/>
      <w:marTop w:val="0"/>
      <w:marBottom w:val="0"/>
      <w:divBdr>
        <w:top w:val="none" w:sz="0" w:space="0" w:color="auto"/>
        <w:left w:val="none" w:sz="0" w:space="0" w:color="auto"/>
        <w:bottom w:val="none" w:sz="0" w:space="0" w:color="auto"/>
        <w:right w:val="none" w:sz="0" w:space="0" w:color="auto"/>
      </w:divBdr>
    </w:div>
    <w:div w:id="1322927152">
      <w:bodyDiv w:val="1"/>
      <w:marLeft w:val="0"/>
      <w:marRight w:val="0"/>
      <w:marTop w:val="0"/>
      <w:marBottom w:val="0"/>
      <w:divBdr>
        <w:top w:val="none" w:sz="0" w:space="0" w:color="auto"/>
        <w:left w:val="none" w:sz="0" w:space="0" w:color="auto"/>
        <w:bottom w:val="none" w:sz="0" w:space="0" w:color="auto"/>
        <w:right w:val="none" w:sz="0" w:space="0" w:color="auto"/>
      </w:divBdr>
    </w:div>
    <w:div w:id="1557617532">
      <w:bodyDiv w:val="1"/>
      <w:marLeft w:val="0"/>
      <w:marRight w:val="0"/>
      <w:marTop w:val="0"/>
      <w:marBottom w:val="0"/>
      <w:divBdr>
        <w:top w:val="none" w:sz="0" w:space="0" w:color="auto"/>
        <w:left w:val="none" w:sz="0" w:space="0" w:color="auto"/>
        <w:bottom w:val="none" w:sz="0" w:space="0" w:color="auto"/>
        <w:right w:val="none" w:sz="0" w:space="0" w:color="auto"/>
      </w:divBdr>
    </w:div>
    <w:div w:id="1656570708">
      <w:bodyDiv w:val="1"/>
      <w:marLeft w:val="0"/>
      <w:marRight w:val="0"/>
      <w:marTop w:val="0"/>
      <w:marBottom w:val="0"/>
      <w:divBdr>
        <w:top w:val="none" w:sz="0" w:space="0" w:color="auto"/>
        <w:left w:val="none" w:sz="0" w:space="0" w:color="auto"/>
        <w:bottom w:val="none" w:sz="0" w:space="0" w:color="auto"/>
        <w:right w:val="none" w:sz="0" w:space="0" w:color="auto"/>
      </w:divBdr>
    </w:div>
    <w:div w:id="1665356450">
      <w:bodyDiv w:val="1"/>
      <w:marLeft w:val="0"/>
      <w:marRight w:val="0"/>
      <w:marTop w:val="0"/>
      <w:marBottom w:val="0"/>
      <w:divBdr>
        <w:top w:val="none" w:sz="0" w:space="0" w:color="auto"/>
        <w:left w:val="none" w:sz="0" w:space="0" w:color="auto"/>
        <w:bottom w:val="none" w:sz="0" w:space="0" w:color="auto"/>
        <w:right w:val="none" w:sz="0" w:space="0" w:color="auto"/>
      </w:divBdr>
    </w:div>
    <w:div w:id="1687637947">
      <w:bodyDiv w:val="1"/>
      <w:marLeft w:val="0"/>
      <w:marRight w:val="0"/>
      <w:marTop w:val="0"/>
      <w:marBottom w:val="0"/>
      <w:divBdr>
        <w:top w:val="none" w:sz="0" w:space="0" w:color="auto"/>
        <w:left w:val="none" w:sz="0" w:space="0" w:color="auto"/>
        <w:bottom w:val="none" w:sz="0" w:space="0" w:color="auto"/>
        <w:right w:val="none" w:sz="0" w:space="0" w:color="auto"/>
      </w:divBdr>
    </w:div>
    <w:div w:id="1791822551">
      <w:bodyDiv w:val="1"/>
      <w:marLeft w:val="0"/>
      <w:marRight w:val="0"/>
      <w:marTop w:val="0"/>
      <w:marBottom w:val="0"/>
      <w:divBdr>
        <w:top w:val="none" w:sz="0" w:space="0" w:color="auto"/>
        <w:left w:val="none" w:sz="0" w:space="0" w:color="auto"/>
        <w:bottom w:val="none" w:sz="0" w:space="0" w:color="auto"/>
        <w:right w:val="none" w:sz="0" w:space="0" w:color="auto"/>
      </w:divBdr>
    </w:div>
    <w:div w:id="1831746401">
      <w:bodyDiv w:val="1"/>
      <w:marLeft w:val="0"/>
      <w:marRight w:val="0"/>
      <w:marTop w:val="0"/>
      <w:marBottom w:val="0"/>
      <w:divBdr>
        <w:top w:val="none" w:sz="0" w:space="0" w:color="auto"/>
        <w:left w:val="none" w:sz="0" w:space="0" w:color="auto"/>
        <w:bottom w:val="none" w:sz="0" w:space="0" w:color="auto"/>
        <w:right w:val="none" w:sz="0" w:space="0" w:color="auto"/>
      </w:divBdr>
    </w:div>
    <w:div w:id="1941521460">
      <w:bodyDiv w:val="1"/>
      <w:marLeft w:val="0"/>
      <w:marRight w:val="0"/>
      <w:marTop w:val="0"/>
      <w:marBottom w:val="0"/>
      <w:divBdr>
        <w:top w:val="none" w:sz="0" w:space="0" w:color="auto"/>
        <w:left w:val="none" w:sz="0" w:space="0" w:color="auto"/>
        <w:bottom w:val="none" w:sz="0" w:space="0" w:color="auto"/>
        <w:right w:val="none" w:sz="0" w:space="0" w:color="auto"/>
      </w:divBdr>
    </w:div>
    <w:div w:id="20189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14611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Esther Chang</dc:creator>
  <cp:lastModifiedBy>Max Stempora</cp:lastModifiedBy>
  <cp:revision>4</cp:revision>
  <dcterms:created xsi:type="dcterms:W3CDTF">2014-07-31T12:33:00Z</dcterms:created>
  <dcterms:modified xsi:type="dcterms:W3CDTF">2014-09-16T12:53:00Z</dcterms:modified>
</cp:coreProperties>
</file>