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【中文站】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vip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满意度调研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-20190110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https://wop3b5.axshare.com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bookmarkStart w:id="0" w:name="__DdeLink__89_3535494881"/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/data/htdocs/popfashion2016/views/footer.html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/data/htdocs/popfashion2016/global/css/common.css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/data/htdocs/popfashion2016/global/js/fashion/common.js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/data/htdocs/popfashion2016/global/images/vip_psq_bg.png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/data/htdocs/popfashion2016/global/images/vip_psq_btn.png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/data/htdocs/popfashion2016/global/images/vip_psq_close.png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bookmarkStart w:id="1" w:name="__DdeLink__89_3535494881"/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/data/htdocs/popfashion2016/global/images/vip_psq_packet.png</w:t>
            </w:r>
            <w:bookmarkEnd w:id="1"/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LibreOffice/6.1.3.2$Windows_X86_64 LibreOffice_project/86daf60bf00efa86ad547e59e09d6bb77c699acb</Application>
  <Pages>1</Pages>
  <Words>135</Words>
  <Characters>558</Characters>
  <CharactersWithSpaces>564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2019-01-10T10:58:08Z</dcterms:modified>
  <cp:revision>8</cp:revision>
  <dc:subject/>
  <dc:title/>
</cp:coreProperties>
</file>