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任务：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Flash报告自动排版1.1版本开发；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Flash报告自动排版1.2版本预开发；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Flash报告自动排版1.1送测验收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详情：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lang w:val="en-US" w:eastAsia="zh-CN"/>
        </w:rPr>
        <w:t>1.1版本</w:t>
      </w: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lang w:eastAsia="zh-CN"/>
        </w:rPr>
        <w:t>：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添加款式图保存接口对接；我的素材、款式库列表批量删除接口对接；我的素材、款式库列表清空接口对接；子报告另存为接口对接；相关逻辑调整；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添加款式图一级栏目切换更新筛选项；局部文字修改效果优化；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选区文字编辑效果优化：加粗、下划线、字体尺寸、字体颜色；文字链接编辑、清空、跳转逻辑调整；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手动辅助线拖拽效果及其撤销前进实现；图片翻转逻辑优化及其预览效果同步调整；部分代码逻辑优化；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旋转元素四边拖拽逻辑优化；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1.2版本：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模板中心添加标签；模板设置我的模板内容布局及分页、编辑逻辑；模板设置模板中心内容布局及分页、编辑逻辑；模板中心二级页内容布局及分页、返回逻辑；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审核模板页面布局及其部分逻辑；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模板资源布局及部分逻辑，分页、批量删除逻辑调整，复制子报告弹框逻辑；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模板中心二级页添加删除标签弹框及逻辑；模板中心分页逻辑；弹窗样式优化；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修复优化：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1.1版本</w:t>
      </w: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模板另存为优化、素材图片上限修复、素材图片域名修复；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调研：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html2canvas不同情况下的配置研究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浏览器扩展调研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阅读Chrome扩展开发攻略，了解常用配置和api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实践Chrome扩展开发，试用常用配置和api；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阅读图片助手关键位置源码；标签页图片地址获取；简化代码逻辑；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阅读最新图片助手关键位置源码；标签页图片地址获取；提取代码逻辑；</w:t>
      </w:r>
    </w:p>
    <w:p>
      <w:pPr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自我提升：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在tgideas文档库中学习各种规范；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阅读：阿里、腾讯前端规范；css tricks；animista；css平滑加载动效；发现优秀的中台项目；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阅读：八个vue常用自定义指令、vue源码之依赖收集、git超火的js奇技淫巧；js知识体系概览；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健壮项目架构的实践，路由级权限整合优化、mock数据整合管理、配置优化；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健壮项目架构的实践，css预处理器变量提升、svg图标整合、axios封装优化、路由级权限优化；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健壮项目架构的实践，技术栈分析、项目创建及配置、目录结构、ui库按需加载配置、路由&amp;vuex管理等；</w:t>
      </w:r>
    </w:p>
    <w:p>
      <w:pPr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阅读vue的前端架构，了解大型项目架构的注意点并尝试实践；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C6D6DD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ABD4A48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1F398E"/>
    <w:rsid w:val="472557F9"/>
    <w:rsid w:val="476F2AF9"/>
    <w:rsid w:val="47F56E26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AE60A6"/>
    <w:rsid w:val="63D7139B"/>
    <w:rsid w:val="6403492C"/>
    <w:rsid w:val="655A4057"/>
    <w:rsid w:val="65731F07"/>
    <w:rsid w:val="65AA46CF"/>
    <w:rsid w:val="66251165"/>
    <w:rsid w:val="66EB654B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2020-12-28T01:32:56Z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