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</Types>
</file>

<file path=_rels/.rels><?xml version="1.0" encoding="UTF-8" standalone="yes"?>

<Relationships  xmlns="http://schemas.openxmlformats.org/package/2006/relationships">
<Relationship Id="rId1" Type="http://schemas.openxmlformats.org/officeDocument/2006/relationships/officeDocument" Target="word/document.xml"/>
<Relationship Id="rId4" Type="http://schemas.openxmlformats.org/officeDocument/2006/relationships/extended-properties" Target="docProps/app.xml"/>
<Relationship Id="rId3" Type="http://schemas.openxmlformats.org/package/2006/relationships/metadata/core-properties" Target="docProps/core.xml"/>
<Relationship Id="rId5" Type="http://schemas.openxmlformats.org/officeDocument/2006/relationships/custom-properties" Target="docProps/custom.xml"/>
</Relationships>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FIEBRE</w:t>
      </w:r>
      <w:r>
        <w:t xml:space="preserve"> </w:t>
      </w:r>
      <w:r>
        <w:t xml:space="preserve">Adult</w:t>
      </w:r>
      <w:r>
        <w:t xml:space="preserve"> </w:t>
      </w:r>
      <w:r>
        <w:t xml:space="preserve">Severity</w:t>
      </w:r>
      <w:r>
        <w:t xml:space="preserve"> </w:t>
      </w:r>
      <w:r>
        <w:t xml:space="preserve">Scores</w:t>
      </w:r>
      <w:r>
        <w:t xml:space="preserve"> </w:t>
      </w:r>
      <w:r>
        <w:t xml:space="preserve">analysis:</w:t>
      </w:r>
      <w:r>
        <w:t xml:space="preserve"> </w:t>
      </w:r>
      <w:r>
        <w:t xml:space="preserve">Figures</w:t>
      </w:r>
      <w:r>
        <w:t xml:space="preserve"> </w:t>
      </w:r>
      <w:r>
        <w:t xml:space="preserve">and</w:t>
      </w:r>
      <w:r>
        <w:t xml:space="preserve"> </w:t>
      </w:r>
      <w:r>
        <w:t xml:space="preserve">tables</w:t>
      </w:r>
      <w:r>
        <w:t xml:space="preserve"> </w:t>
      </w:r>
      <w:r>
        <w:t xml:space="preserve">for</w:t>
      </w:r>
      <w:r>
        <w:t xml:space="preserve"> </w:t>
      </w:r>
      <w:r>
        <w:t xml:space="preserve">manuscript</w:t>
      </w:r>
    </w:p>
    <w:p>
      <w:pPr>
        <w:pStyle w:val="Normal"/>
      </w:pPr>
      <w:r>
        <w:t xml:space="preserve">26</w:t>
      </w:r>
      <w:r>
        <w:t xml:space="preserve"> </w:t>
      </w:r>
      <w:r>
        <w:t xml:space="preserve">August</w:t>
      </w:r>
      <w:r>
        <w:t xml:space="preserve"> </w:t>
      </w:r>
      <w:r>
        <w:t xml:space="preserve">2024</w:t>
      </w:r>
    </w:p>
    <w:p>
      <w:pPr>
        <w:pStyle w:val="Normal"/>
      </w:pPr>
      <w:r>
        <w:t xml:space="preserve">Table of Contents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\o "1-3" \h \z \u</w:instrText>
      </w:r>
      <w:r xmlns:w14="http://schemas.microsoft.com/office/word/2010/wordml">
        <w:rPr/>
        <w:fldChar w:fldCharType="end" w:dirty="true"/>
      </w:r>
    </w:p>
    <w:p>
      <w:r>
        <w:br w:type="page"/>
      </w:r>
    </w:p>
    <w:p>
      <w:pPr>
        <w:sectPr w:officer="true">
          <w:type w:val="continuous"/>
          <w:cols/>
          <w:pgSz w:h="16848" w:w="11952" w:orient="portrait"/>
          <w:pgMar w:header="288" w:bottom="720" w:top="720" w:right="1440" w:left="1440" w:footer="288" w:gutter="288"/>
        </w:sectPr>
      </w:pPr>
    </w:p>
    <w:bookmarkStart w:id="22" w:name="descriptive-results-tables"/>
    <w:p>
      <w:pPr>
        <w:pStyle w:val="Heading2"/>
      </w:pPr>
      <w:r>
        <w:t xml:space="preserve">Descriptive results tables</w:t>
      </w:r>
    </w:p>
    <w:bookmarkStart w:id="20" w:name="table-2"/>
    <w:p>
      <w:pPr>
        <w:pStyle w:val="Heading3"/>
      </w:pPr>
      <w:r>
        <w:t xml:space="preserve">Table 2</w:t>
      </w:r>
    </w:p>
    <w:p xmlns:w14="http://schemas.microsoft.com/office/word/2010/wordml">
      <w:pPr>
        <w:pStyle w:val=""/>
        <w:jc w:val="center"/>
        <w:keepNext/>
      </w:pPr>
      <w:r>
        <w:t xml:space="preserve">Demographic and clinical characteristics of febrile participants (aged ≥15 years) enrolled between 2018 and 2021 across four sites (Lao PDR, Malawi, Mozambique, and Zimbabwe), who had complete enrolment and follow-up data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2788"/>
        <w:gridCol w:w="1608"/>
        <w:gridCol w:w="1872"/>
        <w:gridCol w:w="2489"/>
        <w:gridCol w:w="2233"/>
        <w:gridCol w:w="2058"/>
      </w:tblGrid>
      <w:tr>
        <w:trPr>
          <w:trHeight w:val="404" w:hRule="auto"/>
          <w:tblHeader/>
        </w:trPr>
        header 1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Variable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Laos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, N = 412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Malawi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, N = 727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Mozambique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, N = 811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Zimbabwe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, N = 847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Overall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, N = 2,797</w:t>
            </w:r>
          </w:p>
        </w:tc>
      </w:tr>
      <w:tr>
        <w:trPr>
          <w:trHeight w:val="299" w:hRule="auto"/>
        </w:trPr>
        body 1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Age (years)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 (IQR)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36.0 (25.8, 54.0)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28.0 (22.0, 38.0)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34.0 (25.0, 45.5)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32.0 (23.0, 41.0)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32.0 (24.0, 43.0)</w:t>
            </w:r>
          </w:p>
        </w:tc>
      </w:tr>
      <w:tr>
        <w:trPr>
          <w:trHeight w:val="29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Range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15.0, 96.0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15.0, 87.0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15.0, 92.0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15.0, 83.0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15.0, 96.0</w:t>
            </w:r>
          </w:p>
        </w:tc>
      </w:tr>
      <w:tr>
        <w:trPr>
          <w:trHeight w:val="299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Age group, n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15 - &lt;25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92 (22%)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254 (35%)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186 (23%)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252 (30%)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784 (28%)</w:t>
            </w:r>
          </w:p>
        </w:tc>
      </w:tr>
      <w:tr>
        <w:trPr>
          <w:trHeight w:val="298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25 - &lt;35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 (24%)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215 (30%)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221 (27%)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246 (29%)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782 (28%)</w:t>
            </w:r>
          </w:p>
        </w:tc>
      </w:tr>
      <w:tr>
        <w:trPr>
          <w:trHeight w:val="298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35 - &lt;40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 (16%)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152 (21%)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192 (24%)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182 (21%)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590 (21%)</w:t>
            </w:r>
          </w:p>
        </w:tc>
      </w:tr>
      <w:tr>
        <w:trPr>
          <w:trHeight w:val="298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45 - &lt;55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 (14%)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 (8.1%)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91 (11%)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95 (11%)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301 (11%)</w:t>
            </w:r>
          </w:p>
        </w:tc>
      </w:tr>
      <w:tr>
        <w:trPr>
          <w:trHeight w:val="298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55 - &lt;65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49 (12%)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 (4.1%)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 (9.4%)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42 (5.0%)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197 (7.0%)</w:t>
            </w:r>
          </w:p>
        </w:tc>
      </w:tr>
      <w:tr>
        <w:trPr>
          <w:trHeight w:val="298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65+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51 (12%)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 (2.3%)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45 (5.5%)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 (3.5%)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143 (5.1%)</w:t>
            </w:r>
          </w:p>
        </w:tc>
      </w:tr>
      <w:tr>
        <w:trPr>
          <w:trHeight w:val="298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Gender, n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Female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234 (57%)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459 (63%)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532 (66%)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459 (54%)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1,684 (60%)</w:t>
            </w:r>
          </w:p>
        </w:tc>
      </w:tr>
      <w:tr>
        <w:trPr>
          <w:trHeight w:val="298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178 (43%)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268 (37%)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279 (34%)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388 (46%)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1,113 (40%)</w:t>
            </w:r>
          </w:p>
        </w:tc>
      </w:tr>
      <w:tr>
        <w:trPr>
          <w:trHeight w:val="299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Patient group, n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Inpatient - adult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178 (43%)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169 (23%)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364 (45%)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359 (42%)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1,070 (38%)</w:t>
            </w:r>
          </w:p>
        </w:tc>
      </w:tr>
      <w:tr>
        <w:trPr>
          <w:trHeight w:val="298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Outpatient - adult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234 (57%)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558 (77%)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447 (55%)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488 (58%)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1,727 (62%)</w:t>
            </w:r>
          </w:p>
        </w:tc>
      </w:tr>
      <w:tr>
        <w:trPr>
          <w:trHeight w:val="299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Length of inpatient stay (days)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 (IQR)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3.0 (1.0, 4.0)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3.0 (1.8, 4.0)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3.0 (1.0, 7.0)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5.0 (3.0, 8.5)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3.0 (2.0, 6.0)</w:t>
            </w:r>
          </w:p>
        </w:tc>
      </w:tr>
      <w:tr>
        <w:trPr>
          <w:trHeight w:val="29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Range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0.0, 32.0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0.0, 64.0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0.0, 70.0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0.0, 65.0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0.0, 70.0</w:t>
            </w:r>
          </w:p>
        </w:tc>
      </w:tr>
      <w:tr>
        <w:trPr>
          <w:trHeight w:val="299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(Missing)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1,833</w:t>
            </w:r>
          </w:p>
        </w:tc>
      </w:tr>
      <w:tr>
        <w:trPr>
          <w:trHeight w:val="298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Temperature (°C)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 (IQR)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38.0 (37.5, 38.5)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37.8 (37.6, 38.5)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38.0 (37.7, 38.6)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38.0 (37.8, 38.8)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38.0 (37.7, 38.6)</w:t>
            </w:r>
          </w:p>
        </w:tc>
      </w:tr>
      <w:tr>
        <w:trPr>
          <w:trHeight w:val="293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Range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37.5, 40.1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37.5, 41.3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37.5, 41.0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37.5, 40.8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37.5, 41.3</w:t>
            </w:r>
          </w:p>
        </w:tc>
      </w:tr>
      <w:tr>
        <w:trPr>
          <w:trHeight w:val="298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HIV status, n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Positive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(0.2%)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102 (14%)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413 (51%)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169 (20%)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685 (24%)</w:t>
            </w:r>
          </w:p>
        </w:tc>
      </w:tr>
      <w:tr>
        <w:trPr>
          <w:trHeight w:val="298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Negative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411 (100%)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625 (86%)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398 (49%)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678 (80%)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2,112 (76%)</w:t>
            </w:r>
          </w:p>
        </w:tc>
      </w:tr>
      <w:tr>
        <w:trPr>
          <w:trHeight w:val="298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Respiratory rate (breaths/min)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 (IQR)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22.0 (20.0, 25.0)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22.0 (20.0, 28.0)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 (18.0, 20.0)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 (18.0, 20.0)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 (18.0, 23.0)</w:t>
            </w:r>
          </w:p>
        </w:tc>
      </w:tr>
      <w:tr>
        <w:trPr>
          <w:trHeight w:val="293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Range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17.0, 50.0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14.0, 66.0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14.0, 56.0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16.0, 85.0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14.0, 85.0</w:t>
            </w:r>
          </w:p>
        </w:tc>
      </w:tr>
      <w:tr>
        <w:trPr>
          <w:trHeight w:val="299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Systolic blood pressure, mm Hg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 (IQR)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120.0 (110.0, 125.0)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116.0 (106.0, 125.5)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117.0 (105.0, 130.0)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116.0 (105.0, 127.0)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117.0 (106.0, 127.0)</w:t>
            </w:r>
          </w:p>
        </w:tc>
      </w:tr>
      <w:tr>
        <w:trPr>
          <w:trHeight w:val="293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Range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60.0, 199.0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67.0, 191.0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48.0, 239.0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66.0, 256.0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48.0, 256.0</w:t>
            </w:r>
          </w:p>
        </w:tc>
      </w:tr>
      <w:tr>
        <w:trPr>
          <w:trHeight w:val="294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Heart rate, beats/min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 (IQR)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89.0 (80.0, 100.0)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95.0 (84.0, 109.0)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103.0 (90.0, 118.0)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106.0 (93.5, 120.0)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99.0 (87.0, 114.0)</w:t>
            </w:r>
          </w:p>
        </w:tc>
      </w:tr>
      <w:tr>
        <w:trPr>
          <w:trHeight w:val="293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Range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57.0, 157.0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48.0, 174.0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44.0, 181.0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56.0, 192.0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44.0, 192.0</w:t>
            </w:r>
          </w:p>
        </w:tc>
      </w:tr>
      <w:tr>
        <w:trPr>
          <w:trHeight w:val="299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Oxygen saturation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 (IQR)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96.0 (95.0, 97.0)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97.0 (96.0, 98.0)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98.0 (96.0, 99.0)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95.0 (94.0, 97.0)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97.0 (95.0, 98.0)</w:t>
            </w:r>
          </w:p>
        </w:tc>
      </w:tr>
      <w:tr>
        <w:trPr>
          <w:trHeight w:val="293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Range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80.0, 99.0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77.0, 100.0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36.0, 100.0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75.0, 100.0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36.0, 100.0</w:t>
            </w:r>
          </w:p>
        </w:tc>
      </w:tr>
      <w:tr>
        <w:trPr>
          <w:trHeight w:val="299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Modified early warning score (MEWS)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 (IQR)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3.0 (2.0, 4.0)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3.0 (2.0, 4.0)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3.0 (1.0, 4.0)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3.0 (2.0, 5.0)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3.0 (2.0, 4.0)</w:t>
            </w:r>
          </w:p>
        </w:tc>
      </w:tr>
      <w:tr>
        <w:trPr>
          <w:trHeight w:val="293" w:hRule="auto"/>
        </w:trPr>
        body41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Range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1.0, 9.0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1.0, 11.0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1.0, 10.0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1.0, 9.0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1.0, 11.0</w:t>
            </w:r>
          </w:p>
        </w:tc>
      </w:tr>
      <w:tr>
        <w:trPr>
          <w:trHeight w:val="269" w:hRule="auto"/>
        </w:trPr>
        body42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Modified GCS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 (IQR)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15.0 (15.0, 15.0)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15.0 (15.0, 15.0)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15.0 (15.0, 15.0)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15.0 (15.0, 15.0)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15.0 (15.0, 15.0)</w:t>
            </w:r>
          </w:p>
        </w:tc>
      </w:tr>
      <w:tr>
        <w:trPr>
          <w:trHeight w:val="293" w:hRule="auto"/>
        </w:trPr>
        body44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Range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8.0, 15.0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3.0, 15.0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3.0, 15.0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3.0, 15.0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3.0, 15.0</w:t>
            </w:r>
          </w:p>
        </w:tc>
      </w:tr>
      <w:tr>
        <w:trPr>
          <w:trHeight w:val="298" w:hRule="auto"/>
        </w:trPr>
        body45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qSOFA score, n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87 (21%)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275 (38%)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502 (62%)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572 (68%)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1,436 (51%)</w:t>
            </w:r>
          </w:p>
        </w:tc>
      </w:tr>
      <w:tr>
        <w:trPr>
          <w:trHeight w:val="298" w:hRule="auto"/>
        </w:trPr>
        body47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269 (65%)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372 (51%)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246 (30%)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239 (28%)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1,126 (40%)</w:t>
            </w:r>
          </w:p>
        </w:tc>
      </w:tr>
      <w:tr>
        <w:trPr>
          <w:trHeight w:val="298" w:hRule="auto"/>
        </w:trPr>
        body48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49 (12%)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80 (11%)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 (7.5%)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 (4.3%)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226 (8.1%)</w:t>
            </w:r>
          </w:p>
        </w:tc>
      </w:tr>
      <w:tr>
        <w:trPr>
          <w:trHeight w:val="298" w:hRule="auto"/>
        </w:trPr>
        body49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 (1.7%)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(0.2%)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 (0.3%)</w:t>
            </w:r>
          </w:p>
        </w:tc>
      </w:tr>
      <w:tr>
        <w:trPr>
          <w:trHeight w:val="263" w:hRule="auto"/>
        </w:trPr>
        body50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UVA score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 (IQR)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 (0.0, 0.0)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 (0.0, 1.0)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 (0.0, 2.0)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 (0.0, 2.0)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 (0.0, 2.0)</w:t>
            </w:r>
          </w:p>
        </w:tc>
      </w:tr>
      <w:tr>
        <w:trPr>
          <w:trHeight w:val="293" w:hRule="auto"/>
        </w:trPr>
        body52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Range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0.0, 7.0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0.0, 10.0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0.0, 9.0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0.0, 7.0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0.0, 10.0</w:t>
            </w:r>
          </w:p>
        </w:tc>
      </w:tr>
      <w:tr>
        <w:trPr>
          <w:trHeight w:val="422" w:hRule="auto"/>
        </w:trPr>
        body53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Altered mental status 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(GCS &lt;15), n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body54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 (3.6%)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 (1.2%)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45 (5.5%)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 (0.6%)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74 (2.6%)</w:t>
            </w:r>
          </w:p>
        </w:tc>
      </w:tr>
      <w:tr>
        <w:trPr>
          <w:trHeight w:val="298" w:hRule="auto"/>
        </w:trPr>
        body55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397 (96%)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718 (99%)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766 (94%)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842 (99%)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2,723 (97%)</w:t>
            </w:r>
          </w:p>
        </w:tc>
      </w:tr>
      <w:tr>
        <w:trPr>
          <w:trHeight w:val="360" w:hRule="auto"/>
        </w:trPr>
        footer 1
        <w:tc>
          <w:tcPr>
            <w:gridSpan w:val="6"/>
            <w:tcBorders>
              <w:bottom w:val="none" w:sz="0" w:space="0" w:color="FFFFFF"/>
              <w:top w:val="single" w:sz="8" w:space="0" w:color="000000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1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IQR=interquartile range, bpm=beats per minute, brpm=breaths per minute, MEWS=modified early warning score, GCS=Glasgow coma scale score, qSOFA=quick sequential organ failure assessment, UVA=universal vital assessment score *Length of hospital stay reported for inpatients only</w:t>
            </w:r>
          </w:p>
        </w:tc>
      </w:tr>
    </w:tbl>
    <w:p>
      <w:r>
        <w:br w:type="page"/>
      </w:r>
    </w:p>
    <w:bookmarkEnd w:id="20"/>
    <w:bookmarkStart w:id="21" w:name="table-3"/>
    <w:p>
      <w:pPr>
        <w:pStyle w:val="Heading3"/>
      </w:pPr>
      <w:r>
        <w:t xml:space="preserve">Table 3</w:t>
      </w:r>
    </w:p>
    <w:p xmlns:w14="http://schemas.microsoft.com/office/word/2010/wordml">
      <w:pPr>
        <w:pStyle w:val=""/>
        <w:jc w:val="center"/>
        <w:keepNext/>
      </w:pPr>
      <w:r>
        <w:t xml:space="preserve">Demographic and clinical characteristics of febrile participants (aged ≥15 years) enrolled between 2018 and 2021 across four sites (Lao PDR, Malawi, Mozambique, and Zimbabwe), stratified by outcome by time of follow-up.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2788"/>
        <w:gridCol w:w="1812"/>
        <w:gridCol w:w="1651"/>
        <w:gridCol w:w="2058"/>
      </w:tblGrid>
      <w:tr>
        <w:trPr>
          <w:trHeight w:val="399" w:hRule="auto"/>
          <w:tblHeader/>
        </w:trPr>
        header 1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Variable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Alive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, N = 2,612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Dead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, N = 185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Overall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, N = 2,797</w:t>
            </w:r>
          </w:p>
        </w:tc>
      </w:tr>
      <w:tr>
        <w:trPr>
          <w:trHeight w:val="299" w:hRule="auto"/>
        </w:trPr>
        body 1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Age (years)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2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2,612.0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185.0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2,797.0</w:t>
            </w:r>
          </w:p>
        </w:tc>
      </w:tr>
      <w:tr>
        <w:trPr>
          <w:trHeight w:val="298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 (IQR)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32.0 (23.0, 42.0)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41.0 (33.0, 56.0)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32.0 (24.0, 43.0)</w:t>
            </w:r>
          </w:p>
        </w:tc>
      </w:tr>
      <w:tr>
        <w:trPr>
          <w:trHeight w:val="29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Range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15.0, 95.0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18.0, 96.0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15.0, 96.0</w:t>
            </w:r>
          </w:p>
        </w:tc>
      </w:tr>
      <w:tr>
        <w:trPr>
          <w:trHeight w:val="299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Age group, n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15 - &lt;25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769 (98%)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 (1.9%)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784 (100%)</w:t>
            </w:r>
          </w:p>
        </w:tc>
      </w:tr>
      <w:tr>
        <w:trPr>
          <w:trHeight w:val="298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25 - &lt;35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740 (95%)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42 (5.4%)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782 (100%)</w:t>
            </w:r>
          </w:p>
        </w:tc>
      </w:tr>
      <w:tr>
        <w:trPr>
          <w:trHeight w:val="298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35 - &lt;40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545 (92%)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45 (7.6%)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590 (100%)</w:t>
            </w:r>
          </w:p>
        </w:tc>
      </w:tr>
      <w:tr>
        <w:trPr>
          <w:trHeight w:val="298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45 - &lt;55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269 (89%)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 (11%)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301 (100%)</w:t>
            </w:r>
          </w:p>
        </w:tc>
      </w:tr>
      <w:tr>
        <w:trPr>
          <w:trHeight w:val="298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55 - &lt;65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169 (86%)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 (14%)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197 (100%)</w:t>
            </w:r>
          </w:p>
        </w:tc>
      </w:tr>
      <w:tr>
        <w:trPr>
          <w:trHeight w:val="298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65+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120 (84%)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 (16%)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143 (100%)</w:t>
            </w:r>
          </w:p>
        </w:tc>
      </w:tr>
      <w:tr>
        <w:trPr>
          <w:trHeight w:val="298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Gender, n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Female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1,600 (95%)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84 (5.0%)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1,684 (100%)</w:t>
            </w:r>
          </w:p>
        </w:tc>
      </w:tr>
      <w:tr>
        <w:trPr>
          <w:trHeight w:val="298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1,012 (91%)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101 (9.1%)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1,113 (100%)</w:t>
            </w:r>
          </w:p>
        </w:tc>
      </w:tr>
      <w:tr>
        <w:trPr>
          <w:trHeight w:val="299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Patient group, n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Inpatient - adult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900 (84%)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170 (16%)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1,070 (100%)</w:t>
            </w:r>
          </w:p>
        </w:tc>
      </w:tr>
      <w:tr>
        <w:trPr>
          <w:trHeight w:val="298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Outpatient - adult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1,712 (99%)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 (0.9%)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1,727 (100%)</w:t>
            </w:r>
          </w:p>
        </w:tc>
      </w:tr>
      <w:tr>
        <w:trPr>
          <w:trHeight w:val="299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Length of inpatient stay (days)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66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810.0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154.0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964.0</w:t>
            </w:r>
          </w:p>
        </w:tc>
      </w:tr>
      <w:tr>
        <w:trPr>
          <w:trHeight w:val="298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 (IQR)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3.0 (2.0, 6.0)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3.5 (1.0, 7.0)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3.0 (2.0, 6.0)</w:t>
            </w:r>
          </w:p>
        </w:tc>
      </w:tr>
      <w:tr>
        <w:trPr>
          <w:trHeight w:val="293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Range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0.0, 70.0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0.0, 64.0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0.0, 70.0</w:t>
            </w:r>
          </w:p>
        </w:tc>
      </w:tr>
      <w:tr>
        <w:trPr>
          <w:trHeight w:val="299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(Missing)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1,802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1,833</w:t>
            </w:r>
          </w:p>
        </w:tc>
      </w:tr>
      <w:tr>
        <w:trPr>
          <w:trHeight w:val="298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country, n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Laos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389 (94%)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 (5.6%)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412 (100%)</w:t>
            </w:r>
          </w:p>
        </w:tc>
      </w:tr>
      <w:tr>
        <w:trPr>
          <w:trHeight w:val="298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Malawi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711 (98%)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 (2.2%)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727 (100%)</w:t>
            </w:r>
          </w:p>
        </w:tc>
      </w:tr>
      <w:tr>
        <w:trPr>
          <w:trHeight w:val="298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Mozambique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716 (88%)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95 (12%)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811 (100%)</w:t>
            </w:r>
          </w:p>
        </w:tc>
      </w:tr>
      <w:tr>
        <w:trPr>
          <w:trHeight w:val="298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Zimbabwe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796 (94%)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51 (6.0%)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847 (100%)</w:t>
            </w:r>
          </w:p>
        </w:tc>
      </w:tr>
      <w:tr>
        <w:trPr>
          <w:trHeight w:val="298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Temperature (°C)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2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2,612.0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185.0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2,797.0</w:t>
            </w:r>
          </w:p>
        </w:tc>
      </w:tr>
      <w:tr>
        <w:trPr>
          <w:trHeight w:val="298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 (IQR)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38.0 (37.7, 38.6)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38.1 (37.8, 38.8)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38.0 (37.7, 38.6)</w:t>
            </w:r>
          </w:p>
        </w:tc>
      </w:tr>
      <w:tr>
        <w:trPr>
          <w:trHeight w:val="293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Range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37.5, 41.3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37.5, 41.0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37.5, 41.3</w:t>
            </w:r>
          </w:p>
        </w:tc>
      </w:tr>
      <w:tr>
        <w:trPr>
          <w:trHeight w:val="298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HIV status, n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Positive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573 (84%)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112 (16%)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685 (100%)</w:t>
            </w:r>
          </w:p>
        </w:tc>
      </w:tr>
      <w:tr>
        <w:trPr>
          <w:trHeight w:val="298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Negative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2,039 (97%)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73 (3.5%)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2,112 (100%)</w:t>
            </w:r>
          </w:p>
        </w:tc>
      </w:tr>
      <w:tr>
        <w:trPr>
          <w:trHeight w:val="298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Respiratory rate (breaths/min)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2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2,612.0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185.0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2,797.0</w:t>
            </w:r>
          </w:p>
        </w:tc>
      </w:tr>
      <w:tr>
        <w:trPr>
          <w:trHeight w:val="298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 (IQR)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 (18.0, 23.0)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22.0 (20.0, 26.0)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 (18.0, 23.0)</w:t>
            </w:r>
          </w:p>
        </w:tc>
      </w:tr>
      <w:tr>
        <w:trPr>
          <w:trHeight w:val="293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Range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14.0, 85.0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16.0, 66.0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14.0, 85.0</w:t>
            </w:r>
          </w:p>
        </w:tc>
      </w:tr>
      <w:tr>
        <w:trPr>
          <w:trHeight w:val="299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Systolic blood pressure, mm Hg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2" w:hRule="auto"/>
        </w:trPr>
        body40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2,612.0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185.0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2,797.0</w:t>
            </w:r>
          </w:p>
        </w:tc>
      </w:tr>
      <w:tr>
        <w:trPr>
          <w:trHeight w:val="298" w:hRule="auto"/>
        </w:trPr>
        body41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 (IQR)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117.0 (106.0, 127.0)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111.0 (98.0, 129.0)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117.0 (106.0, 127.0)</w:t>
            </w:r>
          </w:p>
        </w:tc>
      </w:tr>
      <w:tr>
        <w:trPr>
          <w:trHeight w:val="293" w:hRule="auto"/>
        </w:trPr>
        body42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Range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48.0, 256.0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60.0, 228.0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48.0, 256.0</w:t>
            </w:r>
          </w:p>
        </w:tc>
      </w:tr>
      <w:tr>
        <w:trPr>
          <w:trHeight w:val="294" w:hRule="auto"/>
        </w:trPr>
        body43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Heart rate, beats/min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2" w:hRule="auto"/>
        </w:trPr>
        body44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2,612.0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185.0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2,797.0</w:t>
            </w:r>
          </w:p>
        </w:tc>
      </w:tr>
      <w:tr>
        <w:trPr>
          <w:trHeight w:val="298" w:hRule="auto"/>
        </w:trPr>
        body45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 (IQR)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99.0 (87.0, 113.0)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110.0 (94.0, 125.0)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99.0 (87.0, 114.0)</w:t>
            </w:r>
          </w:p>
        </w:tc>
      </w:tr>
      <w:tr>
        <w:trPr>
          <w:trHeight w:val="293" w:hRule="auto"/>
        </w:trPr>
        body46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Range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44.0, 192.0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60.0, 181.0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44.0, 192.0</w:t>
            </w:r>
          </w:p>
        </w:tc>
      </w:tr>
      <w:tr>
        <w:trPr>
          <w:trHeight w:val="299" w:hRule="auto"/>
        </w:trPr>
        body47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Oxygen saturation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2" w:hRule="auto"/>
        </w:trPr>
        body48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2,612.0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185.0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2,797.0</w:t>
            </w:r>
          </w:p>
        </w:tc>
      </w:tr>
      <w:tr>
        <w:trPr>
          <w:trHeight w:val="298" w:hRule="auto"/>
        </w:trPr>
        body49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 (IQR)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97.0 (95.0, 98.0)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95.0 (92.0, 97.0)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97.0 (95.0, 98.0)</w:t>
            </w:r>
          </w:p>
        </w:tc>
      </w:tr>
      <w:tr>
        <w:trPr>
          <w:trHeight w:val="293" w:hRule="auto"/>
        </w:trPr>
        body50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Range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75.0, 100.0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36.0, 100.0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36.0, 100.0</w:t>
            </w:r>
          </w:p>
        </w:tc>
      </w:tr>
      <w:tr>
        <w:trPr>
          <w:trHeight w:val="299" w:hRule="auto"/>
        </w:trPr>
        body51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Modified early warning score (MEWS)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2" w:hRule="auto"/>
        </w:trPr>
        body52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2,612.0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185.0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2,797.0</w:t>
            </w:r>
          </w:p>
        </w:tc>
      </w:tr>
      <w:tr>
        <w:trPr>
          <w:trHeight w:val="298" w:hRule="auto"/>
        </w:trPr>
        body53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 (IQR)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3.0 (2.0, 4.0)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4.0 (3.0, 6.0)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3.0 (2.0, 4.0)</w:t>
            </w:r>
          </w:p>
        </w:tc>
      </w:tr>
      <w:tr>
        <w:trPr>
          <w:trHeight w:val="293" w:hRule="auto"/>
        </w:trPr>
        body54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Range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1.0, 10.0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1.0, 11.0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1.0, 11.0</w:t>
            </w:r>
          </w:p>
        </w:tc>
      </w:tr>
      <w:tr>
        <w:trPr>
          <w:trHeight w:val="269" w:hRule="auto"/>
        </w:trPr>
        body55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Modified GCS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2" w:hRule="auto"/>
        </w:trPr>
        body56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2,612.0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185.0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2,797.0</w:t>
            </w:r>
          </w:p>
        </w:tc>
      </w:tr>
      <w:tr>
        <w:trPr>
          <w:trHeight w:val="298" w:hRule="auto"/>
        </w:trPr>
        body57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 (IQR)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15.0 (15.0, 15.0)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15.0 (15.0, 15.0)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15.0 (15.0, 15.0)</w:t>
            </w:r>
          </w:p>
        </w:tc>
      </w:tr>
      <w:tr>
        <w:trPr>
          <w:trHeight w:val="293" w:hRule="auto"/>
        </w:trPr>
        body58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Range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6.0, 15.0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3.0, 15.0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3.0, 15.0</w:t>
            </w:r>
          </w:p>
        </w:tc>
      </w:tr>
      <w:tr>
        <w:trPr>
          <w:trHeight w:val="298" w:hRule="auto"/>
        </w:trPr>
        body59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qSOFA score, n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body60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1,387 (97%)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49 (3.4%)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1,436 (100%)</w:t>
            </w:r>
          </w:p>
        </w:tc>
      </w:tr>
      <w:tr>
        <w:trPr>
          <w:trHeight w:val="298" w:hRule="auto"/>
        </w:trPr>
        body61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1,047 (93%)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79 (7.0%)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1,126 (100%)</w:t>
            </w:r>
          </w:p>
        </w:tc>
      </w:tr>
      <w:tr>
        <w:trPr>
          <w:trHeight w:val="298" w:hRule="auto"/>
        </w:trPr>
        body62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176 (78%)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 (22%)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226 (100%)</w:t>
            </w:r>
          </w:p>
        </w:tc>
      </w:tr>
      <w:tr>
        <w:trPr>
          <w:trHeight w:val="298" w:hRule="auto"/>
        </w:trPr>
        body63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(22%)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 (78%)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 (100%)</w:t>
            </w:r>
          </w:p>
        </w:tc>
      </w:tr>
      <w:tr>
        <w:trPr>
          <w:trHeight w:val="263" w:hRule="auto"/>
        </w:trPr>
        body64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UVA score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2" w:hRule="auto"/>
        </w:trPr>
        body65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2,612.0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185.0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2,797.0</w:t>
            </w:r>
          </w:p>
        </w:tc>
      </w:tr>
      <w:tr>
        <w:trPr>
          <w:trHeight w:val="298" w:hRule="auto"/>
        </w:trPr>
        body66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 (IQR)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 (0.0, 2.0)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3.0 (2.0, 4.0)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 (0.0, 2.0)</w:t>
            </w:r>
          </w:p>
        </w:tc>
      </w:tr>
      <w:tr>
        <w:trPr>
          <w:trHeight w:val="293" w:hRule="auto"/>
        </w:trPr>
        body67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Range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0.0, 9.0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0.0, 10.0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0.0, 10.0</w:t>
            </w:r>
          </w:p>
        </w:tc>
      </w:tr>
      <w:tr>
        <w:trPr>
          <w:trHeight w:val="422" w:hRule="auto"/>
        </w:trPr>
        body68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Altered mental status 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(GCS &lt;15), n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body69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 (51%)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 (49%)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74 (100%)</w:t>
            </w:r>
          </w:p>
        </w:tc>
      </w:tr>
      <w:tr>
        <w:trPr>
          <w:trHeight w:val="298" w:hRule="auto"/>
        </w:trPr>
        body70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2,574 (95%)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149 (5.5%)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2,723 (100%)</w:t>
            </w:r>
          </w:p>
        </w:tc>
      </w:tr>
      <w:tr>
        <w:trPr>
          <w:trHeight w:val="298" w:hRule="auto"/>
        </w:trPr>
        body71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Time to death (days)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body72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 (IQR)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NA (NA, NA)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10.0 (3.0, 21.3)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10.0 (3.0, 21.3)</w:t>
            </w:r>
          </w:p>
        </w:tc>
      </w:tr>
      <w:tr>
        <w:trPr>
          <w:trHeight w:val="299" w:hRule="auto"/>
        </w:trPr>
        body73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(Missing)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2,612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2,641</w:t>
            </w:r>
          </w:p>
        </w:tc>
      </w:tr>
      <w:tr>
        <w:trPr>
          <w:trHeight w:val="298" w:hRule="auto"/>
        </w:trPr>
        body74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hospital outcomes, n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body75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Died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73 (100%)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73 (100%)</w:t>
            </w:r>
          </w:p>
        </w:tc>
      </w:tr>
      <w:tr>
        <w:trPr>
          <w:trHeight w:val="299" w:hRule="auto"/>
        </w:trPr>
        body76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Discharge home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2,458 (98%)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 (2.4%)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2,519 (100%)</w:t>
            </w:r>
          </w:p>
        </w:tc>
      </w:tr>
      <w:tr>
        <w:trPr>
          <w:trHeight w:val="299" w:hRule="auto"/>
        </w:trPr>
        body77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Discharged to palliative care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 (52%)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 (48%)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 (100%)</w:t>
            </w:r>
          </w:p>
        </w:tc>
      </w:tr>
      <w:tr>
        <w:trPr>
          <w:trHeight w:val="298" w:hRule="auto"/>
        </w:trPr>
        body78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Other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 (90%)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(9.5%)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 (100%)</w:t>
            </w:r>
          </w:p>
        </w:tc>
      </w:tr>
      <w:tr>
        <w:trPr>
          <w:trHeight w:val="298" w:hRule="auto"/>
        </w:trPr>
        body79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Referred other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63 (68%)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 (32%)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93 (100%)</w:t>
            </w:r>
          </w:p>
        </w:tc>
      </w:tr>
      <w:tr>
        <w:trPr>
          <w:trHeight w:val="299" w:hRule="auto"/>
        </w:trPr>
        body80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(Missing)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68</w:t>
            </w:r>
          </w:p>
        </w:tc>
      </w:tr>
      <w:tr>
        <w:trPr>
          <w:trHeight w:val="360" w:hRule="auto"/>
        </w:trPr>
        footer 1
        <w:tc>
          <w:tcPr>
            <w:gridSpan w:val="4"/>
            <w:tcBorders>
              <w:bottom w:val="none" w:sz="0" w:space="0" w:color="FFFFFF"/>
              <w:top w:val="single" w:sz="8" w:space="0" w:color="000000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1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IQR=interquartile range, bpm=beats per minute, brpm=breaths per minute, MEWS=modified early warning score, GCS=Glasgow coma scale score, qSOFA=quick sequential organ failure assessment, UVA=universal vital assessment score *Length of hospital stay reported for inpatients only</w:t>
            </w:r>
          </w:p>
        </w:tc>
      </w:tr>
    </w:tbl>
    <w:p>
      <w:pPr>
        <w:pStyle w:val=""/>
      </w:pPr>
      <w:r>
        <w:rPr>
          <w:rFonts/>
          <w:b w:val="true"/>
        </w:rPr>
        <w:t xml:space="preserve"> </w:t>
      </w:r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tab \* Arabic</w:instrText>
      </w:r>
      <w:r xmlns:w14="http://schemas.microsoft.com/office/word/2010/wordml">
        <w:rPr>
          <w:rFonts/>
          <w:b w:val="true"/>
        </w:rPr>
        <w:fldChar w:fldCharType="end" w:dirty="true"/>
      </w:r>
      <w:r>
        <w:rPr>
          <w:rFonts/>
          <w:b w:val="true"/>
        </w:rPr>
        <w:t xml:space="preserve"> </w:t>
      </w:r>
      <w:r>
        <w:t xml:space="preserve">Demographic and clinical characteristics of febrile participants (aged ≥15 years) enrolled between 2018 and 2021 across four sites (Lao PDR, Malawi, Mozambique, and Zimbabwe), stratified by outcome by time of follow-up.</w:t>
      </w:r>
    </w:p>
    <w:tbl>
      <w:tblPr>
        <w:tblStyle w:stlname="Table" w:val="Table"/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n1</w:t>
            </w:r>
          </w:p>
        </w:tc>
        <w:tc>
          <w:p>
            <w:pPr>
              <w:pStyle w:stlname="Normal" w:val="Normal"/>
            </w:pPr>
            <w:r>
              <w:t>n2</w:t>
            </w:r>
          </w:p>
        </w:tc>
        <w:tc>
          <w:p>
            <w:pPr>
              <w:pStyle w:stlname="Normal" w:val="Normal"/>
            </w:pPr>
            <w:r>
              <w:t>estimate1</w:t>
            </w:r>
          </w:p>
        </w:tc>
        <w:tc>
          <w:p>
            <w:pPr>
              <w:pStyle w:stlname="Normal" w:val="Normal"/>
            </w:pPr>
            <w:r>
              <w:t>estimate2</w:t>
            </w:r>
          </w:p>
        </w:tc>
        <w:tc>
          <w:p>
            <w:pPr>
              <w:pStyle w:stlname="Normal" w:val="Normal"/>
            </w:pPr>
            <w:r>
              <w:t>statistic</w:t>
            </w:r>
          </w:p>
        </w:tc>
        <w:tc>
          <w:p>
            <w:pPr>
              <w:pStyle w:stlname="Normal" w:val="Normal"/>
            </w:pPr>
            <w:r>
              <w:t>p</w:t>
            </w:r>
          </w:p>
        </w:tc>
        <w:tc>
          <w:p>
            <w:pPr>
              <w:pStyle w:stlname="Normal" w:val="Normal"/>
            </w:pPr>
            <w:r>
              <w:t>df</w:t>
            </w:r>
          </w:p>
        </w:tc>
        <w:tc>
          <w:p>
            <w:pPr>
              <w:pStyle w:stlname="Normal" w:val="Normal"/>
            </w:pPr>
            <w:r>
              <w:t>conf.low</w:t>
            </w:r>
          </w:p>
        </w:tc>
        <w:tc>
          <w:p>
            <w:pPr>
              <w:pStyle w:stlname="Normal" w:val="Normal"/>
            </w:pPr>
            <w:r>
              <w:t>conf.high</w:t>
            </w:r>
          </w:p>
        </w:tc>
        <w:tc>
          <w:p>
            <w:pPr>
              <w:pStyle w:stlname="Normal" w:val="Normal"/>
            </w:pPr>
            <w:r>
              <w:t>method</w:t>
            </w:r>
          </w:p>
        </w:tc>
        <w:tc>
          <w:p>
            <w:pPr>
              <w:pStyle w:stlname="Normal" w:val="Normal"/>
            </w:pPr>
            <w:r>
              <w:t>alternative</w:t>
            </w:r>
          </w:p>
        </w:tc>
        <w:tc>
          <w:p>
            <w:pPr>
              <w:pStyle w:stlname="Normal" w:val="Normal"/>
            </w:pPr>
            <w:r>
              <w:t>p.signif</w:t>
            </w:r>
          </w:p>
        </w:tc>
      </w:tr>
      <w:tr>
        <w:tc>
          <w:p>
            <w:pPr>
              <w:pStyle w:stlname="Normal" w:val="Normal"/>
            </w:pPr>
            <w:r>
              <w:t>2797</w:t>
            </w:r>
          </w:p>
        </w:tc>
        <w:tc>
          <w:p>
            <w:pPr>
              <w:pStyle w:stlname="Normal" w:val="Normal"/>
            </w:pPr>
            <w:r>
              <w:t>1070</w:t>
            </w:r>
          </w:p>
        </w:tc>
        <w:tc>
          <w:p>
            <w:pPr>
              <w:pStyle w:stlname="Normal" w:val="Normal"/>
            </w:pPr>
            <w:r>
              <w:t>1727</w:t>
            </w:r>
          </w:p>
        </w:tc>
        <w:tc>
          <w:p>
            <w:pPr>
              <w:pStyle w:stlname="Normal" w:val="Normal"/>
            </w:pPr>
            <w:r>
              <w:t>0.1588785</w:t>
            </w:r>
          </w:p>
        </w:tc>
        <w:tc>
          <w:p>
            <w:pPr>
              <w:pStyle w:stlname="Normal" w:val="Normal"/>
            </w:pPr>
            <w:r>
              <w:t>0.008685582</w:t>
            </w:r>
          </w:p>
        </w:tc>
        <w:tc>
          <w:p>
            <w:pPr>
              <w:pStyle w:stlname="Normal" w:val="Normal"/>
            </w:pPr>
            <w:r>
              <w:t>238.8553</w:t>
            </w:r>
          </w:p>
        </w:tc>
        <w:tc>
          <w:p>
            <w:pPr>
              <w:pStyle w:stlname="Normal" w:val="Normal"/>
            </w:pPr>
            <w:r>
              <w:t>6.99e-54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0.1270995</w:t>
            </w:r>
          </w:p>
        </w:tc>
        <w:tc>
          <w:p>
            <w:pPr>
              <w:pStyle w:stlname="Normal" w:val="Normal"/>
            </w:pPr>
            <w:r>
              <w:t>0.1732864</w:t>
            </w:r>
          </w:p>
        </w:tc>
        <w:tc>
          <w:p>
            <w:pPr>
              <w:pStyle w:stlname="Normal" w:val="Normal"/>
            </w:pPr>
            <w:r>
              <w:t>Prop test</w:t>
            </w:r>
          </w:p>
        </w:tc>
        <w:tc>
          <w:p>
            <w:pPr>
              <w:pStyle w:stlname="Normal" w:val="Normal"/>
            </w:pPr>
            <w:r>
              <w:t>two.sided</w:t>
            </w:r>
          </w:p>
        </w:tc>
        <w:tc>
          <w:p>
            <w:pPr>
              <w:pStyle w:stlname="Normal" w:val="Normal"/>
            </w:pPr>
            <w:r>
              <w:t>****</w:t>
            </w:r>
          </w:p>
        </w:tc>
      </w:tr>
    </w:tbl>
    <w:p>
      <w:pPr>
        <w:pStyle w:val=""/>
      </w:pPr>
      <w:r>
        <w:rPr>
          <w:rFonts/>
          <w:b w:val="true"/>
        </w:rPr>
        <w:t xml:space="preserve"> </w:t>
      </w:r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tab \* Arabic</w:instrText>
      </w:r>
      <w:r xmlns:w14="http://schemas.microsoft.com/office/word/2010/wordml">
        <w:rPr>
          <w:rFonts/>
          <w:b w:val="true"/>
        </w:rPr>
        <w:fldChar w:fldCharType="end" w:dirty="true"/>
      </w:r>
      <w:r>
        <w:rPr>
          <w:rFonts/>
          <w:b w:val="true"/>
        </w:rPr>
        <w:t xml:space="preserve"> </w:t>
      </w:r>
      <w:r>
        <w:t xml:space="preserve">Demographic and clinical characteristics of febrile participants (aged ≥15 years) enrolled between 2018 and 2021 across four sites (Lao PDR, Malawi, Mozambique, and Zimbabwe), stratified by outcome by time of follow-up.</w:t>
      </w:r>
    </w:p>
    <w:tbl>
      <w:tblPr>
        <w:tblStyle w:stlname="Table" w:val="Table"/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n1</w:t>
            </w:r>
          </w:p>
        </w:tc>
        <w:tc>
          <w:p>
            <w:pPr>
              <w:pStyle w:stlname="Normal" w:val="Normal"/>
            </w:pPr>
            <w:r>
              <w:t>n2</w:t>
            </w:r>
          </w:p>
        </w:tc>
        <w:tc>
          <w:p>
            <w:pPr>
              <w:pStyle w:stlname="Normal" w:val="Normal"/>
            </w:pPr>
            <w:r>
              <w:t>estimate1</w:t>
            </w:r>
          </w:p>
        </w:tc>
        <w:tc>
          <w:p>
            <w:pPr>
              <w:pStyle w:stlname="Normal" w:val="Normal"/>
            </w:pPr>
            <w:r>
              <w:t>estimate2</w:t>
            </w:r>
          </w:p>
        </w:tc>
        <w:tc>
          <w:p>
            <w:pPr>
              <w:pStyle w:stlname="Normal" w:val="Normal"/>
            </w:pPr>
            <w:r>
              <w:t>statistic</w:t>
            </w:r>
          </w:p>
        </w:tc>
        <w:tc>
          <w:p>
            <w:pPr>
              <w:pStyle w:stlname="Normal" w:val="Normal"/>
            </w:pPr>
            <w:r>
              <w:t>p</w:t>
            </w:r>
          </w:p>
        </w:tc>
        <w:tc>
          <w:p>
            <w:pPr>
              <w:pStyle w:stlname="Normal" w:val="Normal"/>
            </w:pPr>
            <w:r>
              <w:t>df</w:t>
            </w:r>
          </w:p>
        </w:tc>
        <w:tc>
          <w:p>
            <w:pPr>
              <w:pStyle w:stlname="Normal" w:val="Normal"/>
            </w:pPr>
            <w:r>
              <w:t>conf.low</w:t>
            </w:r>
          </w:p>
        </w:tc>
        <w:tc>
          <w:p>
            <w:pPr>
              <w:pStyle w:stlname="Normal" w:val="Normal"/>
            </w:pPr>
            <w:r>
              <w:t>conf.high</w:t>
            </w:r>
          </w:p>
        </w:tc>
        <w:tc>
          <w:p>
            <w:pPr>
              <w:pStyle w:stlname="Normal" w:val="Normal"/>
            </w:pPr>
            <w:r>
              <w:t>method</w:t>
            </w:r>
          </w:p>
        </w:tc>
        <w:tc>
          <w:p>
            <w:pPr>
              <w:pStyle w:stlname="Normal" w:val="Normal"/>
            </w:pPr>
            <w:r>
              <w:t>alternative</w:t>
            </w:r>
          </w:p>
        </w:tc>
        <w:tc>
          <w:p>
            <w:pPr>
              <w:pStyle w:stlname="Normal" w:val="Normal"/>
            </w:pPr>
            <w:r>
              <w:t>p.signif</w:t>
            </w:r>
          </w:p>
        </w:tc>
      </w:tr>
      <w:tr>
        <w:tc>
          <w:p>
            <w:pPr>
              <w:pStyle w:stlname="Normal" w:val="Normal"/>
            </w:pPr>
            <w:r>
              <w:t>2797</w:t>
            </w:r>
          </w:p>
        </w:tc>
        <w:tc>
          <w:p>
            <w:pPr>
              <w:pStyle w:stlname="Normal" w:val="Normal"/>
            </w:pPr>
            <w:r>
              <w:t>685</w:t>
            </w:r>
          </w:p>
        </w:tc>
        <w:tc>
          <w:p>
            <w:pPr>
              <w:pStyle w:stlname="Normal" w:val="Normal"/>
            </w:pPr>
            <w:r>
              <w:t>2112</w:t>
            </w:r>
          </w:p>
        </w:tc>
        <w:tc>
          <w:p>
            <w:pPr>
              <w:pStyle w:stlname="Normal" w:val="Normal"/>
            </w:pPr>
            <w:r>
              <w:t>0.1635036</w:t>
            </w:r>
          </w:p>
        </w:tc>
        <w:tc>
          <w:p>
            <w:pPr>
              <w:pStyle w:stlname="Normal" w:val="Normal"/>
            </w:pPr>
            <w:r>
              <w:t>0.03456439</w:t>
            </w:r>
          </w:p>
        </w:tc>
        <w:tc>
          <w:p>
            <w:pPr>
              <w:pStyle w:stlname="Normal" w:val="Normal"/>
            </w:pPr>
            <w:r>
              <w:t>137.1406</w:t>
            </w:r>
          </w:p>
        </w:tc>
        <w:tc>
          <w:p>
            <w:pPr>
              <w:pStyle w:stlname="Normal" w:val="Normal"/>
            </w:pPr>
            <w:r>
              <w:t>1.12e-31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0.09920284</w:t>
            </w:r>
          </w:p>
        </w:tc>
        <w:tc>
          <w:p>
            <w:pPr>
              <w:pStyle w:stlname="Normal" w:val="Normal"/>
            </w:pPr>
            <w:r>
              <w:t>0.1586757</w:t>
            </w:r>
          </w:p>
        </w:tc>
        <w:tc>
          <w:p>
            <w:pPr>
              <w:pStyle w:stlname="Normal" w:val="Normal"/>
            </w:pPr>
            <w:r>
              <w:t>Prop test</w:t>
            </w:r>
          </w:p>
        </w:tc>
        <w:tc>
          <w:p>
            <w:pPr>
              <w:pStyle w:stlname="Normal" w:val="Normal"/>
            </w:pPr>
            <w:r>
              <w:t>two.sided</w:t>
            </w:r>
          </w:p>
        </w:tc>
        <w:tc>
          <w:p>
            <w:pPr>
              <w:pStyle w:stlname="Normal" w:val="Normal"/>
            </w:pPr>
            <w:r>
              <w:t>****</w:t>
            </w:r>
          </w:p>
        </w:tc>
      </w:tr>
    </w:tbl>
    <w:p>
      <w:r>
        <w:br w:type="page"/>
      </w:r>
    </w:p>
    <w:bookmarkEnd w:id="21"/>
    <w:bookmarkEnd w:id="22"/>
    <w:bookmarkStart w:id="24" w:name="X83f7c569521b5f6e34a90a661b4bd8d69b7af02"/>
    <w:p>
      <w:pPr>
        <w:pStyle w:val="Heading2"/>
      </w:pPr>
      <w:r>
        <w:t xml:space="preserve">Demographic and clinical characteristics of patients with incomplete data</w:t>
      </w:r>
    </w:p>
    <w:bookmarkStart w:id="23" w:name="table-s1"/>
    <w:p>
      <w:pPr>
        <w:pStyle w:val="Heading3"/>
      </w:pPr>
      <w:r>
        <w:t xml:space="preserve">Table S1</w:t>
      </w:r>
    </w:p>
    <w:p xmlns:w14="http://schemas.microsoft.com/office/word/2010/wordml">
      <w:pPr>
        <w:pStyle w:val=""/>
        <w:jc w:val="center"/>
        <w:keepNext/>
      </w:pPr>
      <w:r>
        <w:t xml:space="preserve">Demographic and clinical characteristics of febrile participants (aged ≥15 years) enrolled between 2018 and 2021 across four sites (Lao PDR, Malawi, Mozambique, and Zimbabwe), who had incomplete enrolment and follow-up data.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2636"/>
        <w:gridCol w:w="1608"/>
        <w:gridCol w:w="1752"/>
        <w:gridCol w:w="2489"/>
        <w:gridCol w:w="2233"/>
        <w:gridCol w:w="2058"/>
      </w:tblGrid>
      <w:tr>
        <w:trPr>
          <w:trHeight w:val="404" w:hRule="auto"/>
          <w:tblHeader/>
        </w:trPr>
        header 1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Variable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Laos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, N = 800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Malawi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, N = 94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Mozambique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, N = 210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Zimbabwe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, N = 201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Overall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, N = 1,305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2</w:t>
            </w:r>
          </w:p>
        </w:tc>
      </w:tr>
      <w:tr>
        <w:trPr>
          <w:trHeight w:val="299" w:hRule="auto"/>
        </w:trPr>
        body 1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Age (years)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2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800.0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94.0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210.0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1,305.0</w:t>
            </w:r>
          </w:p>
        </w:tc>
      </w:tr>
      <w:tr>
        <w:trPr>
          <w:trHeight w:val="298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 (IQR)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35.0 (24.0, 54.0)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28.0 (22.0, 39.0)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33.0 (24.0, 47.0)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28.0 (22.0, 38.0)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33.0 (23.0, 50.0)</w:t>
            </w:r>
          </w:p>
        </w:tc>
      </w:tr>
      <w:tr>
        <w:trPr>
          <w:trHeight w:val="29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Range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15.0, 96.0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15.0, 84.0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15.0, 88.0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15.0, 74.0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15.0, 96.0</w:t>
            </w:r>
          </w:p>
        </w:tc>
      </w:tr>
      <w:tr>
        <w:trPr>
          <w:trHeight w:val="299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Age group, n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15 - &lt;25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208 (26%)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 (37%)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54 (26%)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75 (37%)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372 (29%)</w:t>
            </w:r>
          </w:p>
        </w:tc>
      </w:tr>
      <w:tr>
        <w:trPr>
          <w:trHeight w:val="298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25 - &lt;35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176 (22%)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 (24%)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57 (27%)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53 (26%)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309 (24%)</w:t>
            </w:r>
          </w:p>
        </w:tc>
      </w:tr>
      <w:tr>
        <w:trPr>
          <w:trHeight w:val="298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35 - &lt;40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112 (14%)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 (20%)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 (20%)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49 (24%)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221 (17%)</w:t>
            </w:r>
          </w:p>
        </w:tc>
      </w:tr>
      <w:tr>
        <w:trPr>
          <w:trHeight w:val="298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45 - &lt;55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106 (13%)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 (9.6%)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 (10%)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 (6.5%)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150 (11%)</w:t>
            </w:r>
          </w:p>
        </w:tc>
      </w:tr>
      <w:tr>
        <w:trPr>
          <w:trHeight w:val="298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55 - &lt;65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94 (12%)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 (4.3%)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 (10%)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 (4.0%)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128 (9.8%)</w:t>
            </w:r>
          </w:p>
        </w:tc>
      </w:tr>
      <w:tr>
        <w:trPr>
          <w:trHeight w:val="298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65+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104 (13%)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 (4.3%)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 (6.7%)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 (1.5%)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125 (9.6%)</w:t>
            </w:r>
          </w:p>
        </w:tc>
      </w:tr>
      <w:tr>
        <w:trPr>
          <w:trHeight w:val="298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Gender, n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Female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412 (52%)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51 (54%)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128 (61%)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101 (50%)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692 (53%)</w:t>
            </w:r>
          </w:p>
        </w:tc>
      </w:tr>
      <w:tr>
        <w:trPr>
          <w:trHeight w:val="298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388 (49%)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43 (46%)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 (39%)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 (50%)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613 (47%)</w:t>
            </w:r>
          </w:p>
        </w:tc>
      </w:tr>
      <w:tr>
        <w:trPr>
          <w:trHeight w:val="299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Patient group, n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Inpatient - adult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431 (54%)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51 (54%)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108 (51%)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87 (43%)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677 (52%)</w:t>
            </w:r>
          </w:p>
        </w:tc>
      </w:tr>
      <w:tr>
        <w:trPr>
          <w:trHeight w:val="298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Outpatient - adult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369 (46%)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43 (46%)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102 (49%)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114 (57%)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628 (48%)</w:t>
            </w:r>
          </w:p>
        </w:tc>
      </w:tr>
      <w:tr>
        <w:trPr>
          <w:trHeight w:val="299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Length of inpatient stay (days)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66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410.0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85.0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607.0</w:t>
            </w:r>
          </w:p>
        </w:tc>
      </w:tr>
      <w:tr>
        <w:trPr>
          <w:trHeight w:val="298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 (IQR)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3.0 (2.0, 4.0)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4.0 (1.0, 6.0)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3.0 (1.0, 6.0)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5.0 (3.0, 8.0)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3.0 (2.0, 5.0)</w:t>
            </w:r>
          </w:p>
        </w:tc>
      </w:tr>
      <w:tr>
        <w:trPr>
          <w:trHeight w:val="293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Range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0.0, 47.0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0.0, 38.0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0.0, 19.0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0.0, 43.0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0.0, 47.0</w:t>
            </w:r>
          </w:p>
        </w:tc>
      </w:tr>
      <w:tr>
        <w:trPr>
          <w:trHeight w:val="299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(Missing)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698</w:t>
            </w:r>
          </w:p>
        </w:tc>
      </w:tr>
      <w:tr>
        <w:trPr>
          <w:trHeight w:val="298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Temperature (°C)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2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800.0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94.0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210.0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1,305.0</w:t>
            </w:r>
          </w:p>
        </w:tc>
      </w:tr>
      <w:tr>
        <w:trPr>
          <w:trHeight w:val="298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 (IQR)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37.9 (37.5, 38.5)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38.2 (37.7, 38.9)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38.1 (37.7, 38.7)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38.1 (37.9, 38.8)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38.0 (37.5, 38.5)</w:t>
            </w:r>
          </w:p>
        </w:tc>
      </w:tr>
      <w:tr>
        <w:trPr>
          <w:trHeight w:val="293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Range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37.5, 40.9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37.5, 40.1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37.5, 40.0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37.5, 40.4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37.5, 40.9</w:t>
            </w:r>
          </w:p>
        </w:tc>
      </w:tr>
      <w:tr>
        <w:trPr>
          <w:trHeight w:val="298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HIV status, n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Positive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 (19%)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 (42%)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43 (25%)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142 (29%)</w:t>
            </w:r>
          </w:p>
        </w:tc>
      </w:tr>
      <w:tr>
        <w:trPr>
          <w:trHeight w:val="298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Negative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 (100%)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68 (81%)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106 (54%)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132 (75%)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337 (69%)</w:t>
            </w:r>
          </w:p>
        </w:tc>
      </w:tr>
      <w:tr>
        <w:trPr>
          <w:trHeight w:val="298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Indeterminant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 (4.5%)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 (1.8%)</w:t>
            </w:r>
          </w:p>
        </w:tc>
      </w:tr>
      <w:tr>
        <w:trPr>
          <w:trHeight w:val="299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(Missing)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817</w:t>
            </w:r>
          </w:p>
        </w:tc>
      </w:tr>
      <w:tr>
        <w:trPr>
          <w:trHeight w:val="298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Respiratory rate (breaths/min)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2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796.0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91.0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209.0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200.0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1,296.0</w:t>
            </w:r>
          </w:p>
        </w:tc>
      </w:tr>
      <w:tr>
        <w:trPr>
          <w:trHeight w:val="298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 (IQR)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22.0 (20.0, 22.0)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22.0 (19.0, 25.0)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 (18.0, 20.0)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 (18.0, 21.0)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 (20.0, 22.0)</w:t>
            </w:r>
          </w:p>
        </w:tc>
      </w:tr>
      <w:tr>
        <w:trPr>
          <w:trHeight w:val="293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Range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16.0, 40.0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16.0, 97.0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10.0, 56.0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16.0, 99.0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10.0, 99.0</w:t>
            </w:r>
          </w:p>
        </w:tc>
      </w:tr>
      <w:tr>
        <w:trPr>
          <w:trHeight w:val="299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(Missing)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</w:t>
            </w:r>
          </w:p>
        </w:tc>
      </w:tr>
      <w:tr>
        <w:trPr>
          <w:trHeight w:val="299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Systolic blood pressure, mm Hg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2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798.0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91.0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204.0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1,294.0</w:t>
            </w:r>
          </w:p>
        </w:tc>
      </w:tr>
      <w:tr>
        <w:trPr>
          <w:trHeight w:val="298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 (IQR)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112.0 (100.0, 124.0)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112.0 (103.0, 124.0)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120.0 (106.0, 130.3)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115.0 (102.0, 123.0)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114.0 (101.3, 126.0)</w:t>
            </w:r>
          </w:p>
        </w:tc>
      </w:tr>
      <w:tr>
        <w:trPr>
          <w:trHeight w:val="293" w:hRule="auto"/>
        </w:trPr>
        body40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Range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50.0, 190.0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82.0, 162.0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55.0, 206.0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66.0, 167.0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50.0, 206.0</w:t>
            </w:r>
          </w:p>
        </w:tc>
      </w:tr>
      <w:tr>
        <w:trPr>
          <w:trHeight w:val="299" w:hRule="auto"/>
        </w:trPr>
        body41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(Missing)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</w:tr>
      <w:tr>
        <w:trPr>
          <w:trHeight w:val="294" w:hRule="auto"/>
        </w:trPr>
        body42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Heart rate, beats/min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2" w:hRule="auto"/>
        </w:trPr>
        body43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798.0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94.0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210.0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1,303.0</w:t>
            </w:r>
          </w:p>
        </w:tc>
      </w:tr>
      <w:tr>
        <w:trPr>
          <w:trHeight w:val="298" w:hRule="auto"/>
        </w:trPr>
        body44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 (IQR)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90.0 (83.3, 100.0)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101.0 (90.0, 113.5)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99.0 (89.0, 116.0)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106.0 (94.0, 121.0)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96.0 (85.0, 108.0)</w:t>
            </w:r>
          </w:p>
        </w:tc>
      </w:tr>
      <w:tr>
        <w:trPr>
          <w:trHeight w:val="293" w:hRule="auto"/>
        </w:trPr>
        body45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Range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50.0, 156.0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62.0, 159.0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59.0, 185.0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58.0, 212.0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50.0, 212.0</w:t>
            </w:r>
          </w:p>
        </w:tc>
      </w:tr>
      <w:tr>
        <w:trPr>
          <w:trHeight w:val="299" w:hRule="auto"/>
        </w:trPr>
        body46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(Missing)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</w:tr>
      <w:tr>
        <w:trPr>
          <w:trHeight w:val="299" w:hRule="auto"/>
        </w:trPr>
        body47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Oxygen saturation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2" w:hRule="auto"/>
        </w:trPr>
        body48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798.0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89.0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203.0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200.0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1,290.0</w:t>
            </w:r>
          </w:p>
        </w:tc>
      </w:tr>
      <w:tr>
        <w:trPr>
          <w:trHeight w:val="298" w:hRule="auto"/>
        </w:trPr>
        body49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 (IQR)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96.0 (95.0, 98.0)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97.0 (96.0, 98.0)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98.0 (96.0, 99.0)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96.0 (94.0, 97.0)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96.0 (95.0, 98.0)</w:t>
            </w:r>
          </w:p>
        </w:tc>
      </w:tr>
      <w:tr>
        <w:trPr>
          <w:trHeight w:val="293" w:hRule="auto"/>
        </w:trPr>
        body50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Range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81.0, 100.0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73.0, 99.0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41.0, 100.0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80.0, 100.0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41.0, 100.0</w:t>
            </w:r>
          </w:p>
        </w:tc>
      </w:tr>
      <w:tr>
        <w:trPr>
          <w:trHeight w:val="299" w:hRule="auto"/>
        </w:trPr>
        body51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(Missing)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</w:t>
            </w:r>
          </w:p>
        </w:tc>
      </w:tr>
      <w:tr>
        <w:trPr>
          <w:trHeight w:val="236" w:hRule="auto"/>
        </w:trPr>
        body52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mews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2" w:hRule="auto"/>
        </w:trPr>
        body53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796.0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196.0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199.0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1,273.0</w:t>
            </w:r>
          </w:p>
        </w:tc>
      </w:tr>
      <w:tr>
        <w:trPr>
          <w:trHeight w:val="298" w:hRule="auto"/>
        </w:trPr>
        body54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 (IQR)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3.0 (2.0, 4.0)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4.0 (3.0, 5.0)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3.0 (1.0, 5.0)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3.0 (2.0, 5.0)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3.0 (2.0, 4.0)</w:t>
            </w:r>
          </w:p>
        </w:tc>
      </w:tr>
      <w:tr>
        <w:trPr>
          <w:trHeight w:val="293" w:hRule="auto"/>
        </w:trPr>
        body55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Range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1.0, 9.0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1.0, 8.0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1.0, 8.0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1.0, 8.0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1.0, 9.0</w:t>
            </w:r>
          </w:p>
        </w:tc>
      </w:tr>
      <w:tr>
        <w:trPr>
          <w:trHeight w:val="299" w:hRule="auto"/>
        </w:trPr>
        body56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(Missing)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</w:t>
            </w:r>
          </w:p>
        </w:tc>
      </w:tr>
      <w:tr>
        <w:trPr>
          <w:trHeight w:val="298" w:hRule="auto"/>
        </w:trPr>
        body57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CRB-65, n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body58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477 (60%)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 (56%)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 (61%)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108 (54%)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762 (59%)</w:t>
            </w:r>
          </w:p>
        </w:tc>
      </w:tr>
      <w:tr>
        <w:trPr>
          <w:trHeight w:val="298" w:hRule="auto"/>
        </w:trPr>
        body59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252 (32%)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 (31%)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 (27%)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 (41%)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418 (32%)</w:t>
            </w:r>
          </w:p>
        </w:tc>
      </w:tr>
      <w:tr>
        <w:trPr>
          <w:trHeight w:val="298" w:hRule="auto"/>
        </w:trPr>
        body60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57 (7.1%)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 (11%)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 (11%)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 (4.0%)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98 (7.6%)</w:t>
            </w:r>
          </w:p>
        </w:tc>
      </w:tr>
      <w:tr>
        <w:trPr>
          <w:trHeight w:val="298" w:hRule="auto"/>
        </w:trPr>
        body61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 (1.1%)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(2.2%)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 (1.4%)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(0.5%)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 (1.2%)</w:t>
            </w:r>
          </w:p>
        </w:tc>
      </w:tr>
      <w:tr>
        <w:trPr>
          <w:trHeight w:val="298" w:hRule="auto"/>
        </w:trPr>
        body62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 (0.4%)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 (0.2%)</w:t>
            </w:r>
          </w:p>
        </w:tc>
      </w:tr>
      <w:tr>
        <w:trPr>
          <w:trHeight w:val="299" w:hRule="auto"/>
        </w:trPr>
        body63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(Missing)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</w:t>
            </w:r>
          </w:p>
        </w:tc>
      </w:tr>
      <w:tr>
        <w:trPr>
          <w:trHeight w:val="269" w:hRule="auto"/>
        </w:trPr>
        body64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Modified GCS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2" w:hRule="auto"/>
        </w:trPr>
        body65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799.0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93.0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205.0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1,298.0</w:t>
            </w:r>
          </w:p>
        </w:tc>
      </w:tr>
      <w:tr>
        <w:trPr>
          <w:trHeight w:val="298" w:hRule="auto"/>
        </w:trPr>
        body66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 (IQR)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15.0 (15.0, 15.0)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15.0 (15.0, 15.0)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15.0 (15.0, 15.0)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15.0 (15.0, 15.0)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15.0 (15.0, 15.0)</w:t>
            </w:r>
          </w:p>
        </w:tc>
      </w:tr>
      <w:tr>
        <w:trPr>
          <w:trHeight w:val="293" w:hRule="auto"/>
        </w:trPr>
        body67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Range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3.0, 15.0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5.0, 15.0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3.0, 15.0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3.0, 15.0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3.0, 15.0</w:t>
            </w:r>
          </w:p>
        </w:tc>
      </w:tr>
      <w:tr>
        <w:trPr>
          <w:trHeight w:val="299" w:hRule="auto"/>
        </w:trPr>
        body68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(Missing)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</w:t>
            </w:r>
          </w:p>
        </w:tc>
      </w:tr>
      <w:tr>
        <w:trPr>
          <w:trHeight w:val="299" w:hRule="auto"/>
        </w:trPr>
        body69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qsofa, n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body70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255 (32%)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 (36%)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128 (63%)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132 (66%)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547 (43%)</w:t>
            </w:r>
          </w:p>
        </w:tc>
      </w:tr>
      <w:tr>
        <w:trPr>
          <w:trHeight w:val="298" w:hRule="auto"/>
        </w:trPr>
        body71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408 (51%)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 (45%)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 (29%)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53 (27%)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559 (43%)</w:t>
            </w:r>
          </w:p>
        </w:tc>
      </w:tr>
      <w:tr>
        <w:trPr>
          <w:trHeight w:val="298" w:hRule="auto"/>
        </w:trPr>
        body72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123 (15%)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 (18%)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 (8.4%)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 (7.0%)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170 (13%)</w:t>
            </w:r>
          </w:p>
        </w:tc>
      </w:tr>
      <w:tr>
        <w:trPr>
          <w:trHeight w:val="298" w:hRule="auto"/>
        </w:trPr>
        body73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 (1.3%)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 (0.8%)</w:t>
            </w:r>
          </w:p>
        </w:tc>
      </w:tr>
      <w:tr>
        <w:trPr>
          <w:trHeight w:val="299" w:hRule="auto"/>
        </w:trPr>
        body74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(Missing)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</w:t>
            </w:r>
          </w:p>
        </w:tc>
      </w:tr>
      <w:tr>
        <w:trPr>
          <w:trHeight w:val="236" w:hRule="auto"/>
        </w:trPr>
        body75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uva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65" w:hRule="auto"/>
        </w:trPr>
        body76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73.0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176.0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173.0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451.0</w:t>
            </w:r>
          </w:p>
        </w:tc>
      </w:tr>
      <w:tr>
        <w:trPr>
          <w:trHeight w:val="298" w:hRule="auto"/>
        </w:trPr>
        body77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 (IQR)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 (0.0, 0.0)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 (0.0, 2.0)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 (0.0, 2.0)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 (0.0, 2.0)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 (0.0, 2.0)</w:t>
            </w:r>
          </w:p>
        </w:tc>
      </w:tr>
      <w:tr>
        <w:trPr>
          <w:trHeight w:val="293" w:hRule="auto"/>
        </w:trPr>
        body78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Range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0.0, 0.0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0.0, 9.0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0.0, 7.0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0.0, 6.0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0.0, 9.0</w:t>
            </w:r>
          </w:p>
        </w:tc>
      </w:tr>
      <w:tr>
        <w:trPr>
          <w:trHeight w:val="299" w:hRule="auto"/>
        </w:trPr>
        body79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(Missing)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854</w:t>
            </w:r>
          </w:p>
        </w:tc>
      </w:tr>
      <w:tr>
        <w:trPr>
          <w:trHeight w:val="423" w:hRule="auto"/>
        </w:trPr>
        body80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Altered mental status 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(Glasgow Coma Scale &lt;15), n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body81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 (3.0%)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 (7.5%)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 (4.4%)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(0.5%)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 (3.2%)</w:t>
            </w:r>
          </w:p>
        </w:tc>
      </w:tr>
      <w:tr>
        <w:trPr>
          <w:trHeight w:val="298" w:hRule="auto"/>
        </w:trPr>
        body82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775 (97%)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86 (92%)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196 (96%)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200 (100%)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1,257 (97%)</w:t>
            </w:r>
          </w:p>
        </w:tc>
      </w:tr>
      <w:tr>
        <w:trPr>
          <w:trHeight w:val="299" w:hRule="auto"/>
        </w:trPr>
        body83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(Missing)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</w:t>
            </w:r>
          </w:p>
        </w:tc>
      </w:tr>
      <w:tr>
        <w:trPr>
          <w:trHeight w:val="298" w:hRule="auto"/>
        </w:trPr>
        body84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In-hospital outcomes, n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body85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Died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 (1.0%)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 (3.5%)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(1.0%)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(0.5%)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 (1.1%)</w:t>
            </w:r>
          </w:p>
        </w:tc>
      </w:tr>
      <w:tr>
        <w:trPr>
          <w:trHeight w:val="299" w:hRule="auto"/>
        </w:trPr>
        body86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Discharge home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702 (88%)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80 (93%)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168 (85%)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190 (99%)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1,140 (90%)</w:t>
            </w:r>
          </w:p>
        </w:tc>
      </w:tr>
      <w:tr>
        <w:trPr>
          <w:trHeight w:val="299" w:hRule="auto"/>
        </w:trPr>
        body87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Discharged to palliative care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 (4.8%)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(1.2%)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(0.5%)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 (3.1%)</w:t>
            </w:r>
          </w:p>
        </w:tc>
      </w:tr>
      <w:tr>
        <w:trPr>
          <w:trHeight w:val="298" w:hRule="auto"/>
        </w:trPr>
        body88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Other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 (0.6%)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(2.3%)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 (3.6%)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 (1.1%)</w:t>
            </w:r>
          </w:p>
        </w:tc>
      </w:tr>
      <w:tr>
        <w:trPr>
          <w:trHeight w:val="298" w:hRule="auto"/>
        </w:trPr>
        body89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Referred other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45 (5.6%)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 (9.6%)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(0.5%)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65 (5.1%)</w:t>
            </w:r>
          </w:p>
        </w:tc>
      </w:tr>
      <w:tr>
        <w:trPr>
          <w:trHeight w:val="299" w:hRule="auto"/>
        </w:trPr>
        body90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(Missing)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</w:t>
            </w:r>
          </w:p>
        </w:tc>
      </w:tr>
      <w:tr>
        <w:trPr>
          <w:trHeight w:val="298" w:hRule="auto"/>
        </w:trPr>
        body91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Day 28 outcome, n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body92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Alive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672 (84%)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 (18%)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 (12%)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 (11%)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738 (57%)</w:t>
            </w:r>
          </w:p>
        </w:tc>
      </w:tr>
      <w:tr>
        <w:trPr>
          <w:trHeight w:val="298" w:hRule="auto"/>
        </w:trPr>
        body93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Dead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53 (6.6%)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(2.1%)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 (2.9%)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(0.5%)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 (4.8%)</w:t>
            </w:r>
          </w:p>
        </w:tc>
      </w:tr>
      <w:tr>
        <w:trPr>
          <w:trHeight w:val="299" w:hRule="auto"/>
        </w:trPr>
        body94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lost to fup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75 (9.4%)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75 (80%)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178 (85%)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177 (88%)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505 (39%)</w:t>
            </w:r>
          </w:p>
        </w:tc>
      </w:tr>
      <w:tr>
        <w:trPr>
          <w:trHeight w:val="360" w:hRule="auto"/>
        </w:trPr>
        footer 1
        <w:tc>
          <w:tcPr>
            <w:gridSpan w:val="6"/>
            <w:tcBorders>
              <w:bottom w:val="none" w:sz="0" w:space="0" w:color="FFFFFF"/>
              <w:top w:val="single" w:sz="8" w:space="0" w:color="000000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1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IQR=interquartile range, bpm=beats per minute, brpm=breaths per minute, MEWS=modified early warning score, GCS=Glasgow coma scale score, qSOFA=quick sequential organ failure assessment, UVA=universal vital assessment score *Length of stay reported for inpatients only.</w:t>
            </w:r>
          </w:p>
        </w:tc>
      </w:tr>
      <w:tr>
        <w:trPr>
          <w:trHeight w:val="360" w:hRule="auto"/>
        </w:trPr>
        footer 2
        <w:tc>
          <w:tcPr>
            <w:gridSpan w:val="6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2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 (%)</w:t>
            </w:r>
          </w:p>
        </w:tc>
      </w:tr>
    </w:tbl>
    <w:p>
      <w:r>
        <w:br w:type="page"/>
      </w:r>
    </w:p>
    <w:bookmarkEnd w:id="23"/>
    <w:bookmarkEnd w:id="24"/>
    <w:bookmarkStart w:id="43" w:name="day-28-by-outcome-by-site"/>
    <w:p>
      <w:pPr>
        <w:pStyle w:val="Heading2"/>
      </w:pPr>
      <w:r>
        <w:t xml:space="preserve">Day 28 by outcome by site</w:t>
      </w:r>
    </w:p>
    <w:bookmarkStart w:id="25" w:name="table-s2"/>
    <w:p>
      <w:pPr>
        <w:pStyle w:val="Heading3"/>
      </w:pPr>
      <w:r>
        <w:t xml:space="preserve">Table S2</w:t>
      </w:r>
    </w:p>
    <w:p xmlns:w14="http://schemas.microsoft.com/office/word/2010/wordml">
      <w:pPr>
        <w:pStyle w:val=""/>
        <w:jc w:val="center"/>
        <w:keepNext/>
      </w:pPr>
      <w:r>
        <w:t xml:space="preserve">Demographic characteristics of febrile participants (aged ≥15 years) enrolled between 2018 and 2021 across four sites (Lao PDR, Malawi, Mozambique, and Zimbabwe), stratified by outcome by site and time of follow-up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799"/>
        <w:gridCol w:w="1221"/>
        <w:gridCol w:w="1153"/>
        <w:gridCol w:w="1400"/>
        <w:gridCol w:w="1221"/>
        <w:gridCol w:w="1153"/>
        <w:gridCol w:w="1400"/>
        <w:gridCol w:w="1221"/>
        <w:gridCol w:w="1153"/>
        <w:gridCol w:w="1400"/>
        <w:gridCol w:w="1221"/>
        <w:gridCol w:w="1153"/>
        <w:gridCol w:w="1400"/>
      </w:tblGrid>
      <w:tr>
        <w:trPr>
          <w:trHeight w:val="404" w:hRule="auto"/>
          <w:tblHeader/>
        </w:trPr>
        header 1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gridSpan w:val="3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Laos</w:t>
            </w:r>
          </w:p>
        </w:tc>
        <w:tc>
          <w:tcPr>
            <w:gridSpan w:val="3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Malawi</w:t>
            </w:r>
          </w:p>
        </w:tc>
        <w:tc>
          <w:tcPr>
            <w:gridSpan w:val="3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Mozambique</w:t>
            </w:r>
          </w:p>
        </w:tc>
        <w:tc>
          <w:tcPr>
            <w:gridSpan w:val="3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Zimbabwe</w:t>
            </w:r>
          </w:p>
        </w:tc>
      </w:tr>
      <w:tr>
        <w:trPr>
          <w:trHeight w:val="399" w:hRule="auto"/>
          <w:tblHeader/>
        </w:trPr>
        header 2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Variable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Alive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, N = 389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Dead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, N = 23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Overall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, N = 412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Alive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, N = 711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Dead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, N = 16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Overall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, N = 727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Alive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, N = 716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Dead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, N = 95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Overall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, N = 811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Alive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, N = 796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Dead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, N = 51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Overall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, N = 847</w:t>
            </w:r>
          </w:p>
        </w:tc>
      </w:tr>
      <w:tr>
        <w:trPr>
          <w:trHeight w:val="299" w:hRule="auto"/>
        </w:trPr>
        body 1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Age group, n (%)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15 - &lt;25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91 (99%)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(1.1%)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253 (100%)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(0.4%)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179 (96%)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 (3.8%)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246 (98%)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 (2.4%)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252</w:t>
            </w:r>
          </w:p>
        </w:tc>
      </w:tr>
      <w:tr>
        <w:trPr>
          <w:trHeight w:val="298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25 - &lt;35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99 (99%)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(1.0%)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211 (98%)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 (1.9%)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199 (90%)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 (10.0%)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231 (94%)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 (6.1%)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246</w:t>
            </w:r>
          </w:p>
        </w:tc>
      </w:tr>
      <w:tr>
        <w:trPr>
          <w:trHeight w:val="298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35 - &lt;40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 (97%)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(3.1%)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147 (97%)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 (3.3%)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163 (85%)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 (15%)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173 (95%)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 (4.9%)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182</w:t>
            </w:r>
          </w:p>
        </w:tc>
      </w:tr>
      <w:tr>
        <w:trPr>
          <w:trHeight w:val="298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45 - &lt;55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51 (91%)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 (8.9%)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 (95%)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 (5.1%)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81 (89%)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 (11%)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81 (85%)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 (15%)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95</w:t>
            </w:r>
          </w:p>
        </w:tc>
      </w:tr>
      <w:tr>
        <w:trPr>
          <w:trHeight w:val="298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55 - &lt;65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43 (88%)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 (12%)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 (97%)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(3.3%)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 (76%)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 (24%)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 (93%)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 (7.1%)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42</w:t>
            </w:r>
          </w:p>
        </w:tc>
      </w:tr>
      <w:tr>
        <w:trPr>
          <w:trHeight w:val="298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65+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43 (84%)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 (16%)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 (88%)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(12%)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 (80%)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 (20%)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 (87%)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 (13%)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</w:t>
            </w:r>
          </w:p>
        </w:tc>
      </w:tr>
      <w:tr>
        <w:trPr>
          <w:trHeight w:val="298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Gender, n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Female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 (95%)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 (4.7%)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454 (99%)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 (1.1%)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486 (91%)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 (8.6%)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437 (95%)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 (4.8%)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459</w:t>
            </w:r>
          </w:p>
        </w:tc>
      </w:tr>
      <w:tr>
        <w:trPr>
          <w:trHeight w:val="298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166 (93%)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 (6.7%)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257 (96%)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 (4.1%)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230 (82%)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49 (18%)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359 (93%)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 (7.5%)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388</w:t>
            </w:r>
          </w:p>
        </w:tc>
      </w:tr>
      <w:tr>
        <w:trPr>
          <w:trHeight w:val="299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Patient group, n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Inpatient - adult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159 (89%)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 (11%)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 (91%)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 (9.5%)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276 (76%)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88 (24%)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312 (87%)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 (13%)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359</w:t>
            </w:r>
          </w:p>
        </w:tc>
      </w:tr>
      <w:tr>
        <w:trPr>
          <w:trHeight w:val="298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Outpatient - adult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230 (98%)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 (1.7%)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558 (100%)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440 (98%)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 (1.6%)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484 (99%)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 (0.8%)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488</w:t>
            </w:r>
          </w:p>
        </w:tc>
      </w:tr>
      <w:tr>
        <w:trPr>
          <w:trHeight w:val="298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HIV status, n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Positive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(100%)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94 (92%)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 (7.8%)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349 (85%)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 (15%)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129 (76%)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 (24%)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169</w:t>
            </w:r>
          </w:p>
        </w:tc>
      </w:tr>
      <w:tr>
        <w:trPr>
          <w:trHeight w:val="298" w:hRule="auto"/>
        </w:trPr>
        body16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Negative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388 (94%)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 (5.6%)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411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617 (99%)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 (1.3%)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625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367 (92%)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 (7.8%)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398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667 (98%)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 (1.6%)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678</w:t>
            </w:r>
          </w:p>
        </w:tc>
      </w:tr>
    </w:tbl>
    <w:p>
      <w:r>
        <w:br w:type="page"/>
      </w:r>
    </w:p>
    <w:bookmarkEnd w:id="25"/>
    <w:bookmarkStart w:id="26" w:name="table-s3"/>
    <w:p>
      <w:pPr>
        <w:pStyle w:val="Heading3"/>
      </w:pPr>
      <w:r>
        <w:t xml:space="preserve">Table S3</w:t>
      </w:r>
    </w:p>
    <w:p xmlns:w14="http://schemas.microsoft.com/office/word/2010/wordml">
      <w:pPr>
        <w:pStyle w:val=""/>
        <w:jc w:val="center"/>
        <w:keepNext/>
      </w:pPr>
      <w:r>
        <w:t xml:space="preserve">Time to death (days) by time to follow-up by patient group among febrile participants (aged ≥15 years) enrolled between 2018 and 2021 across four sites (Lao PDR, Malawi, Mozambique, and Zimbabwe). IQR=interquartile range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628"/>
        <w:gridCol w:w="2915"/>
        <w:gridCol w:w="2949"/>
        <w:gridCol w:w="1871"/>
        <w:gridCol w:w="974"/>
      </w:tblGrid>
      <w:tr>
        <w:trPr>
          <w:trHeight w:val="404" w:hRule="auto"/>
          <w:tblHeader/>
        </w:trPr>
        header1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Variable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Inpatient - adult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, N = 170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Outpatient - adult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, N = 15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Overall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, N = 185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p-value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2</w:t>
            </w:r>
          </w:p>
        </w:tc>
      </w:tr>
      <w:tr>
        <w:trPr>
          <w:trHeight w:val="298" w:hRule="auto"/>
        </w:trPr>
        body1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Time to death (days)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0.069</w:t>
            </w:r>
          </w:p>
        </w:tc>
      </w:tr>
      <w:tr>
        <w:trPr>
          <w:trHeight w:val="29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 (IQR)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10.0 (3.0, 22.0)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 (1.0, 20.0)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10.0 (3.0, 21.3)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3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Range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0.0, 82.0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0.0, 51.0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0.0, 82.0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9" w:hRule="auto"/>
        </w:trPr>
        body4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(Missing)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footer1
        <w:tc>
          <w:tcPr>
            <w:gridSpan w:val="5"/>
            <w:tcBorders>
              <w:bottom w:val="none" w:sz="0" w:space="0" w:color="FFFFFF"/>
              <w:top w:val="single" w:sz="8" w:space="0" w:color="000000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1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IQR=interquartile range, 1 = Mann-Whitney U test</w:t>
            </w:r>
          </w:p>
        </w:tc>
      </w:tr>
      <w:tr>
        <w:trPr>
          <w:trHeight w:val="360" w:hRule="auto"/>
        </w:trPr>
        footer2
        <w:tc>
          <w:tcPr>
            <w:gridSpan w:val="5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2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Wilcoxon rank sum test</w:t>
            </w:r>
          </w:p>
        </w:tc>
      </w:tr>
    </w:tbl>
    <w:p>
      <w:r>
        <w:br w:type="page"/>
      </w:r>
    </w:p>
    <w:bookmarkEnd w:id="26"/>
    <w:bookmarkStart w:id="27" w:name="table-s4"/>
    <w:p>
      <w:pPr>
        <w:pStyle w:val="Heading3"/>
      </w:pPr>
      <w:r>
        <w:t xml:space="preserve">Table S4</w:t>
      </w:r>
    </w:p>
    <w:p xmlns:w14="http://schemas.microsoft.com/office/word/2010/wordml">
      <w:pPr>
        <w:pStyle w:val=""/>
        <w:jc w:val="center"/>
        <w:keepNext/>
      </w:pPr>
      <w:r>
        <w:t xml:space="preserve">Distribution of each severity score by each country (Lao PDR, Malawi, Mozambique, and Zimbabwe) among febrile participants (aged ≥15 years) enrolled between 2018 and 2021 with complete data by time of follow-up.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503"/>
        <w:gridCol w:w="1625"/>
        <w:gridCol w:w="1531"/>
        <w:gridCol w:w="1871"/>
        <w:gridCol w:w="1625"/>
        <w:gridCol w:w="1531"/>
        <w:gridCol w:w="1871"/>
        <w:gridCol w:w="1625"/>
        <w:gridCol w:w="1531"/>
        <w:gridCol w:w="1871"/>
        <w:gridCol w:w="1625"/>
        <w:gridCol w:w="1531"/>
        <w:gridCol w:w="1871"/>
      </w:tblGrid>
      <w:tr>
        <w:trPr>
          <w:trHeight w:val="404" w:hRule="auto"/>
          <w:tblHeader/>
        </w:trPr>
        header 1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gridSpan w:val="3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Laos</w:t>
            </w:r>
          </w:p>
        </w:tc>
        <w:tc>
          <w:tcPr>
            <w:gridSpan w:val="3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Malawi</w:t>
            </w:r>
          </w:p>
        </w:tc>
        <w:tc>
          <w:tcPr>
            <w:gridSpan w:val="3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Mozambique</w:t>
            </w:r>
          </w:p>
        </w:tc>
        <w:tc>
          <w:tcPr>
            <w:gridSpan w:val="3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Zimbabwe</w:t>
            </w:r>
          </w:p>
        </w:tc>
      </w:tr>
      <w:tr>
        <w:trPr>
          <w:trHeight w:val="401" w:hRule="auto"/>
          <w:tblHeader/>
        </w:trPr>
        header 2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Severity score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Alive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, N = 389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Dead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, N = 23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Overall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, N = 412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Alive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, N = 711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Dead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, N = 16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Overall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, N = 727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Alive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, N = 716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Dead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, N = 95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Overall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, N = 811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Alive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, N = 796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Dead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, N = 51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Overall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, N = 847</w:t>
            </w:r>
          </w:p>
        </w:tc>
      </w:tr>
      <w:tr>
        <w:trPr>
          <w:trHeight w:val="298" w:hRule="auto"/>
        </w:trPr>
        body 1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MEWS, n (%)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 (100%)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139 (100%)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215 (96%)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 (4.0%)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171 (96%)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 (3.9%)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178</w:t>
            </w:r>
          </w:p>
        </w:tc>
      </w:tr>
      <w:tr>
        <w:trPr>
          <w:trHeight w:val="298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129 (97%)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 (3.0%)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171 (98%)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 (2.3%)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115 (90%)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 (10%)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121 (96%)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 (4.0%)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</w:t>
            </w:r>
          </w:p>
        </w:tc>
      </w:tr>
      <w:tr>
        <w:trPr>
          <w:trHeight w:val="298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53 (91%)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 (8.6%)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151 (99%)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(1.3%)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151 (94%)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 (5.6%)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174 (95%)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 (5.4%)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184</w:t>
            </w:r>
          </w:p>
        </w:tc>
      </w:tr>
      <w:tr>
        <w:trPr>
          <w:trHeight w:val="298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99 (96%)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 (3.9%)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81 (99%)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(1.2%)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 (85%)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 (15%)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110 (89%)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 (11%)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123</w:t>
            </w:r>
          </w:p>
        </w:tc>
      </w:tr>
      <w:tr>
        <w:trPr>
          <w:trHeight w:val="298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 (87%)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 (13%)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 (100%)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55 (75%)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 (25%)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104 (93%)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 (7.1%)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112</w:t>
            </w:r>
          </w:p>
        </w:tc>
      </w:tr>
      <w:tr>
        <w:trPr>
          <w:trHeight w:val="298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 (89%)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(11%)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57 (98%)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(1.7%)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55 (83%)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 (17%)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73 (96%)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 (3.9%)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</w:t>
            </w:r>
          </w:p>
        </w:tc>
      </w:tr>
      <w:tr>
        <w:trPr>
          <w:trHeight w:val="298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 (83%)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(17%)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 (90%)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 (9.7%)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 (68%)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 (33%)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 (87%)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 (13%)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</w:t>
            </w:r>
          </w:p>
        </w:tc>
      </w:tr>
      <w:tr>
        <w:trPr>
          <w:trHeight w:val="298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(100%)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 (92%)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(8.3%)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 (71%)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 (29%)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 (100%)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</w:t>
            </w:r>
          </w:p>
        </w:tc>
      </w:tr>
      <w:tr>
        <w:trPr>
          <w:trHeight w:val="298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 (100%)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(33%)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(67%)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 (80%)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(20%)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(100%)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</w:tr>
      <w:tr>
        <w:trPr>
          <w:trHeight w:val="298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(NA%)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(NA%)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(100%)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(100%)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(NA%)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(NA%)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298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(NA%)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(NA%)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(100%)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(NA%)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(NA%)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(NA%)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(NA%)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298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UVA, n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355 (98%)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 (1.7%)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406 (100%)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(0.5%)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282 (96%)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 (3.8%)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445 (99%)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 (0.9%)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449</w:t>
            </w:r>
          </w:p>
        </w:tc>
      </w:tr>
      <w:tr>
        <w:trPr>
          <w:trHeight w:val="298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 (89%)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 (11%)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176 (99%)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(0.6%)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 (92%)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 (7.7%)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144 (99%)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(1.4%)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146</w:t>
            </w:r>
          </w:p>
        </w:tc>
      </w:tr>
      <w:tr>
        <w:trPr>
          <w:trHeight w:val="298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 (57%)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 (43%)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81 (94%)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 (5.8%)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244 (93%)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 (7.2%)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123 (85%)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 (15%)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145</w:t>
            </w:r>
          </w:p>
        </w:tc>
      </w:tr>
      <w:tr>
        <w:trPr>
          <w:trHeight w:val="298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(NA%)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(NA%)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 (100%)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69 (78%)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 (22%)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45 (74%)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 (26%)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</w:t>
            </w:r>
          </w:p>
        </w:tc>
      </w:tr>
      <w:tr>
        <w:trPr>
          <w:trHeight w:val="298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 (44%)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 (56%)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 (86%)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(14%)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 (66%)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 (34%)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 (86%)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 (14%)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</w:t>
            </w:r>
          </w:p>
        </w:tc>
      </w:tr>
      <w:tr>
        <w:trPr>
          <w:trHeight w:val="298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(17%)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 (83%)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 (83%)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(17%)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 (53%)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 (47%)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 (86%)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(14%)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</w:t>
            </w:r>
          </w:p>
        </w:tc>
      </w:tr>
      <w:tr>
        <w:trPr>
          <w:trHeight w:val="298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(NA%)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(NA%)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(40%)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 (60%)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 (56%)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 (44%)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(67%)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(33%)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</w:tr>
      <w:tr>
        <w:trPr>
          <w:trHeight w:val="298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(100%)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(50%)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(50%)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 (63%)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 (38%)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(100%)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</w:tr>
      <w:tr>
        <w:trPr>
          <w:trHeight w:val="298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(NA%)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(NA%)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(NA%)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(NA%)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(50%)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(50%)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(NA%)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(NA%)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298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(NA%)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(NA%)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(NA%)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(NA%)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(67%)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(33%)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(NA%)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(NA%)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298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(NA%)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(NA%)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(100%)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(NA%)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(NA%)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(NA%)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(NA%)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298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qSOFA, n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87 (100%)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274 (100%)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(0.4%)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479 (95%)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 (4.6%)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547 (96%)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 (4.4%)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572</w:t>
            </w:r>
          </w:p>
        </w:tc>
      </w:tr>
      <w:tr>
        <w:trPr>
          <w:trHeight w:val="298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261 (97%)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 (3.0%)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366 (98%)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 (1.6%)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 (82%)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44 (18%)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218 (91%)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 (8.8%)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239</w:t>
            </w:r>
          </w:p>
        </w:tc>
      </w:tr>
      <w:tr>
        <w:trPr>
          <w:trHeight w:val="298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 (80%)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 (20%)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 (89%)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 (11%)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 (57%)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 (43%)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 (86%)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 (14%)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</w:t>
            </w:r>
          </w:p>
        </w:tc>
      </w:tr>
      <w:tr>
        <w:trPr>
          <w:trHeight w:val="298" w:hRule="auto"/>
        </w:trPr>
        body29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(29%)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 (71%)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(NA%)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(NA%)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(0%)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(100%)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(NA%)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(NA%)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footer 1
        <w:tc>
          <w:tcPr>
            <w:gridSpan w:val="13"/>
            <w:tcBorders>
              <w:bottom w:val="none" w:sz="0" w:space="0" w:color="FFFFFF"/>
              <w:top w:val="single" w:sz="8" w:space="0" w:color="000000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1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modified early warning score (MEWS), quick Sequential (Sepsis-Related) Organ Failure Assessment (qSOFA) score and Universal Vital Assessment (UVA)</w:t>
            </w:r>
          </w:p>
        </w:tc>
      </w:tr>
    </w:tbl>
    <w:bookmarkEnd w:id="27"/>
    <w:bookmarkStart w:id="28" w:name="table-s5"/>
    <w:p>
      <w:pPr>
        <w:pStyle w:val="Heading3"/>
      </w:pPr>
      <w:r>
        <w:t xml:space="preserve">Table S5</w:t>
      </w:r>
    </w:p>
    <w:p>
      <w:r>
        <w:br w:type="page"/>
      </w:r>
    </w:p>
    <w:p xmlns:w14="http://schemas.microsoft.com/office/word/2010/wordml">
      <w:pPr>
        <w:pStyle w:val=""/>
        <w:jc w:val="center"/>
        <w:keepNext/>
      </w:pPr>
      <w:r>
        <w:t xml:space="preserve">Unadjusted and adjusted logistic regression results for modified early warning score (MEWS) among febrile participants (aged ≥15 years) enrolled between 2018 and 2021 with complete data by time of follow-up across four sites (Lao PDR, Malawi, Mozambique, and Zimbabwe).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168"/>
        <w:gridCol w:w="2058"/>
        <w:gridCol w:w="1812"/>
        <w:gridCol w:w="1651"/>
        <w:gridCol w:w="2578"/>
        <w:gridCol w:w="859"/>
        <w:gridCol w:w="2396"/>
        <w:gridCol w:w="859"/>
      </w:tblGrid>
      <w:tr>
        <w:trPr>
          <w:trHeight w:val="357" w:hRule="auto"/>
          <w:tblHeader/>
        </w:trPr>
        header 1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Variable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Overall</w:t>
            </w: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, N = 2,797</w:t>
            </w:r>
            <w:r>
              <w:rPr>
                <w:rFonts w:ascii="Tahoma" w:hAnsi="Helvetica" w:eastAsia="Helvetica" w:cs="Helvetica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Alive</w:t>
            </w: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, N = 2,612</w:t>
            </w:r>
            <w:r>
              <w:rPr>
                <w:rFonts w:ascii="Tahoma" w:hAnsi="Helvetica" w:eastAsia="Helvetica" w:cs="Helvetica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Dead</w:t>
            </w: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, N = 185</w:t>
            </w:r>
            <w:r>
              <w:rPr>
                <w:rFonts w:ascii="Tahoma" w:hAnsi="Helvetica" w:eastAsia="Helvetica" w:cs="Helvetica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Unadjusted OR (95% CI)</w:t>
            </w:r>
            <w:r>
              <w:rPr>
                <w:rFonts w:ascii="Tahoma" w:hAnsi="Helvetica" w:eastAsia="Helvetica" w:cs="Helvetica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p-value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Adjusted OR  (95% CI)</w:t>
            </w:r>
            <w:r>
              <w:rPr>
                <w:rFonts w:ascii="Tahoma" w:hAnsi="Helvetica" w:eastAsia="Helvetica" w:cs="Helvetica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p-value</w:t>
            </w:r>
          </w:p>
        </w:tc>
      </w:tr>
      <w:tr>
        <w:trPr>
          <w:trHeight w:val="265" w:hRule="auto"/>
        </w:trPr>
        body 1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MEWS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&lt;0.001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&lt;0.001</w:t>
            </w:r>
          </w:p>
        </w:tc>
      </w:tr>
      <w:tr>
        <w:trPr>
          <w:trHeight w:val="298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583 (97%)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 (2.7%)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—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—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536 (95%)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 (4.6%)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1.77 (0.95 - 3.40)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1.91 (1.00 - 3.75)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529 (95%)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 (4.7%)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1.79 (0.96 - 3.44)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2.06 (1.08 - 4.03)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372 (92%)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 (8.1%)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3.23 (1.78 - 6.10)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3.52 (1.90 - 6.79)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257 (90%)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 (10%)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4.25 (2.31 - 8.12)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4.26 (2.25 - 8.34)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 (92%)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 (7.8%)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3.08 (1.52 - 6.27)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3.37 (1.62 - 7.06)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94 (81%)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 (19%)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8.53 (4.35 - 17.1)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9.84 (4.78 - 20.7)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 (85%)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 (15%)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6.62 (2.26 - 17.3)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4.99 (1.64 - 13.7)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 (44%)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 (56%)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46.8 (15.6 - 147)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47.2 (13.8 - 169)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Age group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&lt;0.001</w:t>
            </w:r>
          </w:p>
        </w:tc>
      </w:tr>
      <w:tr>
        <w:trPr>
          <w:trHeight w:val="298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15 - &lt;25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769 (98%)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 (1.9%)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—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—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25 - &lt;35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740 (95%)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42 (5.4%)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2.91 (1.64 - 5.46)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2.10 (1.14 - 4.05)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35 - &lt;40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545 (92%)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45 (7.6%)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4.23 (2.39 - 7.92)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2.32 (1.25 - 4.50)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45 - &lt;55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269 (89%)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 (11%)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6.10 (3.31 - 11.7)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4.27 (2.22 - 8.53)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55 - &lt;65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169 (86%)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 (14%)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8.49 (4.50 - 16.6)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7.51 (3.79 - 15.4)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65+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120 (84%)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 (16%)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9.83 (5.03 - 19.7)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10.9 (5.38 - 22.7)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68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Gender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&lt;0.001</w:t>
            </w:r>
          </w:p>
        </w:tc>
      </w:tr>
      <w:tr>
        <w:trPr>
          <w:trHeight w:val="298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Female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1,684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1,600 (95%)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84 (5.0%)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—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—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1,113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1,012 (91%)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101 (9.1%)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1.90 (1.41 - 2.57)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1.93 (1.40 - 2.68)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65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HIV status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&lt;0.001</w:t>
            </w:r>
          </w:p>
        </w:tc>
      </w:tr>
      <w:tr>
        <w:trPr>
          <w:trHeight w:val="298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Negative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2,112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2,039 (97%)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73 (3.5%)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—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—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body23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Positive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685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573 (84%)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112 (16%)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5.46 (4.02 - 7.46)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4.92 (3.49 - 6.98)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footer 1
        <w:tc>
          <w:tcPr>
            <w:gridSpan w:val="8"/>
            <w:tcBorders>
              <w:bottom w:val="none" w:sz="0" w:space="0" w:color="FFFFFF"/>
              <w:top w:val="single" w:sz="8" w:space="0" w:color="000000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1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</w:t>
            </w:r>
          </w:p>
        </w:tc>
      </w:tr>
      <w:tr>
        <w:trPr>
          <w:trHeight w:val="360" w:hRule="auto"/>
        </w:trPr>
        footer 2
        <w:tc>
          <w:tcPr>
            <w:gridSpan w:val="8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2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 (%)</w:t>
            </w:r>
          </w:p>
        </w:tc>
      </w:tr>
      <w:tr>
        <w:trPr>
          <w:trHeight w:val="360" w:hRule="auto"/>
        </w:trPr>
        footer 3
        <w:tc>
          <w:tcPr>
            <w:gridSpan w:val="8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3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OR = Odds Ratio</w:t>
            </w:r>
          </w:p>
        </w:tc>
      </w:tr>
      <w:tr>
        <w:trPr>
          <w:trHeight w:val="360" w:hRule="auto"/>
        </w:trPr>
        footer 4
        <w:tc>
          <w:tcPr>
            <w:gridSpan w:val="8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OR = Odds ratio, CI = Confidence intervals, Adjusted for age and gender, MEWS scores 10 and 11 are grouped into a MEWS score of 9, reference group is a MEWS score of 1, rather than 0.</w:t>
            </w:r>
          </w:p>
        </w:tc>
      </w:tr>
    </w:tbl>
    <w:p>
      <w:r>
        <w:br w:type="page"/>
      </w:r>
    </w:p>
    <w:bookmarkEnd w:id="28"/>
    <w:bookmarkStart w:id="29" w:name="table-s6"/>
    <w:p>
      <w:pPr>
        <w:pStyle w:val="Heading3"/>
      </w:pPr>
      <w:r>
        <w:t xml:space="preserve">Table S6</w:t>
      </w:r>
    </w:p>
    <w:p xmlns:w14="http://schemas.microsoft.com/office/word/2010/wordml">
      <w:pPr>
        <w:pStyle w:val=""/>
        <w:jc w:val="center"/>
        <w:keepNext/>
      </w:pPr>
      <w:r>
        <w:t xml:space="preserve">Unadjusted and adjusted logistic regression results for quick sequential organ failure assessment (qSOFA) among febrile participants (aged ≥15 years) enrolled between 2018 and 2021 with complete data by time of follow-up across four sites (Lao PDR, Malawi, Mozambique, and Zimbabwe).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168"/>
        <w:gridCol w:w="2058"/>
        <w:gridCol w:w="1812"/>
        <w:gridCol w:w="1651"/>
        <w:gridCol w:w="1603"/>
        <w:gridCol w:w="859"/>
        <w:gridCol w:w="2327"/>
        <w:gridCol w:w="859"/>
      </w:tblGrid>
      <w:tr>
        <w:trPr>
          <w:trHeight w:val="357" w:hRule="auto"/>
          <w:tblHeader/>
        </w:trPr>
        header 1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Variable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Overall</w:t>
            </w: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, N = 2,797</w:t>
            </w:r>
            <w:r>
              <w:rPr>
                <w:rFonts w:ascii="Tahoma" w:hAnsi="Helvetica" w:eastAsia="Helvetica" w:cs="Helvetica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Alive</w:t>
            </w: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, N = 2,612</w:t>
            </w:r>
            <w:r>
              <w:rPr>
                <w:rFonts w:ascii="Tahoma" w:hAnsi="Helvetica" w:eastAsia="Helvetica" w:cs="Helvetica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Dead</w:t>
            </w: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, N = 185</w:t>
            </w:r>
            <w:r>
              <w:rPr>
                <w:rFonts w:ascii="Tahoma" w:hAnsi="Helvetica" w:eastAsia="Helvetica" w:cs="Helvetica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Unadjusted OR</w:t>
            </w:r>
            <w:r>
              <w:rPr>
                <w:rFonts w:ascii="Tahoma" w:hAnsi="Helvetica" w:eastAsia="Helvetica" w:cs="Helvetica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p-value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Adjusted OR (95% CI)</w:t>
            </w:r>
            <w:r>
              <w:rPr>
                <w:rFonts w:ascii="Tahoma" w:hAnsi="Helvetica" w:eastAsia="Helvetica" w:cs="Helvetica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p-value</w:t>
            </w:r>
          </w:p>
        </w:tc>
      </w:tr>
      <w:tr>
        <w:trPr>
          <w:trHeight w:val="295" w:hRule="auto"/>
        </w:trPr>
        body 1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qSOFA score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&lt;0.001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&lt;0.001</w:t>
            </w:r>
          </w:p>
        </w:tc>
      </w:tr>
      <w:tr>
        <w:trPr>
          <w:trHeight w:val="298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1,436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1,387 (97%)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49 (3.4%)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—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—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1,126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1,047 (93%)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79 (7.0%)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2.14 (1.49 - 3.10)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2.13 (1.46 - 3.13)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176 (78%)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 (22%)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8.04 (5.26 - 12.3)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8.26 (5.24 - 13.1)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(22%)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 (78%)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99.1 (23.3 - 677)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89.1 (18.5 - 658)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Age group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&lt;0.001</w:t>
            </w:r>
          </w:p>
        </w:tc>
      </w:tr>
      <w:tr>
        <w:trPr>
          <w:trHeight w:val="298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15 - &lt;25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769 (98%)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 (1.9%)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—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—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25 - &lt;35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740 (95%)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42 (5.4%)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2.91 (1.64 - 5.46)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1.99 (1.08 - 3.84)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35 - &lt;40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545 (92%)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45 (7.6%)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4.23 (2.39 - 7.92)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2.11 (1.14 - 4.10)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45 - &lt;55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269 (89%)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 (11%)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6.10 (3.31 - 11.7)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4.06 (2.12 - 8.11)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55 - &lt;65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169 (86%)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 (14%)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8.49 (4.50 - 16.6)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6.34 (3.21 - 13.0)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65+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120 (84%)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 (16%)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9.83 (5.03 - 19.7)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8.31 (4.03 - 17.5)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68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Gender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&lt;0.001</w:t>
            </w:r>
          </w:p>
        </w:tc>
      </w:tr>
      <w:tr>
        <w:trPr>
          <w:trHeight w:val="298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Female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1,684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1,600 (95%)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84 (5.0%)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—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—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1,113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1,012 (91%)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101 (9.1%)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1.90 (1.41 - 2.57)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2.04 (1.47 - 2.83)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65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HIV status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&lt;0.001</w:t>
            </w:r>
          </w:p>
        </w:tc>
      </w:tr>
      <w:tr>
        <w:trPr>
          <w:trHeight w:val="298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Negative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2,112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2,039 (97%)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73 (3.5%)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—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—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body18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Positive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685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573 (84%)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112 (16%)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5.46 (4.02 - 7.46)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5.62 (3.98 - 7.99)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footer 1
        <w:tc>
          <w:tcPr>
            <w:gridSpan w:val="8"/>
            <w:tcBorders>
              <w:bottom w:val="none" w:sz="0" w:space="0" w:color="FFFFFF"/>
              <w:top w:val="single" w:sz="8" w:space="0" w:color="000000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1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</w:t>
            </w:r>
          </w:p>
        </w:tc>
      </w:tr>
      <w:tr>
        <w:trPr>
          <w:trHeight w:val="360" w:hRule="auto"/>
        </w:trPr>
        footer 2
        <w:tc>
          <w:tcPr>
            <w:gridSpan w:val="8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2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 (%)</w:t>
            </w:r>
          </w:p>
        </w:tc>
      </w:tr>
      <w:tr>
        <w:trPr>
          <w:trHeight w:val="360" w:hRule="auto"/>
        </w:trPr>
        footer 3
        <w:tc>
          <w:tcPr>
            <w:gridSpan w:val="8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3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OR = Odds Ratio</w:t>
            </w:r>
          </w:p>
        </w:tc>
      </w:tr>
      <w:tr>
        <w:trPr>
          <w:trHeight w:val="360" w:hRule="auto"/>
        </w:trPr>
        footer 4
        <w:tc>
          <w:tcPr>
            <w:gridSpan w:val="8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OR = Odds ratio, CI = Confidence intervals, Adjusted for age and gender</w:t>
            </w:r>
          </w:p>
        </w:tc>
      </w:tr>
    </w:tbl>
    <w:p>
      <w:r>
        <w:br w:type="page"/>
      </w:r>
    </w:p>
    <w:bookmarkEnd w:id="29"/>
    <w:bookmarkStart w:id="30" w:name="table-s7"/>
    <w:p>
      <w:pPr>
        <w:pStyle w:val="Heading3"/>
      </w:pPr>
      <w:r>
        <w:t xml:space="preserve">Table S7</w:t>
      </w:r>
    </w:p>
    <w:p xmlns:w14="http://schemas.microsoft.com/office/word/2010/wordml">
      <w:pPr>
        <w:pStyle w:val=""/>
        <w:jc w:val="center"/>
        <w:keepNext/>
      </w:pPr>
      <w:r>
        <w:t xml:space="preserve">Unadjusted and adjusted logistic regression results for universal vital assessment score (UVA) among febrile participants (aged ≥15 years) enrolled between 2018 and 2021 with complete data by time of follow-up across four sites (Lao PDR, Malawi, Mozambique, and Zimbabwe).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168"/>
        <w:gridCol w:w="2058"/>
        <w:gridCol w:w="1812"/>
        <w:gridCol w:w="1651"/>
        <w:gridCol w:w="1603"/>
        <w:gridCol w:w="859"/>
        <w:gridCol w:w="2327"/>
        <w:gridCol w:w="859"/>
      </w:tblGrid>
      <w:tr>
        <w:trPr>
          <w:trHeight w:val="357" w:hRule="auto"/>
          <w:tblHeader/>
        </w:trPr>
        header 1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Variable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Overall</w:t>
            </w: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, N = 2,797</w:t>
            </w:r>
            <w:r>
              <w:rPr>
                <w:rFonts w:ascii="Tahoma" w:hAnsi="Helvetica" w:eastAsia="Helvetica" w:cs="Helvetica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Alive</w:t>
            </w: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, N = 2,612</w:t>
            </w:r>
            <w:r>
              <w:rPr>
                <w:rFonts w:ascii="Tahoma" w:hAnsi="Helvetica" w:eastAsia="Helvetica" w:cs="Helvetica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Dead</w:t>
            </w: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, N = 185</w:t>
            </w:r>
            <w:r>
              <w:rPr>
                <w:rFonts w:ascii="Tahoma" w:hAnsi="Helvetica" w:eastAsia="Helvetica" w:cs="Helvetica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Unadjusted OR</w:t>
            </w:r>
            <w:r>
              <w:rPr>
                <w:rFonts w:ascii="Tahoma" w:hAnsi="Helvetica" w:eastAsia="Helvetica" w:cs="Helvetica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p-value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Adjusted OR (95% CI)</w:t>
            </w:r>
            <w:r>
              <w:rPr>
                <w:rFonts w:ascii="Tahoma" w:hAnsi="Helvetica" w:eastAsia="Helvetica" w:cs="Helvetica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p-value</w:t>
            </w:r>
          </w:p>
        </w:tc>
      </w:tr>
      <w:tr>
        <w:trPr>
          <w:trHeight w:val="265" w:hRule="auto"/>
        </w:trPr>
        body 1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UVA score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&lt;0.001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&lt;0.001</w:t>
            </w:r>
          </w:p>
        </w:tc>
      </w:tr>
      <w:tr>
        <w:trPr>
          <w:trHeight w:val="298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1,511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1,488 (98%)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 (1.5%)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—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—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405 (97%)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 (2.6%)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1.76 (0.82 - 3.55)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2.13 (0.98 - 4.34)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452 (90%)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49 (9.8%)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7.01 (4.28 - 11.8)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6.55 (3.95 - 11.2)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142 (80%)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 (20%)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15.9 (9.23 - 28.1)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17.5 (9.92 - 31.5)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 (73%)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 (27%)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24.1 (13.0 - 45.0)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24.9 (13.1 - 47.8)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 (62%)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 (38%)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39.3 (18.8 - 81.7)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37.0 (17.1 - 80.0)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 (54%)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 (46%)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54.5 (24.9 - 120)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56.6 (24.9 - 130)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 (58%)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 (42%)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46.2 (12.9 - 156)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47.8 (12.7 - 170)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 (50%)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 (50%)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64.7 (14.5 - 289)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72.4 (15.1 - 346)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Age group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&lt;0.001</w:t>
            </w:r>
          </w:p>
        </w:tc>
      </w:tr>
      <w:tr>
        <w:trPr>
          <w:trHeight w:val="298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15 - &lt;25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769 (98%)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 (1.9%)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—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—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25 - &lt;35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740 (95%)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42 (5.4%)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2.91 (1.64 - 5.46)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1.95 (1.05 - 3.77)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35 - &lt;40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545 (92%)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45 (7.6%)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4.23 (2.39 - 7.92)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1.85 (1.00 - 3.59)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45 - &lt;55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269 (89%)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 (11%)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6.10 (3.31 - 11.7)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3.94 (2.03 - 7.94)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55 - &lt;65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169 (86%)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 (14%)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8.49 (4.50 - 16.6)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6.12 (3.05 - 12.7)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65+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120 (84%)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 (16%)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9.83 (5.03 - 19.7)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8.25 (3.95 - 17.7)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68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Gender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&lt;0.001</w:t>
            </w:r>
          </w:p>
        </w:tc>
      </w:tr>
      <w:tr>
        <w:trPr>
          <w:trHeight w:val="298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Female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1,684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1,600 (95%)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84 (5.0%)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—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—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body20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Male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1,113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1,012 (91%)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101 (9.1%)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1.90 (1.41 - 2.57)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1.80 (1.29 - 2.52)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footer 1
        <w:tc>
          <w:tcPr>
            <w:gridSpan w:val="8"/>
            <w:tcBorders>
              <w:bottom w:val="none" w:sz="0" w:space="0" w:color="FFFFFF"/>
              <w:top w:val="single" w:sz="8" w:space="0" w:color="000000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1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</w:t>
            </w:r>
          </w:p>
        </w:tc>
      </w:tr>
      <w:tr>
        <w:trPr>
          <w:trHeight w:val="360" w:hRule="auto"/>
        </w:trPr>
        footer 2
        <w:tc>
          <w:tcPr>
            <w:gridSpan w:val="8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2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 (%)</w:t>
            </w:r>
          </w:p>
        </w:tc>
      </w:tr>
      <w:tr>
        <w:trPr>
          <w:trHeight w:val="360" w:hRule="auto"/>
        </w:trPr>
        footer 3
        <w:tc>
          <w:tcPr>
            <w:gridSpan w:val="8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3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OR = Odds Ratio</w:t>
            </w:r>
          </w:p>
        </w:tc>
      </w:tr>
      <w:tr>
        <w:trPr>
          <w:trHeight w:val="360" w:hRule="auto"/>
        </w:trPr>
        footer 4
        <w:tc>
          <w:tcPr>
            <w:gridSpan w:val="8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OR = Odds ratio, CI = Confidence intervals, Adjusted for age and gender</w:t>
            </w:r>
          </w:p>
        </w:tc>
      </w:tr>
    </w:tbl>
    <w:p>
      <w:r>
        <w:br w:type="page"/>
      </w:r>
    </w:p>
    <w:bookmarkEnd w:id="30"/>
    <w:bookmarkStart w:id="31" w:name="figure-1"/>
    <w:p>
      <w:pPr>
        <w:pStyle w:val="Heading3"/>
      </w:pPr>
      <w:r>
        <w:t xml:space="preserve">Figure 1</w:t>
      </w:r>
    </w:p>
    <w:p>
      <w:r>
        <w:br w:type="page"/>
      </w:r>
    </w:p>
    <w:p>
      <w:pPr>
        <w:jc w:val="left"/>
        <w:pStyle w:val="Normal"/>
      </w:pPr>
      <w:r>
        <w:rPr/>
        <w:drawing>
          <wp:inline distT="0" distB="0" distL="0" distR="0">
            <wp:extent cx="8229600" cy="5486400"/>
            <wp:docPr id="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"/>
      </w:pPr>
      <w:r>
        <w:rPr>
          <w:rFonts/>
          <w:b w:val="true"/>
        </w:rPr>
        <w:t xml:space="preserve"/>
      </w:r>
      <w:bookmarkStart w:id="35e68dcc-1646-4d43-a743-4bd67b046cba" w:name="Fig1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35e68dcc-1646-4d43-a743-4bd67b046cba"/>
      <w:r>
        <w:rPr>
          <w:rFonts/>
          <w:b w:val="true"/>
        </w:rPr>
        <w:t xml:space="preserve"/>
      </w:r>
      <w:r>
        <w:t xml:space="preserve">Flowchart of febrile participants (aged ≥15 years) enrolled and followed up between 2018 and 2021 at four sites (Lao PDR, Malawi, Mozambique, and Zimbabwe). MEWS=modified early warning score, qSOFA=quick sequential organ failure assessment, UVA=universal vital assessment score.</w:t>
      </w:r>
    </w:p>
    <w:p>
      <w:pPr>
        <w:jc w:val="left"/>
        <w:pStyle w:val="Normal"/>
      </w:pPr>
      <w:r>
        <w:rPr/>
        <w:drawing>
          <wp:inline distT="0" distB="0" distL="0" distR="0">
            <wp:extent cx="8229600" cy="5486400"/>
            <wp:docPr id="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"/>
      </w:pPr>
      <w:r>
        <w:rPr>
          <w:rFonts/>
          <w:b w:val="true"/>
        </w:rPr>
        <w:t xml:space="preserve"/>
      </w:r>
      <w:bookmarkStart w:id="5b15f39a-23d1-4a8b-b123-00be5700d5c3" w:name="Fig1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5b15f39a-23d1-4a8b-b123-00be5700d5c3"/>
      <w:r>
        <w:rPr>
          <w:rFonts/>
          <w:b w:val="true"/>
        </w:rPr>
        <w:t xml:space="preserve"/>
      </w:r>
      <w:r>
        <w:t xml:space="preserve">Flowchart of febrile participants (aged ≥15 years) enrolled and followed up between 2018 and 2021 at four sites (Lao PDR, Malawi, Mozambique, and Zimbabwe). MEWS=modified early warning score, qSOFA=quick sequential organ failure assessment, UVA=universal vital assessment score.</w:t>
      </w:r>
    </w:p>
    <w:p>
      <w:pPr>
        <w:jc w:val="left"/>
        <w:pStyle w:val="Normal"/>
      </w:pPr>
      <w:r>
        <w:rPr/>
        <w:drawing>
          <wp:inline distT="0" distB="0" distL="0" distR="0">
            <wp:extent cx="8229600" cy="5486400"/>
            <wp:docPr id="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"/>
      </w:pPr>
      <w:r>
        <w:rPr>
          <w:rFonts/>
          <w:b w:val="true"/>
        </w:rPr>
        <w:t xml:space="preserve"/>
      </w:r>
      <w:bookmarkStart w:id="b8a5d1b4-d221-4509-b649-fa9b25e95b37" w:name="Fig1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b8a5d1b4-d221-4509-b649-fa9b25e95b37"/>
      <w:r>
        <w:rPr>
          <w:rFonts/>
          <w:b w:val="true"/>
        </w:rPr>
        <w:t xml:space="preserve"/>
      </w:r>
      <w:r>
        <w:t xml:space="preserve">Flowchart of febrile participants (aged ≥15 years) enrolled and followed up between 2018 and 2021 at four sites (Lao PDR, Malawi, Mozambique, and Zimbabwe). MEWS=modified early warning score, qSOFA=quick sequential organ failure assessment, UVA=universal vital assessment score.</w:t>
      </w:r>
    </w:p>
    <w:p>
      <w:pPr>
        <w:jc w:val="left"/>
        <w:pStyle w:val="Normal"/>
      </w:pPr>
      <w:r>
        <w:rPr/>
        <w:drawing>
          <wp:inline distT="0" distB="0" distL="0" distR="0">
            <wp:extent cx="8229600" cy="5486400"/>
            <wp:docPr id="7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"/>
      </w:pPr>
      <w:r>
        <w:rPr>
          <w:rFonts/>
          <w:b w:val="true"/>
        </w:rPr>
        <w:t xml:space="preserve"/>
      </w:r>
      <w:bookmarkStart w:id="b6586cad-9ab8-4b85-a99e-4e3e3b70ab51" w:name="Fig1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b6586cad-9ab8-4b85-a99e-4e3e3b70ab51"/>
      <w:r>
        <w:rPr>
          <w:rFonts/>
          <w:b w:val="true"/>
        </w:rPr>
        <w:t xml:space="preserve"/>
      </w:r>
      <w:r>
        <w:t xml:space="preserve">Flowchart of febrile participants (aged ≥15 years) enrolled and followed up between 2018 and 2021 at four sites (Lao PDR, Malawi, Mozambique, and Zimbabwe). MEWS=modified early warning score, qSOFA=quick sequential organ failure assessment, UVA=universal vital assessment score.</w:t>
      </w:r>
    </w:p>
    <w:p>
      <w:pPr>
        <w:jc w:val="left"/>
        <w:pStyle w:val="Normal"/>
      </w:pPr>
      <w:r>
        <w:rPr/>
        <w:drawing>
          <wp:inline distT="0" distB="0" distL="0" distR="0">
            <wp:extent cx="8229600" cy="5486400"/>
            <wp:docPr id="9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"/>
      </w:pPr>
      <w:r>
        <w:rPr>
          <w:rFonts/>
          <w:b w:val="true"/>
        </w:rPr>
        <w:t xml:space="preserve"/>
      </w:r>
      <w:bookmarkStart w:id="e2efcbc5-f562-4215-81d6-fc12d30d4f38" w:name="Fig1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e2efcbc5-f562-4215-81d6-fc12d30d4f38"/>
      <w:r>
        <w:rPr>
          <w:rFonts/>
          <w:b w:val="true"/>
        </w:rPr>
        <w:t xml:space="preserve"/>
      </w:r>
      <w:r>
        <w:t xml:space="preserve">Flowchart of febrile participants (aged ≥15 years) enrolled and followed up between 2018 and 2021 at four sites (Lao PDR, Malawi, Mozambique, and Zimbabwe). MEWS=modified early warning score, qSOFA=quick sequential organ failure assessment, UVA=universal vital assessment score.</w:t>
      </w:r>
    </w:p>
    <w:p>
      <w:r>
        <w:br w:type="page"/>
      </w:r>
    </w:p>
    <w:bookmarkEnd w:id="31"/>
    <w:bookmarkStart w:id="32" w:name="figure-2a"/>
    <w:p>
      <w:pPr>
        <w:pStyle w:val="Heading3"/>
      </w:pPr>
      <w:r>
        <w:t xml:space="preserve">Figure 2a</w:t>
      </w:r>
    </w:p>
    <w:p>
      <w:pPr>
        <w:jc w:val="left"/>
        <w:pStyle w:val="Normal"/>
      </w:pPr>
      <w:r>
        <w:rPr/>
        <w:drawing>
          <wp:inline distT="0" distB="0" distL="0" distR="0">
            <wp:extent cx="6400800" cy="4572000"/>
            <wp:docPr id="1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"/>
      </w:pPr>
      <w:r>
        <w:rPr>
          <w:rFonts/>
          <w:b w:val="true"/>
        </w:rPr>
        <w:t xml:space="preserve"/>
      </w:r>
      <w:bookmarkStart w:id="cef218fd-5885-41e8-b3cb-cce07d83e7eb" w:name="fig_bar_mews_a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cef218fd-5885-41e8-b3cb-cce07d83e7eb"/>
      <w:r>
        <w:rPr>
          <w:rFonts/>
          <w:b w:val="true"/>
        </w:rPr>
        <w:t xml:space="preserve"/>
      </w:r>
      <w:r>
        <w:t xml:space="preserve">Distribution of MEWs by Day 28 outcome (grouped)</w:t>
      </w:r>
    </w:p>
    <w:bookmarkEnd w:id="32"/>
    <w:bookmarkStart w:id="33" w:name="figure-2b"/>
    <w:p>
      <w:pPr>
        <w:pStyle w:val="Heading3"/>
      </w:pPr>
      <w:r>
        <w:t xml:space="preserve">Figure 2b</w:t>
      </w:r>
    </w:p>
    <w:p>
      <w:pPr>
        <w:jc w:val="left"/>
        <w:pStyle w:val="Normal"/>
      </w:pPr>
      <w:r>
        <w:rPr/>
        <w:drawing>
          <wp:inline distT="0" distB="0" distL="0" distR="0">
            <wp:extent cx="6400800" cy="4572000"/>
            <wp:docPr id="1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"/>
      </w:pPr>
      <w:r>
        <w:rPr>
          <w:rFonts/>
          <w:b w:val="true"/>
        </w:rPr>
        <w:t xml:space="preserve"/>
      </w:r>
      <w:bookmarkStart w:id="b34a63a1-421c-4d20-ac32-1f6bddb6beae" w:name="fig_bar_qsofa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b34a63a1-421c-4d20-ac32-1f6bddb6beae"/>
      <w:r>
        <w:rPr>
          <w:rFonts/>
          <w:b w:val="true"/>
        </w:rPr>
        <w:t xml:space="preserve"/>
      </w:r>
      <w:r>
        <w:t xml:space="preserve">Distribution of qSOFA by Day 28 outcome</w:t>
      </w:r>
    </w:p>
    <w:bookmarkEnd w:id="33"/>
    <w:bookmarkStart w:id="34" w:name="figure-2c"/>
    <w:p>
      <w:pPr>
        <w:pStyle w:val="Heading3"/>
      </w:pPr>
      <w:r>
        <w:t xml:space="preserve">Figure 2c</w:t>
      </w:r>
    </w:p>
    <w:p>
      <w:pPr>
        <w:jc w:val="left"/>
        <w:pStyle w:val="Normal"/>
      </w:pPr>
      <w:r>
        <w:rPr/>
        <w:drawing>
          <wp:inline distT="0" distB="0" distL="0" distR="0">
            <wp:extent cx="6400800" cy="4572000"/>
            <wp:docPr id="1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"/>
      </w:pPr>
      <w:r>
        <w:rPr>
          <w:rFonts/>
          <w:b w:val="true"/>
        </w:rPr>
        <w:t xml:space="preserve"/>
      </w:r>
      <w:bookmarkStart w:id="6a18482f-3878-4f78-b3dd-a68c56917378" w:name="fig_bar_uva_group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6a18482f-3878-4f78-b3dd-a68c56917378"/>
      <w:r>
        <w:rPr>
          <w:rFonts/>
          <w:b w:val="true"/>
        </w:rPr>
        <w:t xml:space="preserve"/>
      </w:r>
      <w:r>
        <w:t xml:space="preserve">Distribution of UVA score by Day 28 outcome (grouped)</w:t>
      </w:r>
    </w:p>
    <w:bookmarkEnd w:id="34"/>
    <w:bookmarkStart w:id="35" w:name="figure-2"/>
    <w:p>
      <w:pPr>
        <w:pStyle w:val="Heading3"/>
      </w:pPr>
      <w:r>
        <w:t xml:space="preserve">Figure 2</w:t>
      </w:r>
    </w:p>
    <w:p>
      <w:pPr>
        <w:jc w:val="left"/>
        <w:pStyle w:val="Normal"/>
      </w:pPr>
      <w:r>
        <w:rPr/>
        <w:drawing>
          <wp:inline distT="0" distB="0" distL="0" distR="0">
            <wp:extent cx="8229600" cy="5486400"/>
            <wp:docPr id="17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"/>
      </w:pPr>
      <w:r>
        <w:rPr>
          <w:rFonts/>
          <w:b w:val="true"/>
        </w:rPr>
        <w:t xml:space="preserve"/>
      </w:r>
      <w:bookmarkStart w:id="af02aac9-8e1b-4cd6-8e1a-f75f2dbcb47c" w:name="Fig2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af02aac9-8e1b-4cd6-8e1a-f75f2dbcb47c"/>
      <w:r>
        <w:rPr>
          <w:rFonts/>
          <w:b w:val="true"/>
        </w:rPr>
        <w:t xml:space="preserve"/>
      </w:r>
      <w:r>
        <w:t xml:space="preserve">The percentage distribution of each severity score (MEWS, qSOFA and UVA) and associated mortality at time of day 28 follow-up, among febrile participants (aged ≥15 years) with complete data enrolled between 2018 and 2021 across four sites (Lao PDR, Malawi, Mozambique, and Zimbabwe). Severity scores above 8 for MEWS and above 7 for UVA were grouped due to less than 5 outcomes reported. MEWS=modified early warning score, qSOFA=quick sequential organ failure assessment, UVA=universal vital assessment score</w:t>
      </w:r>
    </w:p>
    <w:bookmarkEnd w:id="35"/>
    <w:bookmarkStart w:id="37" w:name="figure-3a"/>
    <w:p>
      <w:pPr>
        <w:pStyle w:val="Heading3"/>
      </w:pPr>
      <w:r>
        <w:t xml:space="preserve">Figure 3a</w:t>
      </w:r>
    </w:p>
    <w:bookmarkStart w:id="36" w:name="mews-roc-results"/>
    <w:p>
      <w:pPr>
        <w:pStyle w:val="Heading4"/>
      </w:pPr>
      <w:r>
        <w:t xml:space="preserve">MEWS ROC results</w:t>
      </w:r>
    </w:p>
    <w:p>
      <w:pPr>
        <w:pStyle w:val="Normal"/>
      </w:pPr>
      <w:r>
        <w:t xml:space="preserve">MEWS area under the curve = 0.67, 95% CI: 0.63-0.71</w:t>
      </w:r>
    </w:p>
    <w:p>
      <w:pPr>
        <w:jc w:val="left"/>
        <w:pStyle w:val="Normal"/>
      </w:pPr>
      <w:r>
        <w:rPr/>
        <w:drawing>
          <wp:inline distT="0" distB="0" distL="0" distR="0">
            <wp:extent cx="6400800" cy="4572000"/>
            <wp:docPr id="19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"/>
      </w:pPr>
      <w:r>
        <w:rPr>
          <w:rFonts/>
          <w:b w:val="true"/>
        </w:rPr>
        <w:t xml:space="preserve"/>
      </w:r>
      <w:bookmarkStart w:id="4f2a7ab7-fa1d-4445-9c6d-354aa3acdba7" w:name="fig3a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4f2a7ab7-fa1d-4445-9c6d-354aa3acdba7"/>
      <w:r>
        <w:rPr>
          <w:rFonts/>
          <w:b w:val="true"/>
        </w:rPr>
        <w:t xml:space="preserve"/>
      </w:r>
      <w:r>
        <w:t xml:space="preserve">MEWS Receiver operating characteristic curve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threshold_cat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specificity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sensitivity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npv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ppv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6.61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91.35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97.33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7.69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42.84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77.30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96.38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8.74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63.09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63.24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96.04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10.82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77.34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45.41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95.24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12.43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87.17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94.56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13.88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94.87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94.36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21.64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98.47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93.80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27.27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99.73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93.67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56.25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99.96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93.48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75.00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93.45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100.00</w:t>
            </w:r>
          </w:p>
        </w:tc>
      </w:tr>
      <w:tr>
        <w:trPr>
          <w:trHeight w:val="360" w:hRule="auto"/>
        </w:trPr>
        body12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93.39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</w:tbl>
    <w:p>
      <w:r>
        <w:br w:type="page"/>
      </w:r>
    </w:p>
    <w:bookmarkEnd w:id="36"/>
    <w:bookmarkEnd w:id="37"/>
    <w:bookmarkStart w:id="39" w:name="figure-3b"/>
    <w:p>
      <w:pPr>
        <w:pStyle w:val="Heading3"/>
      </w:pPr>
      <w:r>
        <w:t xml:space="preserve">Figure 3b</w:t>
      </w:r>
    </w:p>
    <w:bookmarkStart w:id="38" w:name="qsofa-roc-results"/>
    <w:p>
      <w:pPr>
        <w:pStyle w:val="Heading4"/>
      </w:pPr>
      <w:r>
        <w:t xml:space="preserve">qSOFA ROC results</w:t>
      </w:r>
    </w:p>
    <w:p>
      <w:pPr>
        <w:pStyle w:val="Normal"/>
      </w:pPr>
      <w:r>
        <w:t xml:space="preserve">qSOFA area under the curve = 0.68, 95% CI: 0.64-0.72</w:t>
      </w:r>
    </w:p>
    <w:p>
      <w:pPr>
        <w:jc w:val="left"/>
        <w:pStyle w:val="Normal"/>
      </w:pPr>
      <w:r>
        <w:rPr/>
        <w:drawing>
          <wp:inline distT="0" distB="0" distL="0" distR="0">
            <wp:extent cx="6400800" cy="4572000"/>
            <wp:docPr id="2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14="http://schemas.microsoft.com/office/word/2010/wordml">
      <w:pPr>
        <w:pStyle w:val=""/>
        <w:jc w:val="center"/>
        <w:keepNext/>
      </w:pPr>
      <w:r>
        <w:t xml:space="preserve">qSOFA Specificity (%) and specificity values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threshold_cat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specificity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sensitivity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npv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ppv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6.61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53.10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73.51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96.59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9.99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93.19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95.00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24.26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99.92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93.62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77.78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93.39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</w:tbl>
    <w:p>
      <w:r>
        <w:br w:type="page"/>
      </w:r>
    </w:p>
    <w:bookmarkEnd w:id="38"/>
    <w:bookmarkEnd w:id="39"/>
    <w:bookmarkStart w:id="41" w:name="figure-3c"/>
    <w:p>
      <w:pPr>
        <w:pStyle w:val="Heading3"/>
      </w:pPr>
      <w:r>
        <w:t xml:space="preserve">Figure 3c</w:t>
      </w:r>
    </w:p>
    <w:bookmarkStart w:id="40" w:name="uva-score-roc-results"/>
    <w:p>
      <w:pPr>
        <w:pStyle w:val="Heading4"/>
      </w:pPr>
      <w:r>
        <w:t xml:space="preserve">UVA Score ROC results</w:t>
      </w:r>
    </w:p>
    <w:p>
      <w:pPr>
        <w:pStyle w:val="Normal"/>
      </w:pPr>
      <w:r>
        <w:t xml:space="preserve">UVA area under the curve (AUC) = 0.82, 95% CI: 0.79-0.85</w:t>
      </w:r>
    </w:p>
    <w:p>
      <w:r>
        <w:br w:type="page"/>
      </w:r>
    </w:p>
    <w:p>
      <w:pPr>
        <w:jc w:val="left"/>
        <w:pStyle w:val="Normal"/>
      </w:pPr>
      <w:r>
        <w:rPr/>
        <w:drawing>
          <wp:inline distT="0" distB="0" distL="0" distR="0">
            <wp:extent cx="6400800" cy="4572000"/>
            <wp:docPr id="2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"/>
      </w:pPr>
      <w:r>
        <w:rPr>
          <w:rFonts/>
          <w:b w:val="true"/>
        </w:rPr>
        <w:t xml:space="preserve"/>
      </w:r>
      <w:bookmarkStart w:id="9ad0e624-bd91-404a-95a4-bb703b6e4d73" w:name="unnamed-chunk-15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9ad0e624-bd91-404a-95a4-bb703b6e4d73"/>
      <w:r>
        <w:rPr>
          <w:rFonts/>
          <w:b w:val="true"/>
        </w:rPr>
        <w:t xml:space="preserve"/>
      </w:r>
      <w:r>
        <w:t xml:space="preserve">UVA Receiver operating characteristic curve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threshold_cat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specificity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sensitivity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npv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ppv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6.61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87.57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98.48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12.60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72.47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81.62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98.24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17.36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89.78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55.14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96.58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27.64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95.21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95.47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34.90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97.78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94.70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42.00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98.85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94.16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45.45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99.58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93.66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45.00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99.85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93.51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50.00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99.92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93.45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50.00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93.42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100.00</w:t>
            </w:r>
          </w:p>
        </w:tc>
      </w:tr>
      <w:tr>
        <w:trPr>
          <w:trHeight w:val="360" w:hRule="auto"/>
        </w:trPr>
        body12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93.39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</w:tbl>
    <w:p>
      <w:r>
        <w:br w:type="page"/>
      </w:r>
    </w:p>
    <w:bookmarkEnd w:id="40"/>
    <w:bookmarkEnd w:id="41"/>
    <w:bookmarkStart w:id="42" w:name="figure-3-combined-roc"/>
    <w:p>
      <w:pPr>
        <w:pStyle w:val="Heading3"/>
      </w:pPr>
      <w:r>
        <w:t xml:space="preserve">Figure 3: Combined ROC</w:t>
      </w:r>
    </w:p>
    <w:p>
      <w:pPr>
        <w:jc w:val="left"/>
        <w:pStyle w:val="Normal"/>
      </w:pPr>
      <w:r>
        <w:rPr/>
        <w:drawing>
          <wp:inline distT="0" distB="0" distL="0" distR="0">
            <wp:extent cx="8229600" cy="5486400"/>
            <wp:docPr id="2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"/>
      </w:pPr>
      <w:r>
        <w:rPr>
          <w:rFonts/>
          <w:b w:val="true"/>
        </w:rPr>
        <w:t xml:space="preserve"/>
      </w:r>
      <w:bookmarkStart w:id="0aa76995-4d47-461c-8c03-2adcac2cea2d" w:name="Fig3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0aa76995-4d47-461c-8c03-2adcac2cea2d"/>
      <w:r>
        <w:rPr>
          <w:rFonts/>
          <w:b w:val="true"/>
        </w:rPr>
        <w:t xml:space="preserve"/>
      </w:r>
      <w:r>
        <w:t xml:space="preserve">ROC curves for a) MEWS, b) qSOFA and c) UVA severity scores for predicting mortality by time of follow-up among febrile participants (aged ≥15 years) enrolled between 2018 and 2021 across four sites (Lao PDR, Malawi, Mozambique, and Zimbabwe). ROC=receiver operating characteristic, AUC=area under the curve, MEWS=modified early warning score, qSOFA=quick sequential organ failure assessment, UVA=universal vital assessment score, CI=confidence interval.</w:t>
      </w:r>
    </w:p>
    <w:p>
      <w:r>
        <w:br w:type="page"/>
      </w:r>
    </w:p>
    <w:p>
      <w:pPr>
        <w:pStyle w:val="BodyText"/>
      </w:pPr>
      <w:r>
        <w:t xml:space="preserve">DeLong test, a pairwise comparison test for the equality of the area under the curve between;</w:t>
      </w:r>
      <w:r>
        <w:br/>
      </w:r>
      <w:r>
        <w:t xml:space="preserve">1) UVA (AUC:0.82, 95% CI: 0.79-0.85) vs. MEWS (AUC:0.67, 95% CI: 0.63-0.71), Z = 6.0902876,</w:t>
      </w:r>
      <w:r>
        <w:t xml:space="preserve"> </w:t>
      </w:r>
      <w:r>
        <w:rPr>
          <w:i/>
          <w:iCs/>
        </w:rPr>
        <w:t xml:space="preserve">p-value</w:t>
      </w:r>
      <w:r>
        <w:t xml:space="preserve"> </w:t>
      </w:r>
      <w:r>
        <w:t xml:space="preserve">= 0.00000000112708.</w:t>
      </w:r>
      <w:r>
        <w:br/>
      </w:r>
      <w:r>
        <w:t xml:space="preserve">2) UVA (AUC:0.82, 95% CI: 0.79-0.85) vs. qSOFA (AUC:0.68, 95% CI: 0.64-0.72), Z = 6.8039015,</w:t>
      </w:r>
      <w:r>
        <w:t xml:space="preserve"> </w:t>
      </w:r>
      <w:r>
        <w:rPr>
          <w:i/>
          <w:iCs/>
        </w:rPr>
        <w:t xml:space="preserve">p-value</w:t>
      </w:r>
      <w:r>
        <w:t xml:space="preserve"> </w:t>
      </w:r>
      <w:r>
        <w:t xml:space="preserve">= 0.00000000001018231.</w:t>
      </w:r>
      <w:r>
        <w:br/>
      </w:r>
      <w:r>
        <w:t xml:space="preserve">3) MEWs (AUC:0.67, 95% CI: 0.63-0.71) vs. qSOFA (AUC:0.68, 95% CI: 0.64-0.72), Z = -0.6513847,</w:t>
      </w:r>
      <w:r>
        <w:t xml:space="preserve"> </w:t>
      </w:r>
      <w:r>
        <w:rPr>
          <w:i/>
          <w:iCs/>
        </w:rPr>
        <w:t xml:space="preserve">p-value</w:t>
      </w:r>
      <w:r>
        <w:t xml:space="preserve"> </w:t>
      </w:r>
      <w:r>
        <w:t xml:space="preserve">= 0.5147982.</w:t>
      </w:r>
    </w:p>
    <w:p>
      <w:r>
        <w:br w:type="page"/>
      </w:r>
    </w:p>
    <w:bookmarkEnd w:id="42"/>
    <w:bookmarkEnd w:id="43"/>
    <w:bookmarkStart w:id="49" w:name="supplementary-material-figures"/>
    <w:p>
      <w:pPr>
        <w:pStyle w:val="Heading2"/>
      </w:pPr>
      <w:r>
        <w:t xml:space="preserve">Supplementary material figures</w:t>
      </w:r>
    </w:p>
    <w:bookmarkStart w:id="44" w:name="figure-s1"/>
    <w:p>
      <w:pPr>
        <w:pStyle w:val="Heading3"/>
      </w:pPr>
      <w:r>
        <w:t xml:space="preserve">Figure S1</w:t>
      </w:r>
    </w:p>
    <w:p>
      <w:pPr>
        <w:jc w:val="left"/>
        <w:pStyle w:val="Normal"/>
      </w:pPr>
      <w:r>
        <w:rPr/>
        <w:drawing>
          <wp:inline distT="0" distB="0" distL="0" distR="0">
            <wp:extent cx="6400800" cy="4572000"/>
            <wp:docPr id="27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"/>
      </w:pPr>
      <w:r>
        <w:rPr>
          <w:rFonts/>
          <w:b w:val="true"/>
        </w:rPr>
        <w:t xml:space="preserve"/>
      </w:r>
      <w:bookmarkStart w:id="04676901-0e7e-4913-82a1-25b5b362f69f" w:name="FigS1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04676901-0e7e-4913-82a1-25b5b362f69f"/>
      <w:r>
        <w:rPr>
          <w:rFonts/>
          <w:b w:val="true"/>
        </w:rPr>
        <w:t xml:space="preserve"/>
      </w:r>
      <w:r>
        <w:t xml:space="preserve">Box and whisker plot of time to death (days) by time to follow-up, by site among febrile participants (aged ≥15 years) enrolled between 2018 and 2021 across four sites (Lao PDR, Malawi, Mozambique, and Zimbabwe).</w:t>
      </w:r>
    </w:p>
    <w:bookmarkEnd w:id="44"/>
    <w:bookmarkStart w:id="45" w:name="figure-s2a"/>
    <w:p>
      <w:pPr>
        <w:pStyle w:val="Heading3"/>
      </w:pPr>
      <w:r>
        <w:t xml:space="preserve">Figure S2a</w:t>
      </w:r>
    </w:p>
    <w:p>
      <w:pPr>
        <w:jc w:val="left"/>
        <w:pStyle w:val="Normal"/>
      </w:pPr>
      <w:r>
        <w:rPr/>
        <w:drawing>
          <wp:inline distT="0" distB="0" distL="0" distR="0">
            <wp:extent cx="6400800" cy="4572000"/>
            <wp:docPr id="29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"/>
      </w:pPr>
      <w:r>
        <w:rPr>
          <w:rFonts/>
          <w:b w:val="true"/>
        </w:rPr>
        <w:t xml:space="preserve"/>
      </w:r>
      <w:bookmarkStart w:id="2e112046-804e-46ca-b56d-78d3f7df8a39" w:name="unnamed-chunk-16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2e112046-804e-46ca-b56d-78d3f7df8a39"/>
      <w:r>
        <w:rPr>
          <w:rFonts/>
          <w:b w:val="true"/>
        </w:rPr>
        <w:t xml:space="preserve"/>
      </w:r>
      <w:r>
        <w:t xml:space="preserve">Adjusted odds ratios for MEWS plot</w:t>
      </w:r>
    </w:p>
    <w:bookmarkEnd w:id="45"/>
    <w:bookmarkStart w:id="46" w:name="figure-s2b"/>
    <w:p>
      <w:pPr>
        <w:pStyle w:val="Heading3"/>
      </w:pPr>
      <w:r>
        <w:t xml:space="preserve">Figure S2b</w:t>
      </w:r>
    </w:p>
    <w:p>
      <w:pPr>
        <w:jc w:val="left"/>
        <w:pStyle w:val="Normal"/>
      </w:pPr>
      <w:r>
        <w:rPr/>
        <w:drawing>
          <wp:inline distT="0" distB="0" distL="0" distR="0">
            <wp:extent cx="6400800" cy="4572000"/>
            <wp:docPr id="3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"/>
      </w:pPr>
      <w:r>
        <w:rPr>
          <w:rFonts/>
          <w:b w:val="true"/>
        </w:rPr>
        <w:t xml:space="preserve"/>
      </w:r>
      <w:bookmarkStart w:id="016f0c67-1d5c-46d9-a9f1-bf4041d57681" w:name="unnamed-chunk-17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016f0c67-1d5c-46d9-a9f1-bf4041d57681"/>
      <w:r>
        <w:rPr>
          <w:rFonts/>
          <w:b w:val="true"/>
        </w:rPr>
        <w:t xml:space="preserve"/>
      </w:r>
      <w:r>
        <w:t xml:space="preserve">qSOFA Adjusted odds ratio plot</w:t>
      </w:r>
    </w:p>
    <w:bookmarkEnd w:id="46"/>
    <w:bookmarkStart w:id="47" w:name="figure-s2c"/>
    <w:p>
      <w:pPr>
        <w:pStyle w:val="Heading3"/>
      </w:pPr>
      <w:r>
        <w:t xml:space="preserve">Figure S2c</w:t>
      </w:r>
    </w:p>
    <w:p>
      <w:pPr>
        <w:jc w:val="left"/>
        <w:pStyle w:val="Normal"/>
      </w:pPr>
      <w:r>
        <w:rPr/>
        <w:drawing>
          <wp:inline distT="0" distB="0" distL="0" distR="0">
            <wp:extent cx="6400800" cy="4572000"/>
            <wp:docPr id="3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"/>
      </w:pPr>
      <w:r>
        <w:rPr>
          <w:rFonts/>
          <w:b w:val="true"/>
        </w:rPr>
        <w:t xml:space="preserve"/>
      </w:r>
      <w:bookmarkStart w:id="4891294b-e5e0-4633-a25e-5729fa24fd5a" w:name="fig_s2c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4891294b-e5e0-4633-a25e-5729fa24fd5a"/>
      <w:r>
        <w:rPr>
          <w:rFonts/>
          <w:b w:val="true"/>
        </w:rPr>
        <w:t xml:space="preserve"/>
      </w:r>
      <w:r>
        <w:t xml:space="preserve">Adjusted odds ratios for UVA scores plot</w:t>
      </w:r>
    </w:p>
    <w:p>
      <w:r>
        <w:br w:type="page"/>
      </w:r>
    </w:p>
    <w:bookmarkEnd w:id="47"/>
    <w:bookmarkStart w:id="48" w:name="figure-s2"/>
    <w:p>
      <w:pPr>
        <w:pStyle w:val="Heading3"/>
      </w:pPr>
      <w:r>
        <w:t xml:space="preserve">Figure S2</w:t>
      </w:r>
    </w:p>
    <w:p>
      <w:pPr>
        <w:jc w:val="left"/>
        <w:pStyle w:val="Normal"/>
      </w:pPr>
      <w:r>
        <w:rPr/>
        <w:drawing>
          <wp:inline distT="0" distB="0" distL="0" distR="0">
            <wp:extent cx="9144000" cy="6400800"/>
            <wp:docPr id="3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"/>
      </w:pPr>
      <w:r>
        <w:rPr>
          <w:rFonts/>
          <w:b w:val="true"/>
        </w:rPr>
        <w:t xml:space="preserve"/>
      </w:r>
      <w:bookmarkStart w:id="5c8527ed-727f-4d57-af02-300546e98775" w:name="FigS2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5c8527ed-727f-4d57-af02-300546e98775"/>
      <w:r>
        <w:rPr>
          <w:rFonts/>
          <w:b w:val="true"/>
        </w:rPr>
        <w:t xml:space="preserve"/>
      </w:r>
      <w:r>
        <w:t xml:space="preserve">Adjusted odds ratios for a) MEWS, b) qSOFA and c) UVA severity scores predicting mortality at time of follow-up among febrile participants (aged ≥15 years) enrolled between 2018 and 2021 across four sites (Lao PDR, Malawi, Mozambique, and Zimbabwe). MEWS=modified early warning score, qSOFA=quick sequential organ failure assessment, UVA=universal vital assessment score</w:t>
      </w:r>
    </w:p>
    <w:p>
      <w:r>
        <w:br w:type="page"/>
      </w:r>
    </w:p>
    <w:bookmarkEnd w:id="48"/>
    <w:bookmarkEnd w:id="49"/>
    <w:bookmarkStart w:id="54" w:name="specificity-analysis"/>
    <w:p>
      <w:pPr>
        <w:pStyle w:val="Heading2"/>
      </w:pPr>
      <w:r>
        <w:t xml:space="preserve">Specificity (%) analysis</w:t>
      </w:r>
    </w:p>
    <w:p>
      <w:pPr>
        <w:pStyle w:val="Normal"/>
      </w:pPr>
      <w:r>
        <w:t xml:space="preserve">In this analysis we assume all those who are missing a day 28 outcome are either a) alive or b) dead and calculate AUC for each severity score.</w:t>
      </w:r>
    </w:p>
    <w:bookmarkStart w:id="50" w:name="a-assume-all-missing-are-alive."/>
    <w:p>
      <w:pPr>
        <w:pStyle w:val="Heading3"/>
      </w:pPr>
      <w:r>
        <w:t xml:space="preserve">a) Assume all missing are alive.</w:t>
      </w:r>
    </w:p>
    <w:p xmlns:w14="http://schemas.microsoft.com/office/word/2010/wordml">
      <w:pPr>
        <w:pStyle w:val=""/>
        <w:jc w:val="center"/>
        <w:keepNext/>
      </w:pPr>
      <w:r>
        <w:t xml:space="preserve">Specificity (%) analysis (a) assuming all missing a day 28 outcome are alive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168"/>
        <w:gridCol w:w="2397"/>
        <w:gridCol w:w="1651"/>
        <w:gridCol w:w="2058"/>
      </w:tblGrid>
      <w:tr>
        <w:trPr>
          <w:trHeight w:val="405" w:hRule="auto"/>
          <w:tblHeader/>
        </w:trPr>
        header 1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Variable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lost to fup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, N = 3,057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Dead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, N = 185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Overall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, N = 3,242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2</w:t>
            </w:r>
          </w:p>
        </w:tc>
      </w:tr>
      <w:tr>
        <w:trPr>
          <w:trHeight w:val="236" w:hRule="auto"/>
        </w:trPr>
        body 1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uva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1,707 (99%)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 (1.3%)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1,730</w:t>
            </w:r>
          </w:p>
        </w:tc>
      </w:tr>
      <w:tr>
        <w:trPr>
          <w:trHeight w:val="298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470 (98%)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 (2.3%)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481</w:t>
            </w:r>
          </w:p>
        </w:tc>
      </w:tr>
      <w:tr>
        <w:trPr>
          <w:trHeight w:val="298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543 (92%)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49 (8.3%)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592</w:t>
            </w:r>
          </w:p>
        </w:tc>
      </w:tr>
      <w:tr>
        <w:trPr>
          <w:trHeight w:val="298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178 (84%)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 (16%)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213</w:t>
            </w:r>
          </w:p>
        </w:tc>
      </w:tr>
      <w:tr>
        <w:trPr>
          <w:trHeight w:val="298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86 (77%)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 (23%)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111</w:t>
            </w:r>
          </w:p>
        </w:tc>
      </w:tr>
      <w:tr>
        <w:trPr>
          <w:trHeight w:val="298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 (68%)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 (32%)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53</w:t>
            </w:r>
          </w:p>
        </w:tc>
      </w:tr>
      <w:tr>
        <w:trPr>
          <w:trHeight w:val="298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 (61%)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 (39%)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</w:t>
            </w:r>
          </w:p>
        </w:tc>
      </w:tr>
      <w:tr>
        <w:trPr>
          <w:trHeight w:val="298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 (58%)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 (42%)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</w:t>
            </w:r>
          </w:p>
        </w:tc>
      </w:tr>
      <w:tr>
        <w:trPr>
          <w:trHeight w:val="298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(50%)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(50%)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</w:tr>
      <w:tr>
        <w:trPr>
          <w:trHeight w:val="298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 (75%)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(25%)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</w:tr>
      <w:tr>
        <w:trPr>
          <w:trHeight w:val="298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(100%)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</w:tr>
      <w:tr>
        <w:trPr>
          <w:trHeight w:val="236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mews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681 (98%)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 (2.3%)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697</w:t>
            </w:r>
          </w:p>
        </w:tc>
      </w:tr>
      <w:tr>
        <w:trPr>
          <w:trHeight w:val="298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602 (96%)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 (4.1%)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628</w:t>
            </w:r>
          </w:p>
        </w:tc>
      </w:tr>
      <w:tr>
        <w:trPr>
          <w:trHeight w:val="298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616 (96%)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 (4.0%)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642</w:t>
            </w:r>
          </w:p>
        </w:tc>
      </w:tr>
      <w:tr>
        <w:trPr>
          <w:trHeight w:val="298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444 (93%)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 (6.9%)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477</w:t>
            </w:r>
          </w:p>
        </w:tc>
      </w:tr>
      <w:tr>
        <w:trPr>
          <w:trHeight w:val="298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306 (91%)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 (8.9%)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336</w:t>
            </w:r>
          </w:p>
        </w:tc>
      </w:tr>
      <w:tr>
        <w:trPr>
          <w:trHeight w:val="298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245 (94%)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 (6.5%)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262</w:t>
            </w:r>
          </w:p>
        </w:tc>
      </w:tr>
      <w:tr>
        <w:trPr>
          <w:trHeight w:val="298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114 (84%)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 (16%)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136</w:t>
            </w:r>
          </w:p>
        </w:tc>
      </w:tr>
      <w:tr>
        <w:trPr>
          <w:trHeight w:val="298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42 (88%)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 (13%)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</w:t>
            </w:r>
          </w:p>
        </w:tc>
      </w:tr>
      <w:tr>
        <w:trPr>
          <w:trHeight w:val="298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 (50%)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 (50%)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</w:t>
            </w:r>
          </w:p>
        </w:tc>
      </w:tr>
      <w:tr>
        <w:trPr>
          <w:trHeight w:val="298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(50%)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(50%)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</w:tr>
      <w:tr>
        <w:trPr>
          <w:trHeight w:val="298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(100%)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</w:tr>
      <w:tr>
        <w:trPr>
          <w:trHeight w:val="299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qsofa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1,653 (97%)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49 (2.9%)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1,702</w:t>
            </w:r>
          </w:p>
        </w:tc>
      </w:tr>
      <w:tr>
        <w:trPr>
          <w:trHeight w:val="298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1,188 (94%)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79 (6.2%)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1,267</w:t>
            </w:r>
          </w:p>
        </w:tc>
      </w:tr>
      <w:tr>
        <w:trPr>
          <w:trHeight w:val="298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214 (81%)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 (19%)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264</w:t>
            </w:r>
          </w:p>
        </w:tc>
      </w:tr>
      <w:tr>
        <w:trPr>
          <w:trHeight w:val="298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(22%)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 (78%)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</w:t>
            </w:r>
          </w:p>
        </w:tc>
      </w:tr>
      <w:tr>
        <w:trPr>
          <w:trHeight w:val="293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Age group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15 - &lt;25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919 (98%)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 (1.6%)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934</w:t>
            </w:r>
          </w:p>
        </w:tc>
      </w:tr>
      <w:tr>
        <w:trPr>
          <w:trHeight w:val="298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25 - &lt;35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863 (95%)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42 (4.6%)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905</w:t>
            </w:r>
          </w:p>
        </w:tc>
      </w:tr>
      <w:tr>
        <w:trPr>
          <w:trHeight w:val="298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35 - &lt;40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633 (93%)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45 (6.6%)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678</w:t>
            </w:r>
          </w:p>
        </w:tc>
      </w:tr>
      <w:tr>
        <w:trPr>
          <w:trHeight w:val="298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45 - &lt;55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309 (91%)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 (9.4%)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341</w:t>
            </w:r>
          </w:p>
        </w:tc>
      </w:tr>
      <w:tr>
        <w:trPr>
          <w:trHeight w:val="298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55 - &lt;65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196 (88%)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 (13%)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224</w:t>
            </w:r>
          </w:p>
        </w:tc>
      </w:tr>
      <w:tr>
        <w:trPr>
          <w:trHeight w:val="298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65+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137 (86%)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 (14%)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160</w:t>
            </w:r>
          </w:p>
        </w:tc>
      </w:tr>
      <w:tr>
        <w:trPr>
          <w:trHeight w:val="268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Gender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Female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1,852 (96%)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84 (4.3%)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1,936</w:t>
            </w:r>
          </w:p>
        </w:tc>
      </w:tr>
      <w:tr>
        <w:trPr>
          <w:trHeight w:val="298" w:hRule="auto"/>
        </w:trPr>
        body39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Male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1,205 (92%)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101 (7.7%)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1,306</w:t>
            </w:r>
          </w:p>
        </w:tc>
      </w:tr>
      <w:tr>
        <w:trPr>
          <w:trHeight w:val="360" w:hRule="auto"/>
        </w:trPr>
        footer 1
        <w:tc>
          <w:tcPr>
            <w:gridSpan w:val="4"/>
            <w:tcBorders>
              <w:bottom w:val="none" w:sz="0" w:space="0" w:color="FFFFFF"/>
              <w:top w:val="single" w:sz="8" w:space="0" w:color="000000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1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 (%)</w:t>
            </w:r>
          </w:p>
        </w:tc>
      </w:tr>
      <w:tr>
        <w:trPr>
          <w:trHeight w:val="360" w:hRule="auto"/>
        </w:trPr>
        footer 2
        <w:tc>
          <w:tcPr>
            <w:gridSpan w:val="4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2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</w:t>
            </w:r>
          </w:p>
        </w:tc>
      </w:tr>
    </w:tbl>
    <w:p>
      <w:pPr>
        <w:pStyle w:val="Normal"/>
      </w:pPr>
      <w:r>
        <w:t xml:space="preserve">DeLong test, a pairwise comparison test for the equality of the area under the curve between for those with day 28 outcome missing set to alive.</w:t>
      </w:r>
      <w:r>
        <w:br/>
      </w:r>
      <w:r>
        <w:t xml:space="preserve">1) UVA (AUC: 0.81, 95% CI: 0.78-0.85) vs. MEWS (AUC: 0.66, 95% CI: 0.62-0.7), Z = 6.7894453,</w:t>
      </w:r>
      <w:r>
        <w:t xml:space="preserve"> </w:t>
      </w:r>
      <w:r>
        <w:rPr>
          <w:i/>
          <w:iCs/>
        </w:rPr>
        <w:t xml:space="preserve">p-value</w:t>
      </w:r>
      <w:r>
        <w:t xml:space="preserve"> </w:t>
      </w:r>
      <w:r>
        <w:t xml:space="preserve">= 0.00000000001125655.</w:t>
      </w:r>
      <w:r>
        <w:br/>
      </w:r>
      <w:r>
        <w:t xml:space="preserve">2) UVA (AUC: 0.81, 95% CI: 0.78-0.85) vs. qSOFA (AUC: 0.68, 95% CI: 0.64-0.72), Z = 5.7773562,</w:t>
      </w:r>
      <w:r>
        <w:t xml:space="preserve"> </w:t>
      </w:r>
      <w:r>
        <w:rPr>
          <w:i/>
          <w:iCs/>
        </w:rPr>
        <w:t xml:space="preserve">p-value</w:t>
      </w:r>
      <w:r>
        <w:t xml:space="preserve"> </w:t>
      </w:r>
      <w:r>
        <w:t xml:space="preserve">= 0.000000007588353.</w:t>
      </w:r>
      <w:r>
        <w:br/>
      </w:r>
      <w:r>
        <w:t xml:space="preserve">3) MEWs (AUC: 0.66, 95% CI: 0.62-0.7) vs. qSOFA (AUC: 0.68, 95% CI: 0.64-0.72), Z = -1.0141277,</w:t>
      </w:r>
      <w:r>
        <w:t xml:space="preserve"> </w:t>
      </w:r>
      <w:r>
        <w:rPr>
          <w:i/>
          <w:iCs/>
        </w:rPr>
        <w:t xml:space="preserve">p-value</w:t>
      </w:r>
      <w:r>
        <w:t xml:space="preserve"> </w:t>
      </w:r>
      <w:r>
        <w:t xml:space="preserve">= 0.3105218.</w:t>
      </w:r>
    </w:p>
    <w:p>
      <w:r>
        <w:br w:type="page"/>
      </w:r>
    </w:p>
    <w:bookmarkEnd w:id="50"/>
    <w:bookmarkStart w:id="51" w:name="figure-s3"/>
    <w:p>
      <w:pPr>
        <w:pStyle w:val="Heading3"/>
      </w:pPr>
      <w:r>
        <w:t xml:space="preserve">Figure S3</w:t>
      </w:r>
    </w:p>
    <w:p>
      <w:pPr>
        <w:jc w:val="left"/>
        <w:pStyle w:val="Normal"/>
      </w:pPr>
      <w:r>
        <w:rPr/>
        <w:drawing>
          <wp:inline distT="0" distB="0" distL="0" distR="0">
            <wp:extent cx="8229600" cy="5486400"/>
            <wp:docPr id="37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"/>
      </w:pPr>
      <w:r>
        <w:rPr>
          <w:rFonts/>
          <w:b w:val="true"/>
        </w:rPr>
        <w:t xml:space="preserve"/>
      </w:r>
      <w:bookmarkStart w:id="98d334ee-14c0-43fa-a63b-91e71d06dac0" w:name="FigS3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98d334ee-14c0-43fa-a63b-91e71d06dac0"/>
      <w:r>
        <w:rPr>
          <w:rFonts/>
          <w:b w:val="true"/>
        </w:rPr>
        <w:t xml:space="preserve"/>
      </w:r>
      <w:r>
        <w:t xml:space="preserve">Figure S3: Sensitivity analysis ROC curves assuming all cases with missing data survived by follow-up, for a) MEWS, b) qSOFA and c) UVA severity scores for predicting mortality by time of follow-up among febrile participants (aged ≥15 years) enrolled between 2018 and 2021 across four sites (Lao PDR, Malawi, Mozambique, and Zimbabwe). ROC=receiver operating characteristic, AUC=area under the curve, MEWS=modified early warning score, qSOFA=quick sequential organ failure assessment, UVA=universal vital assessment score, CI=confidence interval.</w:t>
      </w:r>
    </w:p>
    <w:p>
      <w:r>
        <w:br w:type="page"/>
      </w:r>
    </w:p>
    <w:bookmarkEnd w:id="51"/>
    <w:bookmarkStart w:id="52" w:name="b-assume-all-missing-died."/>
    <w:p>
      <w:pPr>
        <w:pStyle w:val="Heading3"/>
      </w:pPr>
      <w:r>
        <w:t xml:space="preserve">b) Assume all missing died.</w:t>
      </w:r>
    </w:p>
    <w:p xmlns:w14="http://schemas.microsoft.com/office/word/2010/wordml">
      <w:pPr>
        <w:pStyle w:val=""/>
        <w:jc w:val="center"/>
        <w:keepNext/>
      </w:pPr>
      <w:r>
        <w:t xml:space="preserve">Specificity (%) analysis (a) assuming all missing a day 28 outcome died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168"/>
        <w:gridCol w:w="1812"/>
        <w:gridCol w:w="2210"/>
        <w:gridCol w:w="2058"/>
      </w:tblGrid>
      <w:tr>
        <w:trPr>
          <w:trHeight w:val="405" w:hRule="auto"/>
          <w:tblHeader/>
        </w:trPr>
        header 1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Variable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Alive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, N = 2,612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lost to fup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, N = 630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Overall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, N = 3,242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2</w:t>
            </w:r>
          </w:p>
        </w:tc>
      </w:tr>
      <w:tr>
        <w:trPr>
          <w:trHeight w:val="236" w:hRule="auto"/>
        </w:trPr>
        body 1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uva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1,488 (86%)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242 (14%)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1,730</w:t>
            </w:r>
          </w:p>
        </w:tc>
      </w:tr>
      <w:tr>
        <w:trPr>
          <w:trHeight w:val="298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405 (84%)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 (16%)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481</w:t>
            </w:r>
          </w:p>
        </w:tc>
      </w:tr>
      <w:tr>
        <w:trPr>
          <w:trHeight w:val="298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452 (76%)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140 (24%)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592</w:t>
            </w:r>
          </w:p>
        </w:tc>
      </w:tr>
      <w:tr>
        <w:trPr>
          <w:trHeight w:val="298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142 (67%)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 (33%)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213</w:t>
            </w:r>
          </w:p>
        </w:tc>
      </w:tr>
      <w:tr>
        <w:trPr>
          <w:trHeight w:val="298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 (60%)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44 (40%)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111</w:t>
            </w:r>
          </w:p>
        </w:tc>
      </w:tr>
      <w:tr>
        <w:trPr>
          <w:trHeight w:val="298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 (53%)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 (47%)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53</w:t>
            </w:r>
          </w:p>
        </w:tc>
      </w:tr>
      <w:tr>
        <w:trPr>
          <w:trHeight w:val="298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 (46%)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 (54%)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</w:t>
            </w:r>
          </w:p>
        </w:tc>
      </w:tr>
      <w:tr>
        <w:trPr>
          <w:trHeight w:val="298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 (58%)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 (42%)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</w:t>
            </w:r>
          </w:p>
        </w:tc>
      </w:tr>
      <w:tr>
        <w:trPr>
          <w:trHeight w:val="298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(50%)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(50%)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</w:tr>
      <w:tr>
        <w:trPr>
          <w:trHeight w:val="298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(50%)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(50%)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</w:tr>
      <w:tr>
        <w:trPr>
          <w:trHeight w:val="298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(100%)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</w:tr>
      <w:tr>
        <w:trPr>
          <w:trHeight w:val="236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mews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583 (84%)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114 (16%)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697</w:t>
            </w:r>
          </w:p>
        </w:tc>
      </w:tr>
      <w:tr>
        <w:trPr>
          <w:trHeight w:val="298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536 (85%)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92 (15%)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628</w:t>
            </w:r>
          </w:p>
        </w:tc>
      </w:tr>
      <w:tr>
        <w:trPr>
          <w:trHeight w:val="298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529 (82%)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113 (18%)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642</w:t>
            </w:r>
          </w:p>
        </w:tc>
      </w:tr>
      <w:tr>
        <w:trPr>
          <w:trHeight w:val="298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372 (78%)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105 (22%)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477</w:t>
            </w:r>
          </w:p>
        </w:tc>
      </w:tr>
      <w:tr>
        <w:trPr>
          <w:trHeight w:val="298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257 (76%)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79 (24%)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336</w:t>
            </w:r>
          </w:p>
        </w:tc>
      </w:tr>
      <w:tr>
        <w:trPr>
          <w:trHeight w:val="298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 (77%)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 (23%)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262</w:t>
            </w:r>
          </w:p>
        </w:tc>
      </w:tr>
      <w:tr>
        <w:trPr>
          <w:trHeight w:val="298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94 (69%)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42 (31%)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136</w:t>
            </w:r>
          </w:p>
        </w:tc>
      </w:tr>
      <w:tr>
        <w:trPr>
          <w:trHeight w:val="298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 (69%)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 (31%)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</w:t>
            </w:r>
          </w:p>
        </w:tc>
      </w:tr>
      <w:tr>
        <w:trPr>
          <w:trHeight w:val="298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 (50%)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 (50%)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</w:t>
            </w:r>
          </w:p>
        </w:tc>
      </w:tr>
      <w:tr>
        <w:trPr>
          <w:trHeight w:val="298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(50%)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(50%)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</w:tr>
      <w:tr>
        <w:trPr>
          <w:trHeight w:val="298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(100%)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</w:tr>
      <w:tr>
        <w:trPr>
          <w:trHeight w:val="299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qsofa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1,387 (81%)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315 (19%)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1,702</w:t>
            </w:r>
          </w:p>
        </w:tc>
      </w:tr>
      <w:tr>
        <w:trPr>
          <w:trHeight w:val="298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1,047 (83%)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220 (17%)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1,267</w:t>
            </w:r>
          </w:p>
        </w:tc>
      </w:tr>
      <w:tr>
        <w:trPr>
          <w:trHeight w:val="298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176 (67%)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88 (33%)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264</w:t>
            </w:r>
          </w:p>
        </w:tc>
      </w:tr>
      <w:tr>
        <w:trPr>
          <w:trHeight w:val="298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(22%)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 (78%)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</w:t>
            </w:r>
          </w:p>
        </w:tc>
      </w:tr>
      <w:tr>
        <w:trPr>
          <w:trHeight w:val="293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Age group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15 - &lt;25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769 (82%)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165 (18%)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934</w:t>
            </w:r>
          </w:p>
        </w:tc>
      </w:tr>
      <w:tr>
        <w:trPr>
          <w:trHeight w:val="298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25 - &lt;35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740 (82%)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165 (18%)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905</w:t>
            </w:r>
          </w:p>
        </w:tc>
      </w:tr>
      <w:tr>
        <w:trPr>
          <w:trHeight w:val="298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35 - &lt;40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545 (80%)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133 (20%)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678</w:t>
            </w:r>
          </w:p>
        </w:tc>
      </w:tr>
      <w:tr>
        <w:trPr>
          <w:trHeight w:val="298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45 - &lt;55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269 (79%)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72 (21%)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341</w:t>
            </w:r>
          </w:p>
        </w:tc>
      </w:tr>
      <w:tr>
        <w:trPr>
          <w:trHeight w:val="298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55 - &lt;65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169 (75%)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55 (25%)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224</w:t>
            </w:r>
          </w:p>
        </w:tc>
      </w:tr>
      <w:tr>
        <w:trPr>
          <w:trHeight w:val="298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65+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120 (75%)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 (25%)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160</w:t>
            </w:r>
          </w:p>
        </w:tc>
      </w:tr>
      <w:tr>
        <w:trPr>
          <w:trHeight w:val="268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Gender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298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Female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1,600 (83%)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336 (17%)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1,936</w:t>
            </w:r>
          </w:p>
        </w:tc>
      </w:tr>
      <w:tr>
        <w:trPr>
          <w:trHeight w:val="298" w:hRule="auto"/>
        </w:trPr>
        body39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Male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1,012 (77%)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294 (23%)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1,306</w:t>
            </w:r>
          </w:p>
        </w:tc>
      </w:tr>
      <w:tr>
        <w:trPr>
          <w:trHeight w:val="360" w:hRule="auto"/>
        </w:trPr>
        footer 1
        <w:tc>
          <w:tcPr>
            <w:gridSpan w:val="4"/>
            <w:tcBorders>
              <w:bottom w:val="none" w:sz="0" w:space="0" w:color="FFFFFF"/>
              <w:top w:val="single" w:sz="8" w:space="0" w:color="000000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1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 (%)</w:t>
            </w:r>
          </w:p>
        </w:tc>
      </w:tr>
      <w:tr>
        <w:trPr>
          <w:trHeight w:val="360" w:hRule="auto"/>
        </w:trPr>
        footer 2
        <w:tc>
          <w:tcPr>
            <w:gridSpan w:val="4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2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</w:t>
            </w:r>
          </w:p>
        </w:tc>
      </w:tr>
    </w:tbl>
    <w:p>
      <w:pPr>
        <w:pStyle w:val="Normal"/>
      </w:pPr>
      <w:r>
        <w:t xml:space="preserve">DeLong test, a pairwise comparison test for the equality of the area under the curve between for those with day 28 outcome missing set to dead.</w:t>
      </w:r>
      <w:r>
        <w:br/>
      </w:r>
      <w:r>
        <w:t xml:space="preserve">1) UVA (AUC: 0.63, 95% CI: 0.6-0.65) vs. MEWS (AUC: 0.57, 95% CI: 0.55-0.6), Z = 4.0699353,</w:t>
      </w:r>
      <w:r>
        <w:t xml:space="preserve"> </w:t>
      </w:r>
      <w:r>
        <w:rPr>
          <w:i/>
          <w:iCs/>
        </w:rPr>
        <w:t xml:space="preserve">p-value</w:t>
      </w:r>
      <w:r>
        <w:t xml:space="preserve"> </w:t>
      </w:r>
      <w:r>
        <w:t xml:space="preserve">= 0.00004702619.</w:t>
      </w:r>
      <w:r>
        <w:br/>
      </w:r>
      <w:r>
        <w:t xml:space="preserve">2) UVA (AUC: 0.63, 95% CI: 0.6-0.65) vs. qSOFA (AUC: 0.53, 95% CI: 0.51-0.56), Z = 6.8870486,</w:t>
      </w:r>
      <w:r>
        <w:t xml:space="preserve"> </w:t>
      </w:r>
      <w:r>
        <w:rPr>
          <w:i/>
          <w:iCs/>
        </w:rPr>
        <w:t xml:space="preserve">p-value</w:t>
      </w:r>
      <w:r>
        <w:t xml:space="preserve"> </w:t>
      </w:r>
      <w:r>
        <w:t xml:space="preserve">= 0.000000000005696175.</w:t>
      </w:r>
      <w:r>
        <w:br/>
      </w:r>
      <w:r>
        <w:t xml:space="preserve">3) MEWs (AUC: 0.57, 95% CI: 0.55-0.6) vs. qSOFA (AUC: 0.53, 95% CI: 0.51-0.56), Z = 3.1778952,</w:t>
      </w:r>
      <w:r>
        <w:t xml:space="preserve"> </w:t>
      </w:r>
      <w:r>
        <w:rPr>
          <w:i/>
          <w:iCs/>
        </w:rPr>
        <w:t xml:space="preserve">p-value</w:t>
      </w:r>
      <w:r>
        <w:t xml:space="preserve"> </w:t>
      </w:r>
      <w:r>
        <w:t xml:space="preserve">= 0.001483484.</w:t>
      </w:r>
    </w:p>
    <w:p>
      <w:r>
        <w:br w:type="page"/>
      </w:r>
    </w:p>
    <w:bookmarkEnd w:id="52"/>
    <w:bookmarkStart w:id="53" w:name="figure-s4"/>
    <w:p>
      <w:pPr>
        <w:pStyle w:val="Heading3"/>
      </w:pPr>
      <w:r>
        <w:t xml:space="preserve">Figure S4</w:t>
      </w:r>
    </w:p>
    <w:p>
      <w:pPr>
        <w:jc w:val="left"/>
        <w:pStyle w:val="Normal"/>
      </w:pPr>
      <w:r>
        <w:rPr/>
        <w:drawing>
          <wp:inline distT="0" distB="0" distL="0" distR="0">
            <wp:extent cx="8229600" cy="5486400"/>
            <wp:docPr id="39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"/>
      </w:pPr>
      <w:r>
        <w:rPr>
          <w:rFonts/>
          <w:b w:val="true"/>
        </w:rPr>
        <w:t xml:space="preserve"/>
      </w:r>
      <w:bookmarkStart w:id="bab0146c-1141-4479-a533-f015d76ba905" w:name="FigS4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bab0146c-1141-4479-a533-f015d76ba905"/>
      <w:r>
        <w:rPr>
          <w:rFonts/>
          <w:b w:val="true"/>
        </w:rPr>
        <w:t xml:space="preserve"/>
      </w:r>
      <w:r>
        <w:t xml:space="preserve">Figure S4: Sensitivity analysis ROC curves assuming all cases with missing data died by follow-up, for a) MEWS, b) qSOFA and c) UVA severity scores for predicting mortality by time of follow-up among febrile participants (aged ≥15 years) enrolled between 2018 and 2021 across four sites (Lao PDR, Malawi, Mozambique, and Zimbabwe). ROC=receiver operating characteristic, AUC=area under the curve, MEWS=modified early warning score, qSOFA=quick sequential organ failure assessment, UVA=universal vital assessment score, CI=confidence interval.</w:t>
      </w:r>
    </w:p>
    <w:p>
      <w:r>
        <w:br w:type="page"/>
      </w:r>
    </w:p>
    <w:bookmarkEnd w:id="53"/>
    <w:bookmarkEnd w:id="54"/>
    <w:bookmarkStart w:id="55" w:name="figure-s5-rocs-for-inpatients"/>
    <w:p>
      <w:pPr>
        <w:pStyle w:val="Heading2"/>
      </w:pPr>
      <w:r>
        <w:t xml:space="preserve">Figure S5: ROCs for inpatients</w:t>
      </w:r>
    </w:p>
    <w:p>
      <w:pPr>
        <w:jc w:val="left"/>
        <w:pStyle w:val="Normal"/>
      </w:pPr>
      <w:r>
        <w:rPr/>
        <w:drawing>
          <wp:inline distT="0" distB="0" distL="0" distR="0">
            <wp:extent cx="8229600" cy="5486400"/>
            <wp:docPr id="4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"/>
      </w:pPr>
      <w:r>
        <w:rPr>
          <w:rFonts/>
          <w:b w:val="true"/>
        </w:rPr>
        <w:t xml:space="preserve"/>
      </w:r>
      <w:bookmarkStart w:id="38016c0d-3e24-4936-a91a-e58e62a4bc71" w:name="FigS5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38016c0d-3e24-4936-a91a-e58e62a4bc71"/>
      <w:r>
        <w:rPr>
          <w:rFonts/>
          <w:b w:val="true"/>
        </w:rPr>
        <w:t xml:space="preserve"/>
      </w:r>
      <w:r>
        <w:t xml:space="preserve">Inpatient ROC curves for a) MEWS, b) qSOFA and c) UVA severity scores for predicting mortality by time of follow-up among febrile participants (aged ≥15 years) enrolled between 2018 and 2021 across four sites (Lao PDR, Malawi, Mozambique, and Zimbabwe). ROC=receiver operating characteristic, AUC=area under the curve, MEWS=modified early warning score, qSOFA=quick sequential organ failure assessment, UVA=universal vital assessment score, CI=confidence interval.</w:t>
      </w:r>
    </w:p>
    <w:p>
      <w:pPr>
        <w:pStyle w:val="BodyText"/>
      </w:pPr>
      <w:r>
        <w:t xml:space="preserve">DeLong test, for inpatients.</w:t>
      </w:r>
      <w:r>
        <w:br/>
      </w:r>
      <w:r>
        <w:t xml:space="preserve">1) UVA (AUC: 0.75, 95% CI: 0.72-0.79) vs. MEWS (AUC: 0.62, 95% CI: 0.57-0.67), Z = 5.2504646,</w:t>
      </w:r>
      <w:r>
        <w:t xml:space="preserve"> </w:t>
      </w:r>
      <w:r>
        <w:rPr>
          <w:i/>
          <w:iCs/>
        </w:rPr>
        <w:t xml:space="preserve">p-value</w:t>
      </w:r>
      <w:r>
        <w:t xml:space="preserve"> </w:t>
      </w:r>
      <w:r>
        <w:t xml:space="preserve">= 0.000000151716.</w:t>
      </w:r>
      <w:r>
        <w:br/>
      </w:r>
      <w:r>
        <w:t xml:space="preserve">2) UVA (AUC: 0.75, 95% CI: 0.72-0.79) vs. qSOFA (AUC: 0.64, 95% CI: 0.6-0.69), Z = 4.4455883,</w:t>
      </w:r>
      <w:r>
        <w:t xml:space="preserve"> </w:t>
      </w:r>
      <w:r>
        <w:rPr>
          <w:i/>
          <w:iCs/>
        </w:rPr>
        <w:t xml:space="preserve">p-value</w:t>
      </w:r>
      <w:r>
        <w:t xml:space="preserve"> </w:t>
      </w:r>
      <w:r>
        <w:t xml:space="preserve">= 0.000008765166.</w:t>
      </w:r>
      <w:r>
        <w:br/>
      </w:r>
      <w:r>
        <w:t xml:space="preserve">3) MEWs (AUC: 0.62, 95% CI: 0.57-0.67) vs. qSOFA (AUC: 0.64, 95% CI: 0.6-0.69), Z = -0.9294984,</w:t>
      </w:r>
      <w:r>
        <w:t xml:space="preserve"> </w:t>
      </w:r>
      <w:r>
        <w:rPr>
          <w:i/>
          <w:iCs/>
        </w:rPr>
        <w:t xml:space="preserve">p-value</w:t>
      </w:r>
      <w:r>
        <w:t xml:space="preserve"> </w:t>
      </w:r>
      <w:r>
        <w:t xml:space="preserve">= 0.3526308.</w:t>
      </w:r>
    </w:p>
    <w:p>
      <w:r>
        <w:br w:type="page"/>
      </w:r>
    </w:p>
    <w:bookmarkEnd w:id="55"/>
    <w:bookmarkStart w:id="56" w:name="figure-s6-rocs-for-outpatients"/>
    <w:p>
      <w:pPr>
        <w:pStyle w:val="Heading2"/>
      </w:pPr>
      <w:r>
        <w:t xml:space="preserve">Figure S6: ROCs for Outpatients</w:t>
      </w:r>
    </w:p>
    <w:p>
      <w:pPr>
        <w:jc w:val="left"/>
        <w:pStyle w:val="Normal"/>
      </w:pPr>
      <w:r>
        <w:rPr/>
        <w:drawing>
          <wp:inline distT="0" distB="0" distL="0" distR="0">
            <wp:extent cx="8229600" cy="5486400"/>
            <wp:docPr id="4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"/>
      </w:pPr>
      <w:r>
        <w:rPr>
          <w:rFonts/>
          <w:b w:val="true"/>
        </w:rPr>
        <w:t xml:space="preserve"/>
      </w:r>
      <w:bookmarkStart w:id="2863643d-68f6-45df-97bf-cb695ed0111e" w:name="FigS6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2863643d-68f6-45df-97bf-cb695ed0111e"/>
      <w:r>
        <w:rPr>
          <w:rFonts/>
          <w:b w:val="true"/>
        </w:rPr>
        <w:t xml:space="preserve"/>
      </w:r>
      <w:r>
        <w:t xml:space="preserve">Outpatient ROC curves for a) MEWS, b) qSOFA and c) UVA severity scores for predicting mortality by time of follow-up among febrile participants (aged ≥15 years) enrolled between 2018 and 2021 across four sites (Lao PDR, Malawi, Mozambique, and Zimbabwe). ROC=receiver operating characteristic, AUC=area under the curve, MEWS=modified early warning score, qSOFA=quick sequential organ failure assessment, UVA=universal vital assessment score, CI=confidence interval.</w:t>
      </w:r>
    </w:p>
    <w:p>
      <w:pPr>
        <w:pStyle w:val="BodyText"/>
      </w:pPr>
      <w:r>
        <w:t xml:space="preserve">DeLong test, for outpatients.</w:t>
      </w:r>
      <w:r>
        <w:br/>
      </w:r>
      <w:r>
        <w:t xml:space="preserve">1) UVA (AUC: 0.76, 95% CI: 0.61-0.91) vs. MEWS (AUC: 0.64, 95% CI: 0.53-0.76), Z = 1.9274789,</w:t>
      </w:r>
      <w:r>
        <w:t xml:space="preserve"> </w:t>
      </w:r>
      <w:r>
        <w:rPr>
          <w:i/>
          <w:iCs/>
        </w:rPr>
        <w:t xml:space="preserve">p-value</w:t>
      </w:r>
      <w:r>
        <w:t xml:space="preserve"> </w:t>
      </w:r>
      <w:r>
        <w:t xml:space="preserve">= 0.05391998.</w:t>
      </w:r>
      <w:r>
        <w:br/>
      </w:r>
      <w:r>
        <w:t xml:space="preserve">2) UVA (AUC: 0.76, 95% CI: 0.61-0.91) vs. qSOFA (AUC: 0.59, 95% CI: 0.46-0.72), Z = 1.9434827,</w:t>
      </w:r>
      <w:r>
        <w:t xml:space="preserve"> </w:t>
      </w:r>
      <w:r>
        <w:rPr>
          <w:i/>
          <w:iCs/>
        </w:rPr>
        <w:t xml:space="preserve">p-value</w:t>
      </w:r>
      <w:r>
        <w:t xml:space="preserve"> </w:t>
      </w:r>
      <w:r>
        <w:t xml:space="preserve">= 0.05195786.</w:t>
      </w:r>
      <w:r>
        <w:br/>
      </w:r>
      <w:r>
        <w:t xml:space="preserve">3) MEWs (AUC: 0.64, 95% CI: 0.53-0.76) vs. qSOFA (AUC: 0.59, 95% CI: 0.46-0.72), Z = 0.5630701,</w:t>
      </w:r>
      <w:r>
        <w:t xml:space="preserve"> </w:t>
      </w:r>
      <w:r>
        <w:rPr>
          <w:i/>
          <w:iCs/>
        </w:rPr>
        <w:t xml:space="preserve">p-value</w:t>
      </w:r>
      <w:r>
        <w:t xml:space="preserve"> </w:t>
      </w:r>
      <w:r>
        <w:t xml:space="preserve">= 0.5733871.</w:t>
      </w:r>
    </w:p>
    <w:p>
      <w:r>
        <w:br w:type="page"/>
      </w:r>
    </w:p>
    <w:bookmarkEnd w:id="56"/>
    <w:bookmarkStart w:id="57" w:name="figure-s7-laos-rocs"/>
    <w:p>
      <w:pPr>
        <w:pStyle w:val="Heading2"/>
      </w:pPr>
      <w:r>
        <w:t xml:space="preserve">Figure S7: Laos ROCs</w:t>
      </w:r>
    </w:p>
    <w:p>
      <w:pPr>
        <w:jc w:val="left"/>
        <w:pStyle w:val="Normal"/>
      </w:pPr>
      <w:r>
        <w:rPr/>
        <w:drawing>
          <wp:inline distT="0" distB="0" distL="0" distR="0">
            <wp:extent cx="7315200" cy="4572000"/>
            <wp:docPr id="4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"/>
      </w:pPr>
      <w:r>
        <w:rPr>
          <w:rFonts/>
          <w:b w:val="true"/>
        </w:rPr>
        <w:t xml:space="preserve"/>
      </w:r>
      <w:bookmarkStart w:id="bedb2b2f-edf6-4859-b802-e0f7e84861dc" w:name="FigS7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bedb2b2f-edf6-4859-b802-e0f7e84861dc"/>
      <w:r>
        <w:rPr>
          <w:rFonts/>
          <w:b w:val="true"/>
        </w:rPr>
        <w:t xml:space="preserve"/>
      </w:r>
      <w:r>
        <w:t xml:space="preserve">Lao PDR ROC curves for a) MEWS, b) qSOFA and c) UVA severity scores for predicting mortality by time of follow-up among febrile participants (aged ≥15 years) enrolled between 2018 and 2021. ROC=receiver operating characteristic, AUC=area under the curve, MEWS=modified early warning score, qSOFA=quick sequential organ failure assessment, UVA=universal vital assessment score, CI=confidence interval.</w:t>
      </w:r>
    </w:p>
    <w:p>
      <w:pPr>
        <w:pStyle w:val="BodyText"/>
      </w:pPr>
      <w:r>
        <w:t xml:space="preserve">DeLong test for Laos site;</w:t>
      </w:r>
      <w:r>
        <w:br/>
      </w:r>
      <w:r>
        <w:t xml:space="preserve">1) UVA (AUC:0.85, 95% CI: 0.75-0.94) vs. MEWS (AUC:0.72, 95% CI: 0.61-0.82), Z = 0.6039,</w:t>
      </w:r>
      <w:r>
        <w:t xml:space="preserve"> </w:t>
      </w:r>
      <w:r>
        <w:rPr>
          <w:i/>
          <w:iCs/>
        </w:rPr>
        <w:t xml:space="preserve">p-value</w:t>
      </w:r>
      <w:r>
        <w:t xml:space="preserve"> </w:t>
      </w:r>
      <w:r>
        <w:t xml:space="preserve">= 0.01925943.</w:t>
      </w:r>
      <w:r>
        <w:br/>
      </w:r>
      <w:r>
        <w:t xml:space="preserve">2) UVA (AUC:0.85, 95% CI: 0.75-0.94) vs. qSOFA (AUC:0.82, 95% CI: 0.74-0.9), Z = 0.6039,</w:t>
      </w:r>
      <w:r>
        <w:t xml:space="preserve"> </w:t>
      </w:r>
      <w:r>
        <w:rPr>
          <w:i/>
          <w:iCs/>
        </w:rPr>
        <w:t xml:space="preserve">p-value</w:t>
      </w:r>
      <w:r>
        <w:t xml:space="preserve"> </w:t>
      </w:r>
      <w:r>
        <w:t xml:space="preserve">= 0.5459102.</w:t>
      </w:r>
      <w:r>
        <w:br/>
      </w:r>
      <w:r>
        <w:t xml:space="preserve">3) MEWs (AUC:0.72, 95% CI: 0.61-0.82) vs. qSOFA (AUC:0.82, 95% CI: 0.74-0.9), Z = -2.4901909,</w:t>
      </w:r>
      <w:r>
        <w:t xml:space="preserve"> </w:t>
      </w:r>
      <w:r>
        <w:rPr>
          <w:i/>
          <w:iCs/>
        </w:rPr>
        <w:t xml:space="preserve">p-value</w:t>
      </w:r>
      <w:r>
        <w:t xml:space="preserve"> </w:t>
      </w:r>
      <w:r>
        <w:t xml:space="preserve">= 0.01276745.</w:t>
      </w:r>
    </w:p>
    <w:p>
      <w:r>
        <w:br w:type="page"/>
      </w:r>
    </w:p>
    <w:bookmarkEnd w:id="57"/>
    <w:bookmarkStart w:id="58" w:name="figure-s8-malawi-rocs"/>
    <w:p>
      <w:pPr>
        <w:pStyle w:val="Heading2"/>
      </w:pPr>
      <w:r>
        <w:t xml:space="preserve">Figure S8: Malawi ROCs</w:t>
      </w:r>
    </w:p>
    <w:p>
      <w:pPr>
        <w:jc w:val="left"/>
        <w:pStyle w:val="Normal"/>
      </w:pPr>
      <w:r>
        <w:rPr/>
        <w:drawing>
          <wp:inline distT="0" distB="0" distL="0" distR="0">
            <wp:extent cx="7315200" cy="4572000"/>
            <wp:docPr id="47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"/>
      </w:pPr>
      <w:r>
        <w:rPr>
          <w:rFonts/>
          <w:b w:val="true"/>
        </w:rPr>
        <w:t xml:space="preserve"/>
      </w:r>
      <w:bookmarkStart w:id="787a113d-600a-4d7b-ac95-b1f0d1740e01" w:name="FigS8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787a113d-600a-4d7b-ac95-b1f0d1740e01"/>
      <w:r>
        <w:rPr>
          <w:rFonts/>
          <w:b w:val="true"/>
        </w:rPr>
        <w:t xml:space="preserve"/>
      </w:r>
      <w:r>
        <w:t xml:space="preserve"> </w:t>
      </w:r>
      <w:r>
        <w:t xml:space="preserve">Malawi ROC curves for a) MEWS, b) qSOFA and c) UVA severity scores for predicting mortality by time of follow-up among febrile participants (aged ≥15 years) enrolled between 2018 and 2021. ROC=receiver operating characteristic, AUC=area under the curve, MEWS=modified early warning score, qSOFA=quick sequential organ failure assessment, UVA=universal vital assessment score, CI=confidence interval</w:t>
      </w:r>
    </w:p>
    <w:p>
      <w:pPr>
        <w:pStyle w:val="BodyText"/>
      </w:pPr>
      <w:r>
        <w:t xml:space="preserve">DeLong test for Malawi site;</w:t>
      </w:r>
      <w:r>
        <w:br/>
      </w:r>
      <w:r>
        <w:t xml:space="preserve">1) UVA (AUC:0.85, 95% CI: 0.73-0.96) vs. MEWS (AUC:0.74, 95% CI: 0.59-0.88), Z = 1.5701774,</w:t>
      </w:r>
      <w:r>
        <w:t xml:space="preserve"> </w:t>
      </w:r>
      <w:r>
        <w:rPr>
          <w:i/>
          <w:iCs/>
        </w:rPr>
        <w:t xml:space="preserve">p-value</w:t>
      </w:r>
      <w:r>
        <w:t xml:space="preserve"> </w:t>
      </w:r>
      <w:r>
        <w:t xml:space="preserve">= 0.1163738.</w:t>
      </w:r>
      <w:r>
        <w:br/>
      </w:r>
      <w:r>
        <w:t xml:space="preserve">2) UVA (AUC:0.85, 95% CI: 0.73-0.96) vs. qSOFA (AUC:0.79, 95% CI: 0.68-0.9), Z = 1.0308086,</w:t>
      </w:r>
      <w:r>
        <w:t xml:space="preserve"> </w:t>
      </w:r>
      <w:r>
        <w:rPr>
          <w:i/>
          <w:iCs/>
        </w:rPr>
        <w:t xml:space="preserve">p-value</w:t>
      </w:r>
      <w:r>
        <w:t xml:space="preserve"> </w:t>
      </w:r>
      <w:r>
        <w:t xml:space="preserve">= 0.3026306.</w:t>
      </w:r>
      <w:r>
        <w:br/>
      </w:r>
      <w:r>
        <w:t xml:space="preserve">3) MEWs (AUC:0.74, 95% CI: 0.59-0.88) vs. qSOFA (AUC:0.79, 95% CI: 0.68-0.9), Z = -0.8673957,</w:t>
      </w:r>
      <w:r>
        <w:t xml:space="preserve"> </w:t>
      </w:r>
      <w:r>
        <w:rPr>
          <w:i/>
          <w:iCs/>
        </w:rPr>
        <w:t xml:space="preserve">p-value</w:t>
      </w:r>
      <w:r>
        <w:t xml:space="preserve"> </w:t>
      </w:r>
      <w:r>
        <w:t xml:space="preserve">= 0.3857252.</w:t>
      </w:r>
    </w:p>
    <w:p>
      <w:r>
        <w:br w:type="page"/>
      </w:r>
    </w:p>
    <w:bookmarkEnd w:id="58"/>
    <w:bookmarkStart w:id="59" w:name="figure-s9-mozambique-rocs"/>
    <w:p>
      <w:pPr>
        <w:pStyle w:val="Heading2"/>
      </w:pPr>
      <w:r>
        <w:t xml:space="preserve">Figure S9: Mozambique ROCs</w:t>
      </w:r>
    </w:p>
    <w:p>
      <w:pPr>
        <w:jc w:val="left"/>
        <w:pStyle w:val="Normal"/>
      </w:pPr>
      <w:r>
        <w:rPr/>
        <w:drawing>
          <wp:inline distT="0" distB="0" distL="0" distR="0">
            <wp:extent cx="7315200" cy="4572000"/>
            <wp:docPr id="49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"/>
      </w:pPr>
      <w:r>
        <w:rPr>
          <w:rFonts/>
          <w:b w:val="true"/>
        </w:rPr>
        <w:t xml:space="preserve"/>
      </w:r>
      <w:bookmarkStart w:id="d100e542-48c4-4bbd-847e-5de5417e04bd" w:name="FigS9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d100e542-48c4-4bbd-847e-5de5417e04bd"/>
      <w:r>
        <w:rPr>
          <w:rFonts/>
          <w:b w:val="true"/>
        </w:rPr>
        <w:t xml:space="preserve"/>
      </w:r>
      <w:r>
        <w:t xml:space="preserve">Mozambique ROC curves for a) MEWS, b) qSOFA and c) UVA severity scores for predicting mortality by time of follow-up among febrile participants (aged ≥15 years) enrolled between 2018 and 2021. ROC=receiver operating characteristic, AUC=area under the curve, MEWS=modified early warning score, qSOFA=quick sequential organ failure assessment, UVA=universal vital assessment score, CI=confidence interval</w:t>
      </w:r>
    </w:p>
    <w:p>
      <w:pPr>
        <w:pStyle w:val="BodyText"/>
      </w:pPr>
      <w:r>
        <w:t xml:space="preserve">DeLong test for Mozambique site;</w:t>
      </w:r>
      <w:r>
        <w:br/>
      </w:r>
      <w:r>
        <w:t xml:space="preserve">1) UVA (AUC:0.76, 95% CI: 0.71-0.82) vs. MEWS (AUC:0.7, 95% CI: 0.64-0.76), Z = 2.0180635,</w:t>
      </w:r>
      <w:r>
        <w:t xml:space="preserve"> </w:t>
      </w:r>
      <w:r>
        <w:rPr>
          <w:i/>
          <w:iCs/>
        </w:rPr>
        <w:t xml:space="preserve">p-value</w:t>
      </w:r>
      <w:r>
        <w:t xml:space="preserve"> </w:t>
      </w:r>
      <w:r>
        <w:t xml:space="preserve">= 0.04358464.</w:t>
      </w:r>
      <w:r>
        <w:br/>
      </w:r>
      <w:r>
        <w:t xml:space="preserve">2) UVA (AUC:0.76, 95% CI: 0.71-0.82) vs. qSOFA (AUC:0.74, 95% CI: 0.69-0.8), Z = 0.7017259,</w:t>
      </w:r>
      <w:r>
        <w:t xml:space="preserve"> </w:t>
      </w:r>
      <w:r>
        <w:rPr>
          <w:i/>
          <w:iCs/>
        </w:rPr>
        <w:t xml:space="preserve">p-value</w:t>
      </w:r>
      <w:r>
        <w:t xml:space="preserve"> </w:t>
      </w:r>
      <w:r>
        <w:t xml:space="preserve">= 0.4828501.</w:t>
      </w:r>
      <w:r>
        <w:br/>
      </w:r>
      <w:r>
        <w:t xml:space="preserve">3) MEWs (AUC:0.7, 95% CI: 0.64-0.76) vs. qSOFA (AUC:0.74, 95% CI: 0.69-0.8), Z = -1.5575884,</w:t>
      </w:r>
      <w:r>
        <w:t xml:space="preserve"> </w:t>
      </w:r>
      <w:r>
        <w:rPr>
          <w:i/>
          <w:iCs/>
        </w:rPr>
        <w:t xml:space="preserve">p-value</w:t>
      </w:r>
      <w:r>
        <w:t xml:space="preserve"> </w:t>
      </w:r>
      <w:r>
        <w:t xml:space="preserve">= 0.1193308.</w:t>
      </w:r>
    </w:p>
    <w:p>
      <w:r>
        <w:br w:type="page"/>
      </w:r>
    </w:p>
    <w:bookmarkEnd w:id="59"/>
    <w:bookmarkStart w:id="60" w:name="figure-s10-zimbabwe-rocs"/>
    <w:p>
      <w:pPr>
        <w:pStyle w:val="Heading2"/>
      </w:pPr>
      <w:r>
        <w:t xml:space="preserve">Figure S10: Zimbabwe ROCs</w:t>
      </w:r>
    </w:p>
    <w:p>
      <w:pPr>
        <w:jc w:val="left"/>
        <w:pStyle w:val="Normal"/>
      </w:pPr>
      <w:r>
        <w:rPr/>
        <w:drawing>
          <wp:inline distT="0" distB="0" distL="0" distR="0">
            <wp:extent cx="7315200" cy="4572000"/>
            <wp:docPr id="5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"/>
      </w:pPr>
      <w:r>
        <w:rPr>
          <w:rFonts/>
          <w:b w:val="true"/>
        </w:rPr>
        <w:t xml:space="preserve"/>
      </w:r>
      <w:bookmarkStart w:id="425f3507-828c-46fb-b0a7-995d993dd6d2" w:name="FigS10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425f3507-828c-46fb-b0a7-995d993dd6d2"/>
      <w:r>
        <w:rPr>
          <w:rFonts/>
          <w:b w:val="true"/>
        </w:rPr>
        <w:t xml:space="preserve"/>
      </w:r>
      <w:r>
        <w:t xml:space="preserve">Zimbabwe ROC curves for a) MEWS, b) qSOFA and c) UVA severity scores for predicting mortality by time of follow-up among febrile participants (aged ≥15 years) enrolled between 2018 and 2021. ROC=receiver operating characteristic, AUC=area under the curve, MEWS=modified early warning score, qSOFA=quick sequential organ failure assessment, UVA=universal vital assessment score, CI=confidence interval</w:t>
      </w:r>
    </w:p>
    <w:p>
      <w:pPr>
        <w:pStyle w:val="BodyText"/>
      </w:pPr>
      <w:r>
        <w:t xml:space="preserve">DeLong test for Zimbabwe site;</w:t>
      </w:r>
      <w:r>
        <w:br/>
      </w:r>
      <w:r>
        <w:t xml:space="preserve">1) UVA (AUC:0.82, 95% CI: 0.77-0.87) vs. MEWS (AUC:0.57, 95% CI: 0.5-0.65), Z = 5.9873309,</w:t>
      </w:r>
      <w:r>
        <w:t xml:space="preserve"> </w:t>
      </w:r>
      <w:r>
        <w:rPr>
          <w:i/>
          <w:iCs/>
        </w:rPr>
        <w:t xml:space="preserve">p-value</w:t>
      </w:r>
      <w:r>
        <w:t xml:space="preserve"> </w:t>
      </w:r>
      <w:r>
        <w:t xml:space="preserve">= 0.000000002133125.</w:t>
      </w:r>
      <w:r>
        <w:br/>
      </w:r>
      <w:r>
        <w:t xml:space="preserve">2) UVA (AUC:0.82, 95% CI: 0.77-0.87) vs. qSOFA (AUC:0.6, 95% CI: 0.53-0.68), Z = 5.2376128,</w:t>
      </w:r>
      <w:r>
        <w:t xml:space="preserve"> </w:t>
      </w:r>
      <w:r>
        <w:rPr>
          <w:i/>
          <w:iCs/>
        </w:rPr>
        <w:t xml:space="preserve">p-value</w:t>
      </w:r>
      <w:r>
        <w:t xml:space="preserve"> </w:t>
      </w:r>
      <w:r>
        <w:t xml:space="preserve">= 0.0000001626669.</w:t>
      </w:r>
      <w:r>
        <w:br/>
      </w:r>
      <w:r>
        <w:t xml:space="preserve">3) MEWs (AUC:0.57, 95% CI: 0.5-0.65) vs. qSOFA (AUC:0.6, 95% CI: 0.53-0.68), Z = -0.7623093,</w:t>
      </w:r>
      <w:r>
        <w:t xml:space="preserve"> </w:t>
      </w:r>
      <w:r>
        <w:rPr>
          <w:i/>
          <w:iCs/>
        </w:rPr>
        <w:t xml:space="preserve">p-value</w:t>
      </w:r>
      <w:r>
        <w:t xml:space="preserve"> </w:t>
      </w:r>
      <w:r>
        <w:t xml:space="preserve">= 0.4458754.</w:t>
      </w:r>
    </w:p>
    <w:p>
      <w:r>
        <w:br w:type="page"/>
      </w:r>
    </w:p>
    <w:bookmarkEnd w:id="60"/>
    <w:bookmarkStart w:id="61" w:name="figure-s11-mews-hiv-rocs"/>
    <w:p>
      <w:pPr>
        <w:pStyle w:val="Heading2"/>
      </w:pPr>
      <w:r>
        <w:t xml:space="preserve">Figure S11: MEWS + HIV ROCs</w:t>
      </w:r>
    </w:p>
    <w:p>
      <w:pPr>
        <w:jc w:val="left"/>
        <w:pStyle w:val="Normal"/>
      </w:pPr>
      <w:r>
        <w:rPr/>
        <w:drawing>
          <wp:inline distT="0" distB="0" distL="0" distR="0">
            <wp:extent cx="7315200" cy="4572000"/>
            <wp:docPr id="5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"/>
      </w:pPr>
      <w:r>
        <w:rPr>
          <w:rFonts/>
          <w:b w:val="true"/>
        </w:rPr>
        <w:t xml:space="preserve"/>
      </w:r>
      <w:bookmarkStart w:id="d7b7d8c9-68d0-4b30-9cba-462517552cad" w:name="FigS11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d7b7d8c9-68d0-4b30-9cba-462517552cad"/>
      <w:r>
        <w:rPr>
          <w:rFonts/>
          <w:b w:val="true"/>
        </w:rPr>
        <w:t xml:space="preserve"/>
      </w:r>
      <w:r>
        <w:t xml:space="preserve">ROC curves for A) MEWS, B) MEWS + HIV and C) UVA score for predicting mortality by time of follow-up among febrile participants (aged ≥15 years) enrolled between 2018 and 2021 across four sites (Lao PDR, Malawi, Mozambique, and Zimbabwe). ROC=receiver operating characteristic, AUC=area under the curve, MEWS=modified early warning score, UVA=universal vital assessment score, CI=confidence interval.</w:t>
      </w:r>
    </w:p>
    <w:p>
      <w:r>
        <w:br w:type="page"/>
      </w:r>
    </w:p>
    <w:bookmarkEnd w:id="61"/>
    <w:bookmarkStart w:id="62" w:name="figure-s12-qsofa-hiv-rocs"/>
    <w:p>
      <w:pPr>
        <w:pStyle w:val="Heading2"/>
      </w:pPr>
      <w:r>
        <w:t xml:space="preserve">Figure S12: qSOFA + HIV ROCs</w:t>
      </w:r>
    </w:p>
    <w:p>
      <w:pPr>
        <w:jc w:val="left"/>
        <w:pStyle w:val="Normal"/>
      </w:pPr>
      <w:r>
        <w:rPr/>
        <w:drawing>
          <wp:inline distT="0" distB="0" distL="0" distR="0">
            <wp:extent cx="7315200" cy="4572000"/>
            <wp:docPr id="5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"/>
      </w:pPr>
      <w:r>
        <w:rPr>
          <w:rFonts/>
          <w:b w:val="true"/>
        </w:rPr>
        <w:t xml:space="preserve"/>
      </w:r>
      <w:bookmarkStart w:id="ef268bc2-e3eb-4813-86cc-94eba26432ab" w:name="FigS12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ef268bc2-e3eb-4813-86cc-94eba26432ab"/>
      <w:r>
        <w:rPr>
          <w:rFonts/>
          <w:b w:val="true"/>
        </w:rPr>
        <w:t xml:space="preserve"/>
      </w:r>
      <w:r>
        <w:t xml:space="preserve">ROC curves for A) qSOFA, B) qSOFA + HIV and C) UVA score for predicting mortality by time of follow-up among febrile participants (aged ≥15 years) enrolled between 2018 and 2021 across four sites (Lao PDR, Malawi, Mozambique, and Zimbabwe). ROC=receiver operating characteristic, AUC=area under the curve, qSOFA= quick sequential organ failure assessment, UVA=universal vital assessment score, CI=confidence interval.</w:t>
      </w:r>
    </w:p>
    <w:p>
      <w:pPr>
        <w:sectPr w:officer="true">
          <w:pgSz w:h="11906" w:w="16838" w:orient="landscape"/>
          <w:type w:val="oddPage"/>
          <w:cols/>
          <w:pgMar w:header="288" w:bottom="720" w:top="720" w:right="1440" w:left="1440" w:footer="288" w:gutter="288"/>
        </w:sectPr>
      </w:pPr>
    </w:p>
    <w:p>
      <w:r>
        <w:br w:type="page"/>
      </w:r>
    </w:p>
    <w:bookmarkEnd w:id="62"/>
    <w:bookmarkStart w:id="63" w:name="table-5-all-auc-results"/>
    <w:p>
      <w:pPr>
        <w:pStyle w:val="Heading2"/>
      </w:pPr>
      <w:r>
        <w:t xml:space="preserve">Table 5: All AUC results</w:t>
      </w:r>
    </w:p>
    <w:p xmlns:w14="http://schemas.microsoft.com/office/word/2010/wordml">
      <w:pPr>
        <w:pStyle w:val=""/>
        <w:jc w:val="center"/>
        <w:keepNext/>
      </w:pPr>
      <w:r>
        <w:t xml:space="preserve">Comparative performance of MEWS, qSOFA and UVA scores and subgroup analyses in predicting mortality at time of follow-up of participants (aged ≥15 years) across four sites (Lao PDR, Malawi, Mozambique, and Zimbabwe). AUC=Area under the curve, MEWS=modified early warning score, qSOFA=quick sequential organ failure assessment, UVA=universal vital assessment score, CI=confidence intervals. 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gridSpan w:val="3"/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Severity score AUC (95% CI)</w:t>
            </w:r>
          </w:p>
        </w:tc>
      </w:tr>
      <w:tr>
        <w:trPr>
          <w:trHeight w:val="360" w:hRule="auto"/>
          <w:tblHeader/>
        </w:trPr>
        header2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analysis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MEWS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qSOFA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UVA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complete_data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(0.63-0.71)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0.68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(0.64-0.72)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0.82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(0.79-0.85)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sensitivity_alive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0.66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(0.62-0.7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0.68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(0.64-0.72)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0.81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(0.78-0.85)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sensitivity_dead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(0.55-0.6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0.53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(0.51-0.56)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0.63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(0.6-0.65)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inpatients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(0.57-0.67)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0.64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(0.6-0.69)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0.75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(0.72-0.79)</w:t>
            </w:r>
          </w:p>
        </w:tc>
      </w:tr>
      <w:tr>
        <w:trPr>
          <w:trHeight w:val="360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outpatients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0.64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(0.53-0.76)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(0.46-0.72)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0.76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(0.61-0.91)</w:t>
            </w:r>
          </w:p>
        </w:tc>
      </w:tr>
      <w:tr>
        <w:trPr>
          <w:trHeight w:val="360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laos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0.72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(0.61-0.82)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0.82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(0.74-0.9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0.85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(0.75-0.94)</w:t>
            </w:r>
          </w:p>
        </w:tc>
      </w:tr>
      <w:tr>
        <w:trPr>
          <w:trHeight w:val="360" w:hRule="auto"/>
        </w:trPr>
        body7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malawi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0.74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(0.59-0.88)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(0.68-0.9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0.85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(0.73-0.96)</w:t>
            </w:r>
          </w:p>
        </w:tc>
      </w:tr>
      <w:tr>
        <w:trPr>
          <w:trHeight w:val="360" w:hRule="auto"/>
        </w:trPr>
        body8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moz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(0.64-0.76)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0.74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(0.69-0.8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0.76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(0.71-0.82)</w:t>
            </w:r>
          </w:p>
        </w:tc>
      </w:tr>
      <w:tr>
        <w:trPr>
          <w:trHeight w:val="360" w:hRule="auto"/>
        </w:trPr>
        body9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zw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(0.5-0.65)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(0.53-0.68)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0" w:right="0" w:firstLine="0" w:firstLineChars="0"/>
            </w:pP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0.82</w:t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Tahom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(0.77-0.87)</w:t>
            </w:r>
          </w:p>
        </w:tc>
      </w:tr>
    </w:tbl>
    <w:bookmarkEnd w:id="63"/>
    <w:sectPr w:officer="true">
      <w:pgMar w:header="288" w:bottom="720" w:top="720" w:right="1440" w:left="1440" w:footer="288" w:gutter="288"/>
      <w:pgSz w:h="16848" w:w="11952" w:orient="portrait"/>
      <w:type w:val="continuous"/>
      <w:cols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DC68A" w14:textId="4AA8DCF2" w:rsidR="00C26857" w:rsidRDefault="00C26857" w:rsidP="002B02D6">
    <w:pPr>
      <w:pStyle w:val="FootnoteText"/>
    </w:pPr>
    <w:r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>
      <w:t>1</w:t>
    </w:r>
    <w:r>
      <w:fldChar w:fldCharType="end"/>
    </w:r>
    <w:r w:rsidR="001F126C">
      <w:t xml:space="preserve"> </w:t>
    </w:r>
    <w:r>
      <w:t xml:space="preserve">of </w:t>
    </w:r>
    <w:r w:rsidR="00F85AF5">
      <w:fldChar w:fldCharType="begin"/>
    </w:r>
    <w:r w:rsidR="00F85AF5">
      <w:instrText xml:space="preserve"> NUMPAGES  \* MERGEFORMAT </w:instrText>
    </w:r>
    <w:r w:rsidR="00F85AF5">
      <w:fldChar w:fldCharType="separate"/>
    </w:r>
    <w:r>
      <w:t>2</w:t>
    </w:r>
    <w:r w:rsidR="00F85AF5">
      <w:fldChar w:fldCharType="end"/>
    </w:r>
  </w:p>
  <w:p w14:paraId="1029EA77" w14:textId="77777777" w:rsidR="00C26857" w:rsidRDefault="00C26857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1C72F" w14:textId="06CDB8E0" w:rsidR="00C26857" w:rsidRPr="00D53F83" w:rsidRDefault="005B5ADA" w:rsidP="001F126C">
    <w:pPr>
      <w:pStyle w:val="FootnoteText"/>
      <w:jc w:val="left"/>
    </w:pPr>
    <w:fldSimple w:instr=" FILENAME  \* MERGEFORMAT ">
      <w:r w:rsidR="00D53F83" w:rsidRPr="00D53F83">
        <w:t>reference.docx</w:t>
      </w:r>
    </w:fldSimple>
    <w:r w:rsidR="001F126C">
      <w:tab/>
    </w:r>
    <w:r w:rsidR="001F126C">
      <w:tab/>
    </w:r>
    <w:r w:rsidR="001F126C">
      <w:tab/>
    </w:r>
    <w:r w:rsidR="001F126C">
      <w:tab/>
    </w:r>
    <w:r w:rsidR="001F126C">
      <w:tab/>
    </w:r>
    <w:r w:rsidR="001F126C">
      <w:tab/>
    </w:r>
    <w:r w:rsidR="001F126C">
      <w:tab/>
    </w:r>
    <w:r w:rsidR="001F126C">
      <w:tab/>
    </w:r>
    <w:r w:rsidR="002B6115">
      <w:tab/>
    </w:r>
    <w:r w:rsidR="002B6115">
      <w:tab/>
    </w:r>
    <w:r w:rsidR="00153E08">
      <w:fldChar w:fldCharType="begin"/>
    </w:r>
    <w:r w:rsidR="00153E08">
      <w:instrText xml:space="preserve"> DATE \@ "dddd, MMMM d, yyyy" </w:instrText>
    </w:r>
    <w:r w:rsidR="00153E08">
      <w:fldChar w:fldCharType="separate"/>
    </w:r>
    <w:r w:rsidR="00B31B2D">
      <w:rPr>
        <w:noProof/>
      </w:rPr>
      <w:t>Thursday, September 23, 2021</w:t>
    </w:r>
    <w:r w:rsidR="00153E08">
      <w:fldChar w:fldCharType="end"/>
    </w:r>
    <w:r w:rsidR="001F126C">
      <w:tab/>
    </w: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1D362794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C2B6613C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C73C0424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106E940E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AA981FCC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434E5CE0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6DB8B062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1354BBF2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6D3C1688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A46C4550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70CD2DE"/>
    <w:multiLevelType w:val="multilevel"/>
    <w:tmpl w:val="8DCAFC6A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1">
    <w:nsid w:val="2C1AE401"/>
    <w:multiLevelType w:val="multilevel"/>
    <w:tmpl w:val="0C80CD0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">
    <w:abstractNumId w:val="10"/>
  </w:num>
  <w:num w:numId="2">
    <w:abstractNumId w:val="10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8"/>
  </w:num>
  <w:num w:numId="8">
    <w:abstractNumId w:val="4"/>
  </w:num>
  <w:num w:numId="9">
    <w:abstractNumId w:val="5"/>
  </w:num>
  <w:num w:numId="10">
    <w:abstractNumId w:val="6"/>
  </w:num>
  <w:num w:numId="11">
    <w:abstractNumId w:val="7"/>
  </w:num>
  <w:num w:numId="12">
    <w:abstractNumId w:val="9"/>
  </w:num>
  <w:num w:numId="1000">
    <w:abstractNumId w:val="990"/>
  </w:num>
</w:numbering>
</file>

<file path=word/settings.xml><?xml version="1.0" encoding="utf-8"?>
<w:settings xmlns:w="http://schemas.openxmlformats.org/wordprocessingml/2006/main">
  <w:zoom w:percent="163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141333"/>
    <w:pPr>
      <w:spacing w:after="0"/>
    </w:pPr>
    <w:rPr>
      <w:rFonts w:asciiTheme="majorHAnsi" w:hAnsiTheme="majorHAnsi"/>
      <w:color w:themeColor="text1" w:val="000000"/>
      <w:sz w:val="18"/>
    </w:rPr>
  </w:style>
  <w:style w:styleId="Heading1" w:type="paragraph">
    <w:name w:val="heading 1"/>
    <w:basedOn w:val="Normal"/>
    <w:next w:val="BodyText"/>
    <w:uiPriority w:val="9"/>
    <w:qFormat/>
    <w:rsid w:val="00153E08"/>
    <w:pPr>
      <w:keepNext/>
      <w:keepLines/>
      <w:pageBreakBefore/>
      <w:spacing w:after="300" w:before="300"/>
      <w:outlineLvl w:val="0"/>
    </w:pPr>
    <w:rPr>
      <w:rFonts w:cstheme="majorBidi" w:eastAsiaTheme="majorEastAsia"/>
      <w:b/>
      <w:bCs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B31B2D"/>
    <w:pPr>
      <w:keepNext/>
      <w:keepLines/>
      <w:pageBreakBefore/>
      <w:spacing w:after="300" w:before="300"/>
      <w:outlineLvl w:val="1"/>
    </w:pPr>
    <w:rPr>
      <w:rFonts w:cstheme="majorBidi" w:eastAsiaTheme="majorEastAsia"/>
      <w:b/>
      <w:bCs/>
      <w:sz w:val="22"/>
      <w:szCs w:val="32"/>
    </w:rPr>
  </w:style>
  <w:style w:styleId="Heading3" w:type="paragraph">
    <w:name w:val="heading 3"/>
    <w:basedOn w:val="Normal"/>
    <w:next w:val="BodyText"/>
    <w:uiPriority w:val="9"/>
    <w:unhideWhenUsed/>
    <w:qFormat/>
    <w:rsid w:val="00BF0E33"/>
    <w:pPr>
      <w:keepNext/>
      <w:keepLines/>
      <w:spacing w:before="200"/>
      <w:outlineLvl w:val="2"/>
    </w:pPr>
    <w:rPr>
      <w:rFonts w:cstheme="majorBidi" w:eastAsiaTheme="majorEastAsia"/>
      <w:b/>
      <w:bCs/>
      <w:i/>
      <w:szCs w:val="28"/>
    </w:rPr>
  </w:style>
  <w:style w:styleId="Heading4" w:type="paragraph">
    <w:name w:val="heading 4"/>
    <w:basedOn w:val="Normal"/>
    <w:next w:val="BodyText"/>
    <w:uiPriority w:val="9"/>
    <w:unhideWhenUsed/>
    <w:qFormat/>
    <w:rsid w:val="00F86ACB"/>
    <w:pPr>
      <w:keepNext/>
      <w:keepLines/>
      <w:spacing w:before="200"/>
      <w:outlineLvl w:val="3"/>
    </w:pPr>
    <w:rPr>
      <w:rFonts w:cstheme="majorBidi" w:eastAsiaTheme="majorEastAsia"/>
      <w:b/>
      <w:bCs/>
      <w:sz w:val="24"/>
    </w:rPr>
  </w:style>
  <w:style w:styleId="Heading5" w:type="paragraph">
    <w:name w:val="heading 5"/>
    <w:basedOn w:val="Normal"/>
    <w:next w:val="BodyText"/>
    <w:uiPriority w:val="9"/>
    <w:unhideWhenUsed/>
    <w:qFormat/>
    <w:rsid w:val="00F86ACB"/>
    <w:pPr>
      <w:keepNext/>
      <w:keepLines/>
      <w:spacing w:before="200"/>
      <w:outlineLvl w:val="4"/>
    </w:pPr>
    <w:rPr>
      <w:rFonts w:cstheme="majorBidi" w:eastAsiaTheme="majorEastAsia"/>
      <w:b/>
      <w:iCs/>
      <w:sz w:val="24"/>
    </w:rPr>
  </w:style>
  <w:style w:styleId="Heading6" w:type="paragraph">
    <w:name w:val="heading 6"/>
    <w:basedOn w:val="Normal"/>
    <w:next w:val="BodyText"/>
    <w:uiPriority w:val="9"/>
    <w:unhideWhenUsed/>
    <w:qFormat/>
    <w:rsid w:val="00C26857"/>
    <w:pPr>
      <w:keepNext/>
      <w:keepLines/>
      <w:spacing w:before="200"/>
      <w:outlineLvl w:val="5"/>
    </w:pPr>
    <w:rPr>
      <w:rFonts w:cstheme="majorBidi" w:eastAsiaTheme="majorEastAsia"/>
      <w:sz w:val="24"/>
    </w:rPr>
  </w:style>
  <w:style w:styleId="Heading7" w:type="paragraph">
    <w:name w:val="heading 7"/>
    <w:basedOn w:val="Normal"/>
    <w:next w:val="BodyText"/>
    <w:uiPriority w:val="9"/>
    <w:unhideWhenUsed/>
    <w:qFormat/>
    <w:rsid w:val="00C26857"/>
    <w:pPr>
      <w:keepNext/>
      <w:keepLines/>
      <w:spacing w:before="200"/>
      <w:outlineLvl w:val="6"/>
    </w:pPr>
    <w:rPr>
      <w:rFonts w:cstheme="majorBidi" w:eastAsiaTheme="majorEastAsia"/>
      <w:sz w:val="24"/>
    </w:rPr>
  </w:style>
  <w:style w:styleId="Heading8" w:type="paragraph">
    <w:name w:val="heading 8"/>
    <w:basedOn w:val="Normal"/>
    <w:next w:val="BodyText"/>
    <w:uiPriority w:val="9"/>
    <w:unhideWhenUsed/>
    <w:qFormat/>
    <w:rsid w:val="00C26857"/>
    <w:pPr>
      <w:keepNext/>
      <w:keepLines/>
      <w:spacing w:before="200"/>
      <w:outlineLvl w:val="7"/>
    </w:pPr>
    <w:rPr>
      <w:rFonts w:cstheme="majorBidi" w:eastAsiaTheme="majorEastAsia"/>
      <w:sz w:val="24"/>
    </w:rPr>
  </w:style>
  <w:style w:styleId="Heading9" w:type="paragraph">
    <w:name w:val="heading 9"/>
    <w:basedOn w:val="Normal"/>
    <w:next w:val="BodyText"/>
    <w:uiPriority w:val="9"/>
    <w:unhideWhenUsed/>
    <w:qFormat/>
    <w:rsid w:val="00C26857"/>
    <w:pPr>
      <w:keepNext/>
      <w:keepLines/>
      <w:spacing w:before="200"/>
      <w:outlineLvl w:val="8"/>
    </w:pPr>
    <w:rPr>
      <w:rFonts w:cstheme="majorBidi" w:eastAsiaTheme="majorEastAsia"/>
      <w:sz w:val="24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  <w:rsid w:val="00C26857"/>
  </w:style>
  <w:style w:customStyle="1" w:styleId="Compact" w:type="paragraph">
    <w:name w:val="Compact"/>
    <w:basedOn w:val="BodyText"/>
    <w:qFormat/>
    <w:rsid w:val="00D24B7D"/>
    <w:pPr>
      <w:spacing w:after="0" w:before="0"/>
    </w:pPr>
  </w:style>
  <w:style w:styleId="Title" w:type="paragraph">
    <w:name w:val="Title"/>
    <w:basedOn w:val="Normal"/>
    <w:next w:val="BodyText"/>
    <w:qFormat/>
    <w:rsid w:val="00C26857"/>
    <w:pPr>
      <w:keepNext/>
      <w:keepLines/>
      <w:spacing w:after="240" w:before="480"/>
      <w:jc w:val="center"/>
    </w:pPr>
    <w:rPr>
      <w:rFonts w:cstheme="majorBidi" w:eastAsiaTheme="majorEastAsia"/>
      <w:b/>
      <w:bCs/>
      <w:sz w:val="36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</w:pPr>
    <w:rPr>
      <w:rFonts w:cstheme="majorBidi" w:eastAsiaTheme="majorEastAsia"/>
      <w:bCs/>
      <w:szCs w:val="20"/>
    </w:rPr>
  </w:style>
  <w:style w:styleId="FootnoteText" w:type="paragraph">
    <w:name w:val="footnote text"/>
    <w:basedOn w:val="Normal"/>
    <w:uiPriority w:val="9"/>
    <w:unhideWhenUsed/>
    <w:qFormat/>
    <w:rsid w:val="002B02D6"/>
    <w:pPr>
      <w:jc w:val="right"/>
    </w:pPr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customStyle="1" w:styleId="DefinitionTerm" w:type="paragraph">
    <w:name w:val="Definition Term"/>
    <w:basedOn w:val="Normal"/>
    <w:next w:val="Definition"/>
    <w:pPr>
      <w:keepNext/>
      <w:keepLines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sid w:val="00BE29C7"/>
    <w:rPr>
      <w:rFonts w:ascii="Courier New" w:hAnsi="Courier New"/>
      <w:color w:themeColor="text1" w:val="000000"/>
      <w:sz w:val="18"/>
    </w:rPr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rsid w:val="00F172B4"/>
    <w:pPr>
      <w:pageBreakBefore w:val="0"/>
      <w:spacing w:before="240"/>
      <w:outlineLvl w:val="9"/>
    </w:pPr>
    <w:rPr>
      <w:b w:val="0"/>
      <w:bCs w:val="0"/>
    </w:rPr>
  </w:style>
  <w:style w:customStyle="1" w:styleId="SourceCode" w:type="paragraph">
    <w:name w:val="Source Code"/>
    <w:basedOn w:val="Normal"/>
    <w:link w:val="VerbatimChar"/>
    <w:rsid w:val="00BE29C7"/>
    <w:pPr>
      <w:wordWrap w:val="0"/>
    </w:pPr>
    <w:rPr>
      <w:rFonts w:ascii="Courier New" w:hAnsi="Courier New"/>
    </w:rPr>
  </w:style>
  <w:style w:customStyle="1" w:styleId="KeywordTok" w:type="character">
    <w:name w:val="KeywordTok"/>
    <w:basedOn w:val="VerbatimChar"/>
    <w:rPr>
      <w:rFonts w:ascii="Consolas" w:hAnsi="Consolas"/>
      <w:b/>
      <w:color w:val="007020"/>
      <w:sz w:val="22"/>
    </w:rPr>
  </w:style>
  <w:style w:customStyle="1" w:styleId="DataTypeTok" w:type="character">
    <w:name w:val="DataTypeTok"/>
    <w:basedOn w:val="VerbatimChar"/>
    <w:rPr>
      <w:rFonts w:ascii="Consolas" w:hAnsi="Consolas"/>
      <w:color w:val="902000"/>
      <w:sz w:val="22"/>
    </w:rPr>
  </w:style>
  <w:style w:customStyle="1" w:styleId="DecValTok" w:type="character">
    <w:name w:val="DecValTok"/>
    <w:basedOn w:val="VerbatimChar"/>
    <w:rPr>
      <w:rFonts w:ascii="Consolas" w:hAnsi="Consolas"/>
      <w:color w:val="40A070"/>
      <w:sz w:val="22"/>
    </w:rPr>
  </w:style>
  <w:style w:customStyle="1" w:styleId="BaseNTok" w:type="character">
    <w:name w:val="BaseNTok"/>
    <w:basedOn w:val="VerbatimChar"/>
    <w:rPr>
      <w:rFonts w:ascii="Consolas" w:hAnsi="Consolas"/>
      <w:color w:val="40A070"/>
      <w:sz w:val="22"/>
    </w:rPr>
  </w:style>
  <w:style w:customStyle="1" w:styleId="FloatTok" w:type="character">
    <w:name w:val="FloatTok"/>
    <w:basedOn w:val="VerbatimChar"/>
    <w:rPr>
      <w:rFonts w:ascii="Consolas" w:hAnsi="Consolas"/>
      <w:color w:val="40A070"/>
      <w:sz w:val="22"/>
    </w:rPr>
  </w:style>
  <w:style w:customStyle="1" w:styleId="ConstantTok" w:type="character">
    <w:name w:val="ConstantTok"/>
    <w:basedOn w:val="VerbatimChar"/>
    <w:rPr>
      <w:rFonts w:ascii="Consolas" w:hAnsi="Consolas"/>
      <w:color w:val="880000"/>
      <w:sz w:val="22"/>
    </w:rPr>
  </w:style>
  <w:style w:customStyle="1" w:styleId="CharTok" w:type="character">
    <w:name w:val="CharTok"/>
    <w:basedOn w:val="VerbatimChar"/>
    <w:rPr>
      <w:rFonts w:ascii="Consolas" w:hAnsi="Consolas"/>
      <w:color w:val="4070A0"/>
      <w:sz w:val="22"/>
    </w:rPr>
  </w:style>
  <w:style w:customStyle="1" w:styleId="SpecialCharTok" w:type="character">
    <w:name w:val="SpecialCharTok"/>
    <w:basedOn w:val="VerbatimChar"/>
    <w:rPr>
      <w:rFonts w:ascii="Consolas" w:hAnsi="Consolas"/>
      <w:color w:val="4070A0"/>
      <w:sz w:val="22"/>
    </w:rPr>
  </w:style>
  <w:style w:customStyle="1" w:styleId="StringTok" w:type="character">
    <w:name w:val="StringTok"/>
    <w:basedOn w:val="VerbatimChar"/>
    <w:rPr>
      <w:rFonts w:ascii="Consolas" w:hAnsi="Consolas"/>
      <w:color w:val="4070A0"/>
      <w:sz w:val="22"/>
    </w:rPr>
  </w:style>
  <w:style w:customStyle="1" w:styleId="VerbatimStringTok" w:type="character">
    <w:name w:val="VerbatimStringTok"/>
    <w:basedOn w:val="VerbatimChar"/>
    <w:rPr>
      <w:rFonts w:ascii="Consolas" w:hAnsi="Consolas"/>
      <w:color w:val="4070A0"/>
      <w:sz w:val="22"/>
    </w:rPr>
  </w:style>
  <w:style w:customStyle="1" w:styleId="SpecialStringTok" w:type="character">
    <w:name w:val="SpecialStringTok"/>
    <w:basedOn w:val="VerbatimChar"/>
    <w:rPr>
      <w:rFonts w:ascii="Consolas" w:hAnsi="Consolas"/>
      <w:color w:val="BB6688"/>
      <w:sz w:val="22"/>
    </w:rPr>
  </w:style>
  <w:style w:customStyle="1" w:styleId="ImportTok" w:type="character">
    <w:name w:val="ImportTok"/>
    <w:basedOn w:val="VerbatimChar"/>
    <w:rPr>
      <w:rFonts w:ascii="Consolas" w:hAnsi="Consolas"/>
      <w:color w:themeColor="text1" w:val="000000"/>
      <w:sz w:val="22"/>
    </w:rPr>
  </w:style>
  <w:style w:customStyle="1" w:styleId="CommentTok" w:type="character">
    <w:name w:val="CommentTok"/>
    <w:basedOn w:val="VerbatimChar"/>
    <w:rPr>
      <w:rFonts w:ascii="Consolas" w:hAnsi="Consolas"/>
      <w:i/>
      <w:color w:val="60A0B0"/>
      <w:sz w:val="22"/>
    </w:rPr>
  </w:style>
  <w:style w:customStyle="1" w:styleId="DocumentationTok" w:type="character">
    <w:name w:val="DocumentationTok"/>
    <w:basedOn w:val="VerbatimChar"/>
    <w:rPr>
      <w:rFonts w:ascii="Consolas" w:hAnsi="Consolas"/>
      <w:i/>
      <w:color w:val="BA2121"/>
      <w:sz w:val="22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60A0B0"/>
      <w:sz w:val="22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60A0B0"/>
      <w:sz w:val="22"/>
    </w:rPr>
  </w:style>
  <w:style w:customStyle="1" w:styleId="OtherTok" w:type="character">
    <w:name w:val="OtherTok"/>
    <w:basedOn w:val="VerbatimChar"/>
    <w:rPr>
      <w:rFonts w:ascii="Consolas" w:hAnsi="Consolas"/>
      <w:color w:val="007020"/>
      <w:sz w:val="22"/>
    </w:rPr>
  </w:style>
  <w:style w:customStyle="1" w:styleId="FunctionTok" w:type="character">
    <w:name w:val="FunctionTok"/>
    <w:basedOn w:val="VerbatimChar"/>
    <w:rPr>
      <w:rFonts w:ascii="Consolas" w:hAnsi="Consolas"/>
      <w:color w:val="06287E"/>
      <w:sz w:val="22"/>
    </w:rPr>
  </w:style>
  <w:style w:customStyle="1" w:styleId="VariableTok" w:type="character">
    <w:name w:val="VariableTok"/>
    <w:basedOn w:val="VerbatimChar"/>
    <w:rPr>
      <w:rFonts w:ascii="Consolas" w:hAnsi="Consolas"/>
      <w:color w:val="19177C"/>
      <w:sz w:val="22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007020"/>
      <w:sz w:val="22"/>
    </w:rPr>
  </w:style>
  <w:style w:customStyle="1" w:styleId="OperatorTok" w:type="character">
    <w:name w:val="OperatorTok"/>
    <w:basedOn w:val="VerbatimChar"/>
    <w:rPr>
      <w:rFonts w:ascii="Consolas" w:hAnsi="Consolas"/>
      <w:color w:val="666666"/>
      <w:sz w:val="22"/>
    </w:rPr>
  </w:style>
  <w:style w:customStyle="1" w:styleId="BuiltInTok" w:type="character">
    <w:name w:val="BuiltInTok"/>
    <w:basedOn w:val="VerbatimChar"/>
    <w:rPr>
      <w:rFonts w:ascii="Consolas" w:hAnsi="Consolas"/>
      <w:color w:themeColor="text1" w:val="000000"/>
      <w:sz w:val="22"/>
    </w:rPr>
  </w:style>
  <w:style w:customStyle="1" w:styleId="ExtensionTok" w:type="character">
    <w:name w:val="ExtensionTok"/>
    <w:basedOn w:val="VerbatimChar"/>
    <w:rPr>
      <w:rFonts w:ascii="Consolas" w:hAnsi="Consolas"/>
      <w:color w:themeColor="text1" w:val="000000"/>
      <w:sz w:val="22"/>
    </w:rPr>
  </w:style>
  <w:style w:customStyle="1" w:styleId="PreprocessorTok" w:type="character">
    <w:name w:val="PreprocessorTok"/>
    <w:basedOn w:val="VerbatimChar"/>
    <w:rPr>
      <w:rFonts w:ascii="Consolas" w:hAnsi="Consolas"/>
      <w:color w:val="BC7A00"/>
      <w:sz w:val="22"/>
    </w:rPr>
  </w:style>
  <w:style w:customStyle="1" w:styleId="AttributeTok" w:type="character">
    <w:name w:val="AttributeTok"/>
    <w:basedOn w:val="VerbatimChar"/>
    <w:rPr>
      <w:rFonts w:ascii="Consolas" w:hAnsi="Consolas"/>
      <w:color w:val="7D9029"/>
      <w:sz w:val="22"/>
    </w:rPr>
  </w:style>
  <w:style w:customStyle="1" w:styleId="RegionMarkerTok" w:type="character">
    <w:name w:val="RegionMarkerTok"/>
    <w:basedOn w:val="VerbatimChar"/>
    <w:rPr>
      <w:rFonts w:ascii="Consolas" w:hAnsi="Consolas"/>
      <w:color w:themeColor="text1" w:val="000000"/>
      <w:sz w:val="22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60A0B0"/>
      <w:sz w:val="22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60A0B0"/>
      <w:sz w:val="22"/>
    </w:rPr>
  </w:style>
  <w:style w:customStyle="1" w:styleId="AlertTok" w:type="character">
    <w:name w:val="AlertTok"/>
    <w:basedOn w:val="VerbatimChar"/>
    <w:rPr>
      <w:rFonts w:ascii="Consolas" w:hAnsi="Consolas"/>
      <w:b/>
      <w:color w:val="FF0000"/>
      <w:sz w:val="22"/>
    </w:rPr>
  </w:style>
  <w:style w:customStyle="1" w:styleId="ErrorTok" w:type="character">
    <w:name w:val="ErrorTok"/>
    <w:basedOn w:val="VerbatimChar"/>
    <w:rPr>
      <w:rFonts w:ascii="Consolas" w:hAnsi="Consolas"/>
      <w:b/>
      <w:color w:val="FF0000"/>
      <w:sz w:val="22"/>
    </w:rPr>
  </w:style>
  <w:style w:customStyle="1" w:styleId="NormalTok" w:type="character">
    <w:name w:val="NormalTok"/>
    <w:basedOn w:val="VerbatimChar"/>
    <w:rPr>
      <w:rFonts w:ascii="Consolas" w:hAnsi="Consolas"/>
      <w:color w:themeColor="text1" w:val="000000"/>
      <w:sz w:val="22"/>
    </w:rPr>
  </w:style>
  <w:style w:styleId="Header" w:type="paragraph">
    <w:name w:val="header"/>
    <w:basedOn w:val="Normal"/>
    <w:link w:val="HeaderChar"/>
    <w:unhideWhenUsed/>
    <w:rsid w:val="00D53F83"/>
    <w:pPr>
      <w:tabs>
        <w:tab w:pos="4513" w:val="center"/>
        <w:tab w:pos="9026" w:val="right"/>
      </w:tabs>
    </w:pPr>
  </w:style>
  <w:style w:customStyle="1" w:styleId="BodyTextChar" w:type="character">
    <w:name w:val="Body Text Char"/>
    <w:basedOn w:val="DefaultParagraphFont"/>
    <w:link w:val="BodyText"/>
    <w:rsid w:val="00C26857"/>
    <w:rPr>
      <w:rFonts w:asciiTheme="majorHAnsi" w:hAnsiTheme="majorHAnsi"/>
      <w:color w:themeColor="text1" w:val="000000"/>
      <w:sz w:val="22"/>
    </w:rPr>
  </w:style>
  <w:style w:customStyle="1" w:styleId="HeaderChar" w:type="character">
    <w:name w:val="Header Char"/>
    <w:basedOn w:val="DefaultParagraphFont"/>
    <w:link w:val="Header"/>
    <w:rsid w:val="00D53F83"/>
    <w:rPr>
      <w:rFonts w:asciiTheme="majorHAnsi" w:hAnsiTheme="majorHAnsi"/>
      <w:color w:themeColor="text1" w:val="000000"/>
      <w:sz w:val="20"/>
    </w:rPr>
  </w:style>
  <w:style w:styleId="Footer" w:type="paragraph">
    <w:name w:val="footer"/>
    <w:basedOn w:val="Normal"/>
    <w:link w:val="FooterChar"/>
    <w:uiPriority w:val="99"/>
    <w:unhideWhenUsed/>
    <w:rsid w:val="00C26857"/>
    <w:pPr>
      <w:tabs>
        <w:tab w:pos="4513" w:val="center"/>
        <w:tab w:pos="9026" w:val="right"/>
      </w:tabs>
      <w:jc w:val="right"/>
    </w:pPr>
  </w:style>
  <w:style w:customStyle="1" w:styleId="FooterChar" w:type="character">
    <w:name w:val="Footer Char"/>
    <w:basedOn w:val="DefaultParagraphFont"/>
    <w:link w:val="Footer"/>
    <w:uiPriority w:val="99"/>
    <w:rsid w:val="00C26857"/>
    <w:rPr>
      <w:rFonts w:asciiTheme="majorHAnsi" w:hAnsiTheme="majorHAnsi"/>
      <w:color w:themeColor="text1" w:val="000000"/>
      <w:sz w:val="20"/>
    </w:rPr>
  </w:style>
  <w:style w:customStyle="1" w:styleId="footer2" w:type="paragraph">
    <w:name w:val="footer2"/>
    <w:basedOn w:val="Footer"/>
    <w:qFormat/>
    <w:rsid w:val="00C26857"/>
  </w:style>
  <w:style w:styleId="TableGrid" w:type="table">
    <w:name w:val="Table Grid"/>
    <w:basedOn w:val="TableNormal"/>
    <w:rsid w:val="006F4BD0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TableNormal0" w:type="table">
    <w:name w:val="TableNormal"/>
    <w:basedOn w:val="TableNormal"/>
    <w:uiPriority w:val="99"/>
    <w:rsid w:val="006F4BD0"/>
    <w:pPr>
      <w:spacing w:after="0"/>
    </w:pPr>
    <w:rPr>
      <w:sz w:val="20"/>
    </w:rPr>
    <w:tblPr/>
    <w:tcPr>
      <w:vAlign w:val="center"/>
    </w:tcPr>
    <w:tblStylePr w:type="firstRow">
      <w:rPr>
        <w:b/>
        <w:i w:val="0"/>
      </w:rPr>
    </w:tblStylePr>
    <w:tblStylePr w:type="firstCol">
      <w:pPr>
        <w:jc w:val="right"/>
      </w:pPr>
    </w:tblStylePr>
  </w:style>
  <w:style w:customStyle="1" w:styleId="Style1" w:type="table">
    <w:name w:val="Style1"/>
    <w:basedOn w:val="TableNormal0"/>
    <w:uiPriority w:val="99"/>
    <w:rsid w:val="006F4BD0"/>
    <w:tblPr>
      <w:tblBorders>
        <w:top w:color="auto" w:space="0" w:sz="4" w:val="single"/>
        <w:bottom w:color="auto" w:space="0" w:sz="4" w:val="single"/>
      </w:tblBorders>
    </w:tblPr>
    <w:tblStylePr w:type="firstRow">
      <w:rPr>
        <w:b/>
        <w:i w:val="0"/>
      </w:rPr>
    </w:tblStylePr>
    <w:tblStylePr w:type="firstCol">
      <w:pPr>
        <w:jc w:val="right"/>
      </w:pPr>
    </w:tblStylePr>
  </w:style>
  <w:style w:styleId="TOC1" w:type="paragraph">
    <w:name w:val="toc 1"/>
    <w:basedOn w:val="Normal"/>
    <w:next w:val="Normal"/>
    <w:autoRedefine/>
    <w:semiHidden/>
    <w:unhideWhenUsed/>
    <w:rsid w:val="00794FDE"/>
    <w:pPr>
      <w:spacing w:after="100"/>
    </w:pPr>
  </w:style>
  <w:style w:type="paragraph" w:customStyle="1" w:styleId="">
    <w:name w:val=""/>
    <w:basedOn w:val="BodyText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1" Type="http://schemas.openxmlformats.org/officeDocument/2006/relationships/numbering" Target="numbering.xml"/>
<Relationship Id="rId2" Type="http://schemas.openxmlformats.org/officeDocument/2006/relationships/styles" Target="styles.xml"/>
<Relationship Id="rId3" Type="http://schemas.openxmlformats.org/officeDocument/2006/relationships/settings" Target="settings.xml"/>
<Relationship Id="rId4" Type="http://schemas.openxmlformats.org/officeDocument/2006/relationships/webSettings" Target="webSettings.xml"/>
<Relationship Id="rId5" Type="http://schemas.openxmlformats.org/officeDocument/2006/relationships/fontTable" Target="fontTable.xml"/>
<Relationship Id="rId6" Type="http://schemas.openxmlformats.org/officeDocument/2006/relationships/theme" Target="theme/theme1.xml"/>
<Relationship Id="rId7" Type="http://schemas.openxmlformats.org/officeDocument/2006/relationships/footnotes" Target="footnotes.xml"/>
<Relationship Id="rId8" Type="http://schemas.openxmlformats.org/officeDocument/2006/relationships/comments" Target="comments.xml"/>
<Relationship Id="rId9" Type="http://schemas.openxmlformats.org/officeDocument/2006/relationships/header" Target="header1.xml"/>
<Relationship Id="rId10" Type="http://schemas.openxmlformats.org/officeDocument/2006/relationships/footer" Target="footer1.xml"/>
<Relationship Id="rId11" Type="http://schemas.openxmlformats.org/officeDocument/2006/relationships/image" Target="media/6b49cc58fd6e02b1bee4b4c1d7ec759100cc20c3.png"/>
<Relationship Id="rId12" Type="http://schemas.openxmlformats.org/officeDocument/2006/relationships/image" Target="media/ea9215caf38b4c59ad833241ce2f226c63511ae9.png"/>
<Relationship Id="rId13" Type="http://schemas.openxmlformats.org/officeDocument/2006/relationships/image" Target="media/645d9aa23fc0d9e5526a8f6c2ee9b5ba048be389.png"/>
<Relationship Id="rId14" Type="http://schemas.openxmlformats.org/officeDocument/2006/relationships/image" Target="media/fd9a8889f707ccb11fbbb6fd398fa4fde3ebaa94.png"/>
<Relationship Id="rId15" Type="http://schemas.openxmlformats.org/officeDocument/2006/relationships/image" Target="media/0917232594217f748dc047052fd92835fdce0767.png"/>
<Relationship Id="rId16" Type="http://schemas.openxmlformats.org/officeDocument/2006/relationships/image" Target="media/e26b6830582e9725e654dca8d53c4130c00f24c3.png"/>
<Relationship Id="rId17" Type="http://schemas.openxmlformats.org/officeDocument/2006/relationships/image" Target="media/909db8bbfa1c2791c933ade91c88bb695ef86bd5.png"/>
<Relationship Id="rId18" Type="http://schemas.openxmlformats.org/officeDocument/2006/relationships/image" Target="media/7be100c2f3fc006e4d8319e113ee4bb9290cae33.png"/>
<Relationship Id="rId19" Type="http://schemas.openxmlformats.org/officeDocument/2006/relationships/image" Target="media/d09dfb23ee09bcdbebd31a534293297af4f069c0.png"/>
<Relationship Id="rId20" Type="http://schemas.openxmlformats.org/officeDocument/2006/relationships/image" Target="media/7077d5bfdc838fbf61a7023da209d57628e87f0f.png"/>
<Relationship Id="rId21" Type="http://schemas.openxmlformats.org/officeDocument/2006/relationships/image" Target="media/e5b9232c7f5918a7f4c380a96676e73401acbdb5.png"/>
<Relationship Id="rId22" Type="http://schemas.openxmlformats.org/officeDocument/2006/relationships/image" Target="media/0b6580355191ec28028b1f3b4ac2bf4650472192.png"/>
<Relationship Id="rId23" Type="http://schemas.openxmlformats.org/officeDocument/2006/relationships/image" Target="media/54243778441970cf8f252cda3665c0b6b0be8192.png"/>
<Relationship Id="rId24" Type="http://schemas.openxmlformats.org/officeDocument/2006/relationships/image" Target="media/a026adf8a451bb7bd0180e08f0b50dd798643716.png"/>
<Relationship Id="rId25" Type="http://schemas.openxmlformats.org/officeDocument/2006/relationships/image" Target="media/3cd01563d7e91ac554b0c957ca141e6c3a329150.png"/>
<Relationship Id="rId26" Type="http://schemas.openxmlformats.org/officeDocument/2006/relationships/image" Target="media/d5e26fb878d56348f43e43f84d796d1ee86916fa.png"/>
<Relationship Id="rId27" Type="http://schemas.openxmlformats.org/officeDocument/2006/relationships/image" Target="media/553b9815e8261839c80b708c3953f06d26061067.png"/>
<Relationship Id="rId28" Type="http://schemas.openxmlformats.org/officeDocument/2006/relationships/image" Target="media/a3831fb7fa9faf94ee92edd601488ab80b92844c.png"/>
<Relationship Id="rId29" Type="http://schemas.openxmlformats.org/officeDocument/2006/relationships/image" Target="media/3aa3b4d52e77c170e6adb45c4902d7799055bb8e.png"/>
<Relationship Id="rId30" Type="http://schemas.openxmlformats.org/officeDocument/2006/relationships/image" Target="media/b0489264c803d97ae90f09a53d8df728fd959eaf.png"/>
<Relationship Id="rId31" Type="http://schemas.openxmlformats.org/officeDocument/2006/relationships/image" Target="media/fd6cf951f49437738a2322562e97ba6735b19248.png"/>
<Relationship Id="rId32" Type="http://schemas.openxmlformats.org/officeDocument/2006/relationships/image" Target="media/7682dc5c0f64c5d8a7aca2b58a76af78e9c1729a.png"/>
<Relationship Id="rId33" Type="http://schemas.openxmlformats.org/officeDocument/2006/relationships/image" Target="media/fbc87a3e81816d0952efb2e6a6a442713b34e0d3.png"/>
<Relationship Id="rId34" Type="http://schemas.openxmlformats.org/officeDocument/2006/relationships/image" Target="media/033b12184280d634e2a083a5c062cb99f9111342.png"/>
<Relationship Id="rId35" Type="http://schemas.openxmlformats.org/officeDocument/2006/relationships/image" Target="media/2b8052bd74e2b24f8e852cae962d33e4cd777c38.png"/>
<Relationship Id="rId36" Type="http://schemas.openxmlformats.org/officeDocument/2006/relationships/image" Target="media/8620230591df68d02d4443f8596fcc1991da7760.png"/>
<Relationship Id="rId37" Type="http://schemas.openxmlformats.org/officeDocument/2006/relationships/image" Target="media/198a6d6545c0ec17a0aa731636476021e476b8c7.png"/>
<Relationship Id="rId38" Type="http://schemas.openxmlformats.org/officeDocument/2006/relationships/image" Target="media/bcaf94c49c66a185da6140a980801e55e3cb905c.png"/>
</Relationships>
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FIEBRE Adult Severity Scores analysis: Figures and tables for manuscript</dc:title>
  <dc:creator/>
  <cp:keywords/>
  <dcterms:created xsi:type="dcterms:W3CDTF">2024-08-26T17:25:16Z</dcterms:created>
  <dcterms:modified xsi:type="dcterms:W3CDTF">2024-08-26T18:25:20Z</dcterms:modified>
  <cp:lastModifiedBy>sham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26 August 2024</vt:lpwstr>
  </property>
  <property fmtid="{D5CDD505-2E9C-101B-9397-08002B2CF9AE}" pid="3" name="knit">
    <vt:lpwstr>( function(inputFile, encoding) { pSubTitle &lt;- paste0(‘analysis_reports/adult_severity_scores_db2024-06-16_’, as.character(Sys.Date())) rmarkdown::render( input = inputFile, encoding = encoding, params = list(sub_title = pSubTitle), output_file = pSubTitle) })</vt:lpwstr>
  </property>
  <property fmtid="{D5CDD505-2E9C-101B-9397-08002B2CF9AE}" pid="4" name="output">
    <vt:lpwstr/>
  </property>
</Properties>
</file>