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565C0"/>
          <w:sz w:val="64"/>
        </w:rPr>
        <w:t>AL SATWA RENTAL MARKET</w:t>
      </w:r>
    </w:p>
    <w:p>
      <w:pPr>
        <w:jc w:val="center"/>
      </w:pPr>
      <w:r>
        <w:rPr>
          <w:color w:val="1565C0"/>
          <w:sz w:val="40"/>
        </w:rPr>
        <w:t>Analysis &amp; Building Investment Projections</w:t>
      </w:r>
    </w:p>
    <w:p/>
    <w:p>
      <w:pPr>
        <w:jc w:val="center"/>
      </w:pPr>
      <w:r>
        <w:rPr>
          <w:color w:val="646464"/>
          <w:sz w:val="28"/>
        </w:rPr>
        <w:t>Comprehensive Market Study</w:t>
      </w:r>
    </w:p>
    <w:p/>
    <w:p>
      <w:pPr>
        <w:jc w:val="center"/>
      </w:pPr>
      <w:r>
        <w:rPr>
          <w:color w:val="646464"/>
          <w:sz w:val="24"/>
        </w:rPr>
        <w:t>Date: March 12, 2026</w:t>
      </w:r>
    </w:p>
    <w:p>
      <w:pPr>
        <w:jc w:val="center"/>
      </w:pPr>
      <w:r>
        <w:rPr>
          <w:color w:val="646464"/>
          <w:sz w:val="24"/>
        </w:rPr>
        <w:t>Data Source: 6,414 Rental Contracts | Al Satwa, Dubai</w:t>
      </w:r>
    </w:p>
    <w:p>
      <w:pPr>
        <w:jc w:val="center"/>
      </w:pPr>
      <w:r>
        <w:rPr>
          <w:color w:val="646464"/>
          <w:sz w:val="24"/>
        </w:rPr>
        <w:t>Building Model: 24 Studios + 32 One-Bedrooms (56 Units)</w:t>
      </w:r>
    </w:p>
    <w:p>
      <w:pPr>
        <w:jc w:val="center"/>
      </w:pPr>
      <w:r>
        <w:rPr>
          <w:color w:val="646464"/>
          <w:sz w:val="24"/>
        </w:rPr>
        <w:t>Prepared by: Eva Real Estate LLC / Market Analysis Division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  <w:ind w:left="567"/>
      </w:pPr>
      <w:r>
        <w:t>1. Executive Dashboard</w:t>
      </w:r>
    </w:p>
    <w:p>
      <w:pPr>
        <w:spacing w:after="80"/>
        <w:ind w:left="567"/>
      </w:pPr>
      <w:r>
        <w:t>2. Market Analysis: Studio &amp; 1-Bedroom Rents</w:t>
      </w:r>
    </w:p>
    <w:p>
      <w:pPr>
        <w:spacing w:after="80"/>
        <w:ind w:left="567"/>
      </w:pPr>
      <w:r>
        <w:t>3. Price Distribution (AED 5,000 Increments)</w:t>
      </w:r>
    </w:p>
    <w:p>
      <w:pPr>
        <w:spacing w:after="80"/>
        <w:ind w:left="567"/>
      </w:pPr>
      <w:r>
        <w:t>4. Rent per Square Foot Analysis</w:t>
      </w:r>
    </w:p>
    <w:p>
      <w:pPr>
        <w:spacing w:after="80"/>
        <w:ind w:left="567"/>
      </w:pPr>
      <w:r>
        <w:t>5. Top Communities &amp; Highest-Paying Comments</w:t>
      </w:r>
    </w:p>
    <w:p>
      <w:pPr>
        <w:spacing w:after="80"/>
        <w:ind w:left="567"/>
      </w:pPr>
      <w:r>
        <w:t>6. Occupancy Rate Analysis</w:t>
      </w:r>
    </w:p>
    <w:p>
      <w:pPr>
        <w:spacing w:after="80"/>
        <w:ind w:left="567"/>
      </w:pPr>
      <w:r>
        <w:t>7. Building Projections: Optimal Pricing</w:t>
      </w:r>
    </w:p>
    <w:p>
      <w:pPr>
        <w:spacing w:after="80"/>
        <w:ind w:left="567"/>
      </w:pPr>
      <w:r>
        <w:t>8. Furnished vs Unfurnished ROI</w:t>
      </w:r>
    </w:p>
    <w:p>
      <w:pPr>
        <w:spacing w:after="80"/>
        <w:ind w:left="567"/>
      </w:pPr>
      <w:r>
        <w:t>9. Holiday Home / Airbnb Analysis</w:t>
      </w:r>
    </w:p>
    <w:p>
      <w:pPr>
        <w:spacing w:after="80"/>
        <w:ind w:left="567"/>
      </w:pPr>
      <w:r>
        <w:t>10. Strategy Comparison &amp; Recommendation</w:t>
      </w:r>
    </w:p>
    <w:p>
      <w:r>
        <w:br w:type="page"/>
      </w:r>
    </w:p>
    <w:p>
      <w:pPr>
        <w:pStyle w:val="Heading1"/>
      </w:pPr>
      <w:r>
        <w:t>1. Executive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51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dashboard_kp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Contracts Analyzed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6,414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Studio Contracts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224 (3.5%)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1-Bedroom Contracts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2,883 (44.9%)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 Range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September 2025 - March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Studio Average Rent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AED 71,000 / year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1-Bed Average Rent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AED 78,992 / year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Furnished Premium (Studio)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+73.3%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Furnished Premium (1-Bed)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+41.5%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  <w:sz w:val="20"/>
              </w:rPr>
              <w:t>Best Strategy Net Revenue</w:t>
            </w:r>
          </w:p>
        </w:tc>
        <w:tc>
          <w:tcPr>
            <w:tcW w:type="dxa" w:w="4320"/>
            <w:shd w:fill="E8F5E9"/>
          </w:tcPr>
          <w:p>
            <w:r>
              <w:rPr>
                <w:b/>
                <w:sz w:val="20"/>
              </w:rPr>
              <w:t>AED 3,372,592 / year (AED 281,049 / month)</w:t>
            </w:r>
          </w:p>
        </w:tc>
      </w:tr>
    </w:tbl>
    <w:p/>
    <w:p>
      <w:r>
        <w:br w:type="page"/>
      </w:r>
    </w:p>
    <w:p>
      <w:pPr>
        <w:pStyle w:val="Heading1"/>
      </w:pPr>
      <w:r>
        <w:t>2. Market Analysis: Studio &amp; 1-Bedroom Rents</w:t>
      </w:r>
    </w:p>
    <w:p>
      <w:pPr>
        <w:pStyle w:val="Heading2"/>
      </w:pPr>
      <w:r>
        <w:t>Price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Studio (224 contracts)</w:t>
            </w:r>
          </w:p>
        </w:tc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1-Bedroom (2,883 contracts)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b/>
                <w:sz w:val="20"/>
              </w:rPr>
              <w:t>Highest Rent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  <w:sz w:val="20"/>
              </w:rPr>
              <w:t>AED 961,000 (Sep 20, 2025 - KAY 1 Building, JGC)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  <w:sz w:val="20"/>
              </w:rPr>
              <w:t>AED 289,895 (Feb 2, 2026 - Eden House)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Lowest Rent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AED 10,928 (Feb 1, 2026)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AED 20,000 (Jan 1, 2026)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Average Rent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AED 71,000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AED 78,992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Median Rent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AED 50,000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AED 79,999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Std Deviation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AED 79,186 (high variance)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AED 20,262 (consistent)</w:t>
            </w:r>
          </w:p>
        </w:tc>
      </w:tr>
    </w:tbl>
    <w:p/>
    <w:p>
      <w:r>
        <w:rPr>
          <w:b/>
          <w:color w:val="1565C0"/>
          <w:sz w:val="22"/>
        </w:rPr>
        <w:t xml:space="preserve">Key Insight: </w:t>
      </w:r>
      <w:r>
        <w:rPr>
          <w:i/>
          <w:sz w:val="22"/>
        </w:rPr>
        <w:t>Studio rents show extremely high variance (std AED 79K on avg AED 71K) due to a wide range from basic units (AED 35-50K) to premium furnished units (AED 100-150K+). One-bedroom pricing is much more consistent, tightly clustered around AED 70-90K.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968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ic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68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832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oxplot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32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Price Trend Over 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615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rice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15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3. Price Distribution (AED 5,000 Increments)</w:t>
      </w:r>
    </w:p>
    <w:p>
      <w:pPr>
        <w:pStyle w:val="Heading2"/>
      </w:pPr>
      <w:r>
        <w:t>Studio - Most Common: AED 45,000 - 50,000 (39 contracts, 17.4%)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Price Range (AED)</w:t>
            </w:r>
          </w:p>
        </w:tc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Contracts</w:t>
            </w:r>
          </w:p>
        </w:tc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Share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b/>
                <w:sz w:val="20"/>
              </w:rPr>
              <w:t>45,000 - 50,000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  <w:sz w:val="20"/>
              </w:rPr>
              <w:t>39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  <w:sz w:val="20"/>
              </w:rPr>
              <w:t>17.4%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40,000 - 45,000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15.2%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50,000 - 55,000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11.2%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60,000 - 65,000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10.3%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35,000 - 40,000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55,000 - 60,000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8.0%</w:t>
            </w:r>
          </w:p>
        </w:tc>
      </w:tr>
    </w:tbl>
    <w:p/>
    <w:p>
      <w:pPr>
        <w:pStyle w:val="Heading2"/>
      </w:pPr>
      <w:r>
        <w:t>1-Bedroom - Most Common: AED 80,000 - 85,000 (544 contracts, 18.9%)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Price Range (AED)</w:t>
            </w:r>
          </w:p>
        </w:tc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Contracts</w:t>
            </w:r>
          </w:p>
        </w:tc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Share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b/>
                <w:sz w:val="20"/>
              </w:rPr>
              <w:t>80,000 - 85,000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  <w:sz w:val="20"/>
              </w:rPr>
              <w:t>544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  <w:sz w:val="20"/>
              </w:rPr>
              <w:t>18.9%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75,000 - 80,000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392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13.6%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70,000 - 75,000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286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9.9%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85,000 - 90,000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9.0%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60,000 - 65,000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7.0%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65,000 - 70,000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181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6.3%</w:t>
            </w:r>
          </w:p>
        </w:tc>
      </w:tr>
    </w:tbl>
    <w:p/>
    <w:p>
      <w:r>
        <w:rPr>
          <w:b/>
          <w:color w:val="1565C0"/>
          <w:sz w:val="22"/>
        </w:rPr>
        <w:t xml:space="preserve">Key Insight: </w:t>
      </w:r>
      <w:r>
        <w:rPr>
          <w:i/>
          <w:sz w:val="22"/>
        </w:rPr>
        <w:t>Studios concentrate in the AED 35,000-65,000 range (72% of contracts). 1-bedrooms are tightly clustered around AED 70,000-90,000 (51.4%). The market sweet spots are AED 45-50K for studios and AED 80-85K for 1-beds.</w:t>
      </w:r>
    </w:p>
    <w:p>
      <w:r>
        <w:br w:type="page"/>
      </w:r>
    </w:p>
    <w:p>
      <w:pPr>
        <w:pStyle w:val="Heading1"/>
      </w:pPr>
      <w:r>
        <w:t>4. Rent per Square Foot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Studio</w:t>
            </w:r>
          </w:p>
        </w:tc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1-Bedroom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Average Rent/sqft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AED 158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AED 102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Median Rent/sqft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AED 150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AED 100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 Rent/sqft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AED 402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AED 340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Avg Unit Size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428 sqft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809 sqft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b/>
                <w:sz w:val="20"/>
              </w:rPr>
              <w:t>Studio Premium per sqft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  <w:sz w:val="20"/>
              </w:rPr>
              <w:t>+55%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  <w:sz w:val="20"/>
              </w:rPr>
              <w:t>(baseline)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977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nt_per_sqf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977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Unit Size vs Rent Relationship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528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size_vs_r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28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565C0"/>
          <w:sz w:val="22"/>
        </w:rPr>
        <w:t xml:space="preserve">Key Insight: </w:t>
      </w:r>
      <w:r>
        <w:rPr>
          <w:i/>
          <w:sz w:val="22"/>
        </w:rPr>
        <w:t>Studios command a 55% premium per square foot (AED 158 vs AED 102) despite being roughly half the size. This makes studios more efficient from a landlord yield perspective.</w:t>
      </w:r>
    </w:p>
    <w:p>
      <w:r>
        <w:br w:type="page"/>
      </w:r>
    </w:p>
    <w:p>
      <w:pPr>
        <w:pStyle w:val="Heading1"/>
      </w:pPr>
      <w:r>
        <w:t>5. Top Communities &amp; Highest-Paying Comments</w:t>
      </w:r>
    </w:p>
    <w:p>
      <w:pPr>
        <w:pStyle w:val="Heading2"/>
      </w:pPr>
      <w:r>
        <w:t>Top Communities by Average Rent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Community</w:t>
            </w:r>
          </w:p>
        </w:tc>
        <w:tc>
          <w:tcPr>
            <w:tcW w:type="dxa" w:w="14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Avg Rent</w:t>
            </w:r>
          </w:p>
        </w:tc>
        <w:tc>
          <w:tcPr>
            <w:tcW w:type="dxa" w:w="14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Max Rent</w:t>
            </w:r>
          </w:p>
        </w:tc>
        <w:tc>
          <w:tcPr>
            <w:tcW w:type="dxa" w:w="14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Contracts</w:t>
            </w:r>
          </w:p>
        </w:tc>
        <w:tc>
          <w:tcPr>
            <w:tcW w:type="dxa" w:w="144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Avg/sqft</w:t>
            </w:r>
          </w:p>
        </w:tc>
      </w:tr>
      <w:tr>
        <w:tc>
          <w:tcPr>
            <w:tcW w:type="dxa" w:w="1440"/>
            <w:shd w:fill="E8F5E9"/>
          </w:tcPr>
          <w:p>
            <w:r>
              <w:rPr>
                <w:b/>
                <w:sz w:val="20"/>
              </w:rPr>
              <w:t>Eden House</w:t>
            </w:r>
          </w:p>
        </w:tc>
        <w:tc>
          <w:tcPr>
            <w:tcW w:type="dxa" w:w="1440"/>
            <w:shd w:fill="E8F5E9"/>
          </w:tcPr>
          <w:p>
            <w:r>
              <w:rPr>
                <w:b/>
                <w:sz w:val="20"/>
              </w:rPr>
              <w:t>Studio</w:t>
            </w:r>
          </w:p>
        </w:tc>
        <w:tc>
          <w:tcPr>
            <w:tcW w:type="dxa" w:w="1440"/>
            <w:shd w:fill="E8F5E9"/>
          </w:tcPr>
          <w:p>
            <w:r>
              <w:rPr>
                <w:b/>
                <w:sz w:val="20"/>
              </w:rPr>
              <w:t>AED 146,005</w:t>
            </w:r>
          </w:p>
        </w:tc>
        <w:tc>
          <w:tcPr>
            <w:tcW w:type="dxa" w:w="1440"/>
            <w:shd w:fill="E8F5E9"/>
          </w:tcPr>
          <w:p>
            <w:r>
              <w:rPr>
                <w:b/>
                <w:sz w:val="20"/>
              </w:rPr>
              <w:t>AED 282,000</w:t>
            </w:r>
          </w:p>
        </w:tc>
        <w:tc>
          <w:tcPr>
            <w:tcW w:type="dxa" w:w="1440"/>
            <w:shd w:fill="E8F5E9"/>
          </w:tcPr>
          <w:p>
            <w:r>
              <w:rPr>
                <w:b/>
                <w:sz w:val="20"/>
              </w:rPr>
              <w:t>24</w:t>
            </w:r>
          </w:p>
        </w:tc>
        <w:tc>
          <w:tcPr>
            <w:tcW w:type="dxa" w:w="1440"/>
            <w:shd w:fill="E8F5E9"/>
          </w:tcPr>
          <w:p>
            <w:r>
              <w:rPr>
                <w:b/>
                <w:sz w:val="20"/>
              </w:rPr>
              <w:t>AED 265</w:t>
            </w:r>
          </w:p>
        </w:tc>
      </w:tr>
      <w:tr>
        <w:tc>
          <w:tcPr>
            <w:tcW w:type="dxa" w:w="1440"/>
            <w:shd w:fill="E8F5E9"/>
          </w:tcPr>
          <w:p>
            <w:r>
              <w:rPr>
                <w:b/>
                <w:sz w:val="20"/>
              </w:rPr>
              <w:t>Eden House</w:t>
            </w:r>
          </w:p>
        </w:tc>
        <w:tc>
          <w:tcPr>
            <w:tcW w:type="dxa" w:w="1440"/>
            <w:shd w:fill="E8F5E9"/>
          </w:tcPr>
          <w:p>
            <w:r>
              <w:rPr>
                <w:b/>
                <w:sz w:val="20"/>
              </w:rPr>
              <w:t>1-Bed</w:t>
            </w:r>
          </w:p>
        </w:tc>
        <w:tc>
          <w:tcPr>
            <w:tcW w:type="dxa" w:w="1440"/>
            <w:shd w:fill="E8F5E9"/>
          </w:tcPr>
          <w:p>
            <w:r>
              <w:rPr>
                <w:b/>
                <w:sz w:val="20"/>
              </w:rPr>
              <w:t>AED 130,613</w:t>
            </w:r>
          </w:p>
        </w:tc>
        <w:tc>
          <w:tcPr>
            <w:tcW w:type="dxa" w:w="1440"/>
            <w:shd w:fill="E8F5E9"/>
          </w:tcPr>
          <w:p>
            <w:r>
              <w:rPr>
                <w:b/>
                <w:sz w:val="20"/>
              </w:rPr>
              <w:t>AED 289,895</w:t>
            </w:r>
          </w:p>
        </w:tc>
        <w:tc>
          <w:tcPr>
            <w:tcW w:type="dxa" w:w="1440"/>
            <w:shd w:fill="E8F5E9"/>
          </w:tcPr>
          <w:p>
            <w:r>
              <w:rPr>
                <w:b/>
                <w:sz w:val="20"/>
              </w:rPr>
              <w:t>279</w:t>
            </w:r>
          </w:p>
        </w:tc>
        <w:tc>
          <w:tcPr>
            <w:tcW w:type="dxa" w:w="1440"/>
            <w:shd w:fill="E8F5E9"/>
          </w:tcPr>
          <w:p>
            <w:r>
              <w:rPr>
                <w:b/>
                <w:sz w:val="20"/>
              </w:rPr>
              <w:t>AED 140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Jumeirah Garden City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Studio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AED 65,746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AED 961,000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AED 162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Jumeirah Garden City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1-Bed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AED 82,043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AED 270,000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1,097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AED 105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South Heights Tower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Studio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AED 46,749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AED 63,000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AED 120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South Heights Tower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1-Bed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AED 68,310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AED 93,000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378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AED 85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973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op_communit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73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97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mmunity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97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Comments with Highest Rents</w:t>
      </w:r>
    </w:p>
    <w:p>
      <w:r>
        <w:rPr>
          <w:b/>
          <w:color w:val="1565C0"/>
          <w:sz w:val="22"/>
        </w:rPr>
        <w:t xml:space="preserve">Key Insight: </w:t>
      </w:r>
      <w:r>
        <w:rPr>
          <w:i/>
          <w:sz w:val="22"/>
        </w:rPr>
        <w:t>Listings with "Furnished", "Brand New", "Burj Khalifa View" consistently command premiums of AED 150,000-290,000 - roughly 2-3x the market average.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9531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mments_highest_r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53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6. Occupancy Rate Analysis</w:t>
      </w:r>
    </w:p>
    <w:p>
      <w:pPr>
        <w:pStyle w:val="Heading2"/>
      </w:pPr>
      <w:r>
        <w:t>Contract Type Distribution (Occupancy Proxy)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Studio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1-Bedroom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All Types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Renewals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113 (50.4%)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946 (32.8%)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2,390 (37.3%)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New Contracts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70 (31.2%)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570 (19.8%)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1,145 (17.9%)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Est. Occupancy Rate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50.4%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32.8%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37.3%</w:t>
            </w:r>
          </w:p>
        </w:tc>
      </w:tr>
    </w:tbl>
    <w:p/>
    <w:p>
      <w:r>
        <w:rPr>
          <w:b/>
          <w:color w:val="1565C0"/>
          <w:sz w:val="22"/>
        </w:rPr>
        <w:t xml:space="preserve">Key Insight: </w:t>
      </w:r>
      <w:r>
        <w:rPr>
          <w:i/>
          <w:sz w:val="22"/>
        </w:rPr>
        <w:t>Studios show notably higher tenant retention (50.4% renewal) vs 1-bedrooms (32.8%), suggesting the studio market is tighter with fewer alternatives.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069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occupancy_new_vs_renew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69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07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nthly_volum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07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Contract Duration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Share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Short-term (&lt;6 months)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1,416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45.6%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Standard (6-12 months)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1,583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50.9%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Long-term (&gt;12 months)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076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tract_dur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76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Airbnb / Short-Term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Indicator</w:t>
            </w:r>
          </w:p>
        </w:tc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Studio</w:t>
            </w:r>
          </w:p>
        </w:tc>
        <w:tc>
          <w:tcPr>
            <w:tcW w:type="dxa" w:w="288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1-Bedroom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Furnished/All-bills listings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 (5.4%)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263 (9.1%)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Avg rent (furnished keywords)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AED 118,375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AED 107,625</w:t>
            </w:r>
          </w:p>
        </w:tc>
      </w:tr>
      <w:tr>
        <w:tc>
          <w:tcPr>
            <w:tcW w:type="dxa" w:w="2880"/>
            <w:shd w:fill="E8F5E9"/>
          </w:tcPr>
          <w:p>
            <w:r>
              <w:rPr>
                <w:b/>
                <w:sz w:val="20"/>
              </w:rPr>
              <w:t>Premium vs market average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  <w:sz w:val="20"/>
              </w:rPr>
              <w:t>+67%</w:t>
            </w:r>
          </w:p>
        </w:tc>
        <w:tc>
          <w:tcPr>
            <w:tcW w:type="dxa" w:w="2880"/>
            <w:shd w:fill="E8F5E9"/>
          </w:tcPr>
          <w:p>
            <w:r>
              <w:rPr>
                <w:b/>
                <w:sz w:val="20"/>
              </w:rPr>
              <w:t>+36%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059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irbnb_indicato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59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7. Building Projections: 24 Studios + 32 One-Beds</w:t>
      </w:r>
    </w:p>
    <w:p>
      <w:pPr>
        <w:pStyle w:val="Heading2"/>
      </w:pPr>
      <w:r>
        <w:t>Expected Rent Per Unit (Market Rate, 100% Occupancy)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Unit Type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 Unit/Year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 Unit/Month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All Units/Year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Studio Unfurnished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68,319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5,693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1,639,656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Studio Furnished (+73.3%)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118,375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9,865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2,841,000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1-Bed Unfurnished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76,132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6,344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2,436,224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1-Bed Furnished (+41.5%)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107,724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8,977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3,447,168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TOTAL (Unfurnished)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AED 4,075,880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TOTAL (Furnished)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AED 6,288,168</w:t>
            </w:r>
          </w:p>
        </w:tc>
      </w:tr>
    </w:tbl>
    <w:p/>
    <w:p>
      <w:pPr>
        <w:pStyle w:val="Heading2"/>
      </w:pPr>
      <w:r>
        <w:t>Optimal Pricing for Target Occupancy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Unit Type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90% Occ Price/yr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90% Monthly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80% Occ Price/yr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80% Monthly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Studio Unfurnished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40,000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3,333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53,000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4,417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Studio Furnished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69,320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5,777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91,849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7,654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1-Bed Unfurnished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60,000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5,000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70,000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5,833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1-Bed Furnished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84,900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7,075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99,050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8,254</w:t>
            </w:r>
          </w:p>
        </w:tc>
      </w:tr>
    </w:tbl>
    <w:p/>
    <w:p>
      <w:r>
        <w:rPr>
          <w:b/>
          <w:color w:val="1565C0"/>
          <w:sz w:val="22"/>
        </w:rPr>
        <w:t xml:space="preserve">Key Insight: </w:t>
      </w:r>
      <w:r>
        <w:rPr>
          <w:i/>
          <w:sz w:val="22"/>
        </w:rPr>
        <w:t>To guarantee 90% occupancy, price ~25% below market average. For 80%, price ~10-15% below. The revenue-maximizing sweet spot is at 72-76% occupancy.</w:t>
      </w:r>
    </w:p>
    <w:p>
      <w:pPr>
        <w:pStyle w:val="Heading2"/>
      </w:pPr>
      <w:r>
        <w:t>Demand Curves &amp; Revenue Optimization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561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demand_curv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61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Revenue Maximization Sweet Spots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Unit Type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Optimal Price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Occupancy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 Revenue/Year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Studio Unfurnished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AED 60,000/yr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72%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AED 1,036,800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Studio Furnished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AED 100,000/yr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75%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AED 1,794,142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1-Bed Unfurnished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AED 75,000/yr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75%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AED 1,800,000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1-Bed Furnished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AED 105,000/yr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76%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AED 2,546,714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00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evenue_optimiz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0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8500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building_summa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50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8. Furnished vs Unfurnished ROI</w:t>
      </w:r>
    </w:p>
    <w:p>
      <w:pPr>
        <w:pStyle w:val="Heading2"/>
      </w:pPr>
      <w:r>
        <w:t>Furnishing Investment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Studio furnishing (x24 @ AED 25,000)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AED 600,000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1-Bed furnishing (x32 @ AED 40,000)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AED 1,280,000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  <w:sz w:val="20"/>
              </w:rPr>
              <w:t>Total Investment</w:t>
            </w:r>
          </w:p>
        </w:tc>
        <w:tc>
          <w:tcPr>
            <w:tcW w:type="dxa" w:w="4320"/>
            <w:shd w:fill="E8F5E9"/>
          </w:tcPr>
          <w:p>
            <w:r>
              <w:rPr>
                <w:b/>
                <w:sz w:val="20"/>
              </w:rPr>
              <w:t>AED 1,880,000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Annual amortization (4yr cycle)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AED 470,000/yr</w:t>
            </w:r>
          </w:p>
        </w:tc>
      </w:tr>
    </w:tbl>
    <w:p/>
    <w:p>
      <w:pPr>
        <w:pStyle w:val="Heading2"/>
      </w:pPr>
      <w:r>
        <w:t>Net Revenue Comparison - 80% Occupancy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Unfurnished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Furnished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Difference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Studio Rent/yr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53,000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91,849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+AED 38,849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1-Bed Rent/yr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70,000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99,050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+AED 29,050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Gross Revenue/yr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2,757,000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4,221,381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+AED 1,464,381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Furniture Cost/yr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470,000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Net Revenue/Year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AED 2,757,000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AED 3,751,381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+AED 994,381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Net Revenue/Month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AED 229,750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AED 312,615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+AED 82,865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Year 1 ROI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77.9%</w:t>
            </w:r>
          </w:p>
        </w:tc>
      </w:tr>
    </w:tbl>
    <w:p/>
    <w:p>
      <w:pPr>
        <w:pStyle w:val="Heading2"/>
      </w:pPr>
      <w:r>
        <w:t>Net Revenue Comparison - 90% Occupancy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Unfurnished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Furnished</w:t>
            </w:r>
          </w:p>
        </w:tc>
        <w:tc>
          <w:tcPr>
            <w:tcW w:type="dxa" w:w="216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Difference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Studio Rent/yr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40,000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69,320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+AED 29,320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1-Bed Rent/yr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60,000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84,900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+AED 24,900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Gross Revenue/yr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2,520,000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3,832,920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+AED 1,312,920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Furniture Cost/yr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AED 470,000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Net Revenue/Year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AED 2,520,000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AED 3,362,920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+AED 842,920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Net Revenue/Month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AED 210,000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AED 280,243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+AED 70,243</w:t>
            </w:r>
          </w:p>
        </w:tc>
      </w:tr>
      <w:tr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Year 1 ROI</w:t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160"/>
            <w:shd w:fill="E8F5E9"/>
          </w:tcPr>
          <w:p>
            <w:r>
              <w:rPr>
                <w:b/>
                <w:sz w:val="20"/>
              </w:rPr>
              <w:t>69.8%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469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furnished_ro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69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2E7D32"/>
          <w:sz w:val="26"/>
        </w:rPr>
        <w:t>RECOMMENDATION: Furnished is clearly worth the investment</w:t>
      </w:r>
    </w:p>
    <w:p>
      <w:r>
        <w:t>The AED 1.88M furnishing investment pays back within 1.9-2.2 years and delivers an additional AED 843K-994K per year in net revenue. Over a 5-year period, the cumulative benefit is AED 3-4 million.</w:t>
      </w:r>
    </w:p>
    <w:p>
      <w:r>
        <w:br w:type="page"/>
      </w:r>
    </w:p>
    <w:p>
      <w:pPr>
        <w:pStyle w:val="Heading1"/>
      </w:pPr>
      <w:r>
        <w:t>9. Holiday Home / Airbnb Analysis</w:t>
      </w:r>
    </w:p>
    <w:p>
      <w:pPr>
        <w:pStyle w:val="Heading2"/>
      </w:pPr>
      <w:r>
        <w:t>Seasonal Occupancy &amp; Nightly Rates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Season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Occupancy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Studio Rate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1-Bed Rate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January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Peak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450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600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February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Peak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450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600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March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Peak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450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600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April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Shoulder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350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480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250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350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June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250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350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July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250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350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August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250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350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September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Shoulder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350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480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October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Peak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450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600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November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Peak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450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600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December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Peak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450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600</w:t>
            </w:r>
          </w:p>
        </w:tc>
      </w:tr>
    </w:tbl>
    <w:p/>
    <w:p>
      <w:r>
        <w:rPr>
          <w:b/>
        </w:rPr>
        <w:t>Average annual occupancy: 63%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571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holiday_season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71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484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holiday_home_monthl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48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Holiday Home Operating Costs (All 56 Units)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 Item</w:t>
            </w:r>
          </w:p>
        </w:tc>
        <w:tc>
          <w:tcPr>
            <w:tcW w:type="dxa" w:w="432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Gross Revenue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AED 6,073,284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Management fee (20%)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-AED 1,214,657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Cleaning/turnovers (3,226 turnovers)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-AED 576,075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Utilities (AED 500/unit/month)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-AED 336,000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DTCM Licensing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-AED 85,120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Insurance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-AED 112,000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Furniture replacement (3yr cycle)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-AED 626,667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Costs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-AED 2,950,518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  <w:sz w:val="20"/>
              </w:rPr>
              <w:t>NET Revenue</w:t>
            </w:r>
          </w:p>
        </w:tc>
        <w:tc>
          <w:tcPr>
            <w:tcW w:type="dxa" w:w="4320"/>
            <w:shd w:fill="E8F5E9"/>
          </w:tcPr>
          <w:p>
            <w:r>
              <w:rPr>
                <w:b/>
                <w:sz w:val="20"/>
              </w:rPr>
              <w:t>AED 3,122,766 (AED 260K/month)</w:t>
            </w:r>
          </w:p>
        </w:tc>
      </w:tr>
    </w:tbl>
    <w:p/>
    <w:p>
      <w:r>
        <w:rPr>
          <w:b/>
          <w:color w:val="E65100"/>
        </w:rPr>
        <w:t xml:space="preserve">Warning: </w:t>
      </w:r>
      <w:r>
        <w:t>While holiday homes generate the highest gross (AED 6.07M), operating costs consume 49% of revenue. Summer months (May-Aug) see occupancy drop to 35-45%, creating cash flow volatility.</w:t>
      </w:r>
    </w:p>
    <w:p>
      <w:r>
        <w:br w:type="page"/>
      </w:r>
    </w:p>
    <w:p>
      <w:pPr>
        <w:pStyle w:val="Heading1"/>
      </w:pPr>
      <w:r>
        <w:t>10. Strategy Comparison &amp; Final Recommendation</w:t>
      </w:r>
    </w:p>
    <w:p>
      <w:pPr>
        <w:pStyle w:val="Heading2"/>
      </w:pPr>
      <w:r>
        <w:t>All Strategies Compared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Gross Rev/yr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Costs/yr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Net Rev/yr</w:t>
            </w:r>
          </w:p>
        </w:tc>
        <w:tc>
          <w:tcPr>
            <w:tcW w:type="dxa" w:w="1728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Net Rev/mo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A: All Long-Term Unfurnished (90%)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2,520,000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2,520,000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210,000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B: All Long-Term Furnished (90%)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3,832,920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470,000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3,362,920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280,243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C: All Holiday Homes (56 units)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6,073,284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2,950,518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3,122,766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260,230</w:t>
            </w:r>
          </w:p>
        </w:tc>
      </w:tr>
      <w:tr>
        <w:tc>
          <w:tcPr>
            <w:tcW w:type="dxa" w:w="1728"/>
            <w:shd w:fill="E8F5E9"/>
          </w:tcPr>
          <w:p>
            <w:r>
              <w:rPr>
                <w:b/>
                <w:sz w:val="20"/>
              </w:rPr>
              <w:t>D: Hybrid Light (5S+5B holiday)</w:t>
            </w:r>
          </w:p>
        </w:tc>
        <w:tc>
          <w:tcPr>
            <w:tcW w:type="dxa" w:w="1728"/>
            <w:shd w:fill="E8F5E9"/>
          </w:tcPr>
          <w:p>
            <w:r>
              <w:rPr>
                <w:b/>
                <w:sz w:val="20"/>
              </w:rPr>
              <w:t>AED 4,278,100</w:t>
            </w:r>
          </w:p>
        </w:tc>
        <w:tc>
          <w:tcPr>
            <w:tcW w:type="dxa" w:w="1728"/>
            <w:shd w:fill="E8F5E9"/>
          </w:tcPr>
          <w:p>
            <w:r>
              <w:rPr>
                <w:b/>
                <w:sz w:val="20"/>
              </w:rPr>
              <w:t>AED 905,508</w:t>
            </w:r>
          </w:p>
        </w:tc>
        <w:tc>
          <w:tcPr>
            <w:tcW w:type="dxa" w:w="1728"/>
            <w:shd w:fill="E8F5E9"/>
          </w:tcPr>
          <w:p>
            <w:r>
              <w:rPr>
                <w:b/>
                <w:sz w:val="20"/>
              </w:rPr>
              <w:t>AED 3,372,592</w:t>
            </w:r>
          </w:p>
        </w:tc>
        <w:tc>
          <w:tcPr>
            <w:tcW w:type="dxa" w:w="1728"/>
            <w:shd w:fill="E8F5E9"/>
          </w:tcPr>
          <w:p>
            <w:r>
              <w:rPr>
                <w:b/>
                <w:sz w:val="20"/>
              </w:rPr>
              <w:t>AED 281,049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E: Hybrid Medium (8S+8B holiday)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4,452,676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1,166,814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3,285,862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273,822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F: Hybrid Heavy (10S+10B holiday)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4,569,060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1,341,017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3,228,043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269,004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G: Hybrid Optimized (5S+10B)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4,463,222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1,149,307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3,313,915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AED 276,160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5874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trategy_comparis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87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1150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ll_strategies_comparis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15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RECOMMENDED: Strategy D - Hybrid Light</w:t>
      </w:r>
    </w:p>
    <w:p>
      <w:r>
        <w:rPr>
          <w:b/>
          <w:color w:val="2E7D32"/>
          <w:sz w:val="26"/>
        </w:rPr>
        <w:t>19 Studios + 27 One-Beds as Long-Term Furnished</w:t>
      </w:r>
    </w:p>
    <w:p>
      <w:r>
        <w:rPr>
          <w:b/>
          <w:color w:val="E65100"/>
          <w:sz w:val="26"/>
        </w:rPr>
        <w:t>5 Studios + 5 One-Beds as Holiday Homes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Revenue Component</w:t>
            </w:r>
          </w:p>
        </w:tc>
        <w:tc>
          <w:tcPr>
            <w:tcW w:type="dxa" w:w="4320"/>
            <w:shd w:fill="1565C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Long-term rental income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AED 3,216,040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Holiday home income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AED 1,062,060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gross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AED 4,278,100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costs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-AED 905,508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  <w:sz w:val="20"/>
              </w:rPr>
              <w:t>NET ANNUAL REVENUE</w:t>
            </w:r>
          </w:p>
        </w:tc>
        <w:tc>
          <w:tcPr>
            <w:tcW w:type="dxa" w:w="4320"/>
            <w:shd w:fill="E8F5E9"/>
          </w:tcPr>
          <w:p>
            <w:r>
              <w:rPr>
                <w:b/>
                <w:sz w:val="20"/>
              </w:rPr>
              <w:t>AED 3,372,592</w:t>
            </w:r>
          </w:p>
        </w:tc>
      </w:tr>
      <w:tr>
        <w:tc>
          <w:tcPr>
            <w:tcW w:type="dxa" w:w="4320"/>
            <w:shd w:fill="E8F5E9"/>
          </w:tcPr>
          <w:p>
            <w:r>
              <w:rPr>
                <w:b/>
                <w:sz w:val="20"/>
              </w:rPr>
              <w:t>NET MONTHLY REVENUE</w:t>
            </w:r>
          </w:p>
        </w:tc>
        <w:tc>
          <w:tcPr>
            <w:tcW w:type="dxa" w:w="4320"/>
            <w:shd w:fill="E8F5E9"/>
          </w:tcPr>
          <w:p>
            <w:r>
              <w:rPr>
                <w:b/>
                <w:sz w:val="20"/>
              </w:rPr>
              <w:t>AED 281,049</w:t>
            </w:r>
          </w:p>
        </w:tc>
      </w:tr>
    </w:tbl>
    <w:p/>
    <w:p>
      <w:r>
        <w:rPr>
          <w:b/>
          <w:color w:val="2E7D32"/>
          <w:sz w:val="24"/>
        </w:rPr>
        <w:t>+33.8% uplift vs all-unfurnished baseline (AED +852,592/yr additional revenue)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367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hybrid_breakdow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367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Why This Strategy Wins</w:t>
      </w:r>
    </w:p>
    <w:p>
      <w:r>
        <w:rPr>
          <w:b/>
          <w:color w:val="1565C0"/>
        </w:rPr>
        <w:t xml:space="preserve">Highest net revenue: </w:t>
      </w:r>
      <w:r>
        <w:t>AED 3.37M beats both pure long-term (AED 3.36M) and pure holiday home (AED 3.12M)</w:t>
      </w:r>
    </w:p>
    <w:p>
      <w:r>
        <w:rPr>
          <w:b/>
          <w:color w:val="1565C0"/>
        </w:rPr>
        <w:t xml:space="preserve">Diversified income: </w:t>
      </w:r>
      <w:r>
        <w:t>75% stable long-term + 25% variable short-term reduces overall risk</w:t>
      </w:r>
    </w:p>
    <w:p>
      <w:r>
        <w:rPr>
          <w:b/>
          <w:color w:val="1565C0"/>
        </w:rPr>
        <w:t xml:space="preserve">Manageable complexity: </w:t>
      </w:r>
      <w:r>
        <w:t>Only 10 units need holiday home management vs 56 in the all-holiday-home strategy</w:t>
      </w:r>
    </w:p>
    <w:p>
      <w:r>
        <w:rPr>
          <w:b/>
          <w:color w:val="1565C0"/>
        </w:rPr>
        <w:t xml:space="preserve">Summer protection: </w:t>
      </w:r>
      <w:r>
        <w:t>46 long-term units provide steady income during the May-August low season</w:t>
      </w:r>
    </w:p>
    <w:p>
      <w:r>
        <w:rPr>
          <w:b/>
          <w:color w:val="1565C0"/>
        </w:rPr>
        <w:t xml:space="preserve">Lower costs: </w:t>
      </w:r>
      <w:r>
        <w:t>AED 906K vs AED 2.95M for all holiday homes; costs are only 21% of gross revenue</w:t>
      </w:r>
    </w:p>
    <w:p>
      <w:r>
        <w:rPr>
          <w:b/>
          <w:color w:val="1565C0"/>
        </w:rPr>
        <w:t xml:space="preserve">Upside optionality: </w:t>
      </w:r>
      <w:r>
        <w:t>Can convert more units to holiday homes during peak season if demand justifies it</w:t>
      </w:r>
    </w:p>
    <w:p>
      <w:r>
        <w:br w:type="page"/>
      </w:r>
    </w:p>
    <w:p>
      <w:pPr>
        <w:pStyle w:val="Heading1"/>
      </w:pPr>
      <w:r>
        <w:t>Key Takeaways</w:t>
      </w:r>
    </w:p>
    <w:p>
      <w:pPr>
        <w:spacing w:after="160"/>
      </w:pPr>
      <w:r>
        <w:rPr>
          <w:b/>
          <w:color w:val="1565C0"/>
          <w:sz w:val="22"/>
        </w:rPr>
        <w:t xml:space="preserve">1. </w:t>
      </w:r>
      <w:r>
        <w:rPr>
          <w:sz w:val="22"/>
        </w:rPr>
        <w:t>Furnished always beats unfurnished - 70-78% ROI on the AED 1.88M furnishing investment in Year 1 alone.</w:t>
      </w:r>
    </w:p>
    <w:p>
      <w:pPr>
        <w:spacing w:after="160"/>
      </w:pPr>
      <w:r>
        <w:rPr>
          <w:b/>
          <w:color w:val="1565C0"/>
          <w:sz w:val="22"/>
        </w:rPr>
        <w:t xml:space="preserve">2. </w:t>
      </w:r>
      <w:r>
        <w:rPr>
          <w:sz w:val="22"/>
        </w:rPr>
        <w:t>Pure holiday home is NOT the best - Despite highest gross (AED 6M), operating costs (AED 2.95M) eat into margins, netting only AED 3.12M vs AED 3.37M for the hybrid.</w:t>
      </w:r>
    </w:p>
    <w:p>
      <w:pPr>
        <w:spacing w:after="160"/>
      </w:pPr>
      <w:r>
        <w:rPr>
          <w:b/>
          <w:color w:val="1565C0"/>
          <w:sz w:val="22"/>
        </w:rPr>
        <w:t xml:space="preserve">3. </w:t>
      </w:r>
      <w:r>
        <w:rPr>
          <w:sz w:val="22"/>
        </w:rPr>
        <w:t>The hybrid light model wins - Just 10 units as holiday homes with 46 as long-term furnished delivers the highest net revenue at AED 3,372,592/yr.</w:t>
      </w:r>
    </w:p>
    <w:p>
      <w:pPr>
        <w:spacing w:after="160"/>
      </w:pPr>
      <w:r>
        <w:rPr>
          <w:b/>
          <w:color w:val="1565C0"/>
          <w:sz w:val="22"/>
        </w:rPr>
        <w:t xml:space="preserve">4. </w:t>
      </w:r>
      <w:r>
        <w:rPr>
          <w:sz w:val="22"/>
        </w:rPr>
        <w:t>More holiday homes = diminishing returns - Each additional holiday home unit adds operational complexity and cost that outweighs the revenue premium.</w:t>
      </w:r>
    </w:p>
    <w:p>
      <w:pPr>
        <w:spacing w:after="160"/>
      </w:pPr>
      <w:r>
        <w:rPr>
          <w:b/>
          <w:color w:val="1565C0"/>
          <w:sz w:val="22"/>
        </w:rPr>
        <w:t xml:space="preserve">5. </w:t>
      </w:r>
      <w:r>
        <w:rPr>
          <w:sz w:val="22"/>
        </w:rPr>
        <w:t>Pricing sweet spots: Studios AED 40-53K unfurnished / AED 69-92K furnished. 1-Beds AED 60-70K unfurnished / AED 85-99K furnished.</w:t>
      </w:r>
    </w:p>
    <w:p>
      <w:pPr>
        <w:spacing w:after="160"/>
      </w:pPr>
      <w:r>
        <w:rPr>
          <w:b/>
          <w:color w:val="1565C0"/>
          <w:sz w:val="22"/>
        </w:rPr>
        <w:t xml:space="preserve">6. </w:t>
      </w:r>
      <w:r>
        <w:rPr>
          <w:sz w:val="22"/>
        </w:rPr>
        <w:t>Summer (May-Aug) is the holiday home weakness - Occupancy drops to 35-45%, making the all-holiday-home strategy risky.</w:t>
      </w:r>
    </w:p>
    <w:p>
      <w:pPr>
        <w:spacing w:after="160"/>
      </w:pPr>
      <w:r>
        <w:rPr>
          <w:b/>
          <w:color w:val="1565C0"/>
          <w:sz w:val="22"/>
        </w:rPr>
        <w:t xml:space="preserve">7. </w:t>
      </w:r>
      <w:r>
        <w:rPr>
          <w:sz w:val="22"/>
        </w:rPr>
        <w:t>Revenue maximization prices (72-76% occupancy sweet spot): Studio furnished AED 100K/yr, 1-Bed furnished AED 105K/yr.</w:t>
      </w:r>
    </w:p>
    <w:p>
      <w:pPr>
        <w:spacing w:after="160"/>
      </w:pPr>
      <w:r>
        <w:rPr>
          <w:b/>
          <w:color w:val="1565C0"/>
          <w:sz w:val="22"/>
        </w:rPr>
        <w:t xml:space="preserve">8. </w:t>
      </w:r>
      <w:r>
        <w:rPr>
          <w:sz w:val="22"/>
        </w:rPr>
        <w:t>Eden House dominates premium rents across both categories at approximately 2x the area average.</w:t>
      </w:r>
    </w:p>
    <w:p/>
    <w:p/>
    <w:p>
      <w:pPr>
        <w:jc w:val="center"/>
      </w:pPr>
      <w:r>
        <w:rPr>
          <w:color w:val="969696"/>
          <w:sz w:val="18"/>
        </w:rPr>
        <w:t>Al Satwa Rental Market Analysis &amp; Building Projections Report</w:t>
      </w:r>
    </w:p>
    <w:p>
      <w:pPr>
        <w:jc w:val="center"/>
      </w:pPr>
      <w:r>
        <w:rPr>
          <w:color w:val="969696"/>
          <w:sz w:val="18"/>
        </w:rPr>
        <w:t>Generated March 12, 2026 | Based on 6,414 rental contracts | Al Satwa, Dubai</w:t>
      </w:r>
    </w:p>
    <w:p>
      <w:pPr>
        <w:jc w:val="center"/>
      </w:pPr>
      <w:r>
        <w:rPr>
          <w:color w:val="969696"/>
          <w:sz w:val="18"/>
        </w:rPr>
        <w:t>Data Source: Al Satwa Market Data (Eva Real Estate LLC)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565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565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