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《深度学习与应用》实验大纲</w:t>
      </w:r>
    </w:p>
    <w:p>
      <w:pPr>
        <w:pStyle w:val="Heading1"/>
      </w:pPr>
      <w:r>
        <w:t>实验项目三：基于循环神经网络的中文文本情感分类与模型比较</w:t>
      </w:r>
    </w:p>
    <w:p>
      <w:r>
        <w:rPr>
          <w:b w:val="0"/>
        </w:rPr>
        <w:t>适用于人工智能专业本科三年级</w:t>
      </w:r>
    </w:p>
    <w:p>
      <w:pPr>
        <w:pStyle w:val="Heading2"/>
      </w:pPr>
      <w:r>
        <w:t>一、实验基本信息</w:t>
      </w:r>
    </w:p>
    <w:tbl>
      <w:tblPr>
        <w:tblStyle w:val="TableGrid"/>
        <w:tblW w:type="auto" w:w="0"/>
        <w:tblLook w:firstColumn="1" w:firstRow="1" w:lastColumn="0" w:lastRow="0" w:noHBand="0" w:noVBand="1" w:val="04A0"/>
      </w:tblPr>
      <w:tblGrid>
        <w:gridCol w:w="4706"/>
        <w:gridCol w:w="4706"/>
      </w:tblGrid>
      <w:tr>
        <w:trPr>
          <w:tblHeader/>
        </w:trPr>
        <w:tc>
          <w:tcPr>
            <w:tcW w:type="dxa" w:w="4706"/>
            <w:shd w:fill="E8EEF5"/>
          </w:tcPr>
          <w:p>
            <w:r>
              <w:rPr>
                <w:b/>
              </w:rPr>
              <w:t>项目</w:t>
            </w:r>
          </w:p>
        </w:tc>
        <w:tc>
          <w:tcPr>
            <w:tcW w:type="dxa" w:w="4706"/>
            <w:shd w:fill="E8EEF5"/>
          </w:tcPr>
          <w:p>
            <w:r>
              <w:rPr>
                <w:b/>
              </w:rPr>
              <w:t>内容</w:t>
            </w:r>
          </w:p>
        </w:tc>
      </w:tr>
      <w:tr>
        <w:tc>
          <w:tcPr>
            <w:tcW w:type="dxa" w:w="4706"/>
          </w:tcPr>
          <w:p>
            <w:r>
              <w:rPr>
                <w:b w:val="0"/>
              </w:rPr>
              <w:t>所属课程</w:t>
            </w:r>
          </w:p>
        </w:tc>
        <w:tc>
          <w:tcPr>
            <w:tcW w:type="dxa" w:w="4706"/>
          </w:tcPr>
          <w:p>
            <w:r>
              <w:rPr>
                <w:b w:val="0"/>
              </w:rPr>
              <w:t>深度学习与应用</w:t>
            </w:r>
          </w:p>
        </w:tc>
      </w:tr>
      <w:tr>
        <w:tc>
          <w:tcPr>
            <w:tcW w:type="dxa" w:w="4706"/>
          </w:tcPr>
          <w:p>
            <w:r>
              <w:rPr>
                <w:b w:val="0"/>
              </w:rPr>
              <w:t>实验对象</w:t>
            </w:r>
          </w:p>
        </w:tc>
        <w:tc>
          <w:tcPr>
            <w:tcW w:type="dxa" w:w="4706"/>
          </w:tcPr>
          <w:p>
            <w:r>
              <w:rPr>
                <w:b w:val="0"/>
              </w:rPr>
              <w:t>人工智能专业本科三年级学生</w:t>
            </w:r>
          </w:p>
        </w:tc>
      </w:tr>
      <w:tr>
        <w:tc>
          <w:tcPr>
            <w:tcW w:type="dxa" w:w="4706"/>
          </w:tcPr>
          <w:p>
            <w:r>
              <w:rPr>
                <w:b w:val="0"/>
              </w:rPr>
              <w:t>实验学时</w:t>
            </w:r>
          </w:p>
        </w:tc>
        <w:tc>
          <w:tcPr>
            <w:tcW w:type="dxa" w:w="4706"/>
          </w:tcPr>
          <w:p>
            <w:r>
              <w:rPr>
                <w:b w:val="0"/>
              </w:rPr>
              <w:t>共 8 学时，第 5 次课与第 6 次课各 4 学时</w:t>
            </w:r>
          </w:p>
        </w:tc>
      </w:tr>
      <w:tr>
        <w:tc>
          <w:tcPr>
            <w:tcW w:type="dxa" w:w="4706"/>
          </w:tcPr>
          <w:p>
            <w:r>
              <w:rPr>
                <w:b w:val="0"/>
              </w:rPr>
              <w:t>实验性质</w:t>
            </w:r>
          </w:p>
        </w:tc>
        <w:tc>
          <w:tcPr>
            <w:tcW w:type="dxa" w:w="4706"/>
          </w:tcPr>
          <w:p>
            <w:r>
              <w:rPr>
                <w:b w:val="0"/>
              </w:rPr>
              <w:t>综合性实验，含程序阅读、实现、验证和分析</w:t>
            </w:r>
          </w:p>
        </w:tc>
      </w:tr>
      <w:tr>
        <w:tc>
          <w:tcPr>
            <w:tcW w:type="dxa" w:w="4706"/>
          </w:tcPr>
          <w:p>
            <w:r>
              <w:rPr>
                <w:b w:val="0"/>
              </w:rPr>
              <w:t>实验形式</w:t>
            </w:r>
          </w:p>
        </w:tc>
        <w:tc>
          <w:tcPr>
            <w:tcW w:type="dxa" w:w="4706"/>
          </w:tcPr>
          <w:p>
            <w:r>
              <w:rPr>
                <w:b w:val="0"/>
              </w:rPr>
              <w:t>教师讲解与演示，学生上机实践，完成一份综合实验报告</w:t>
            </w:r>
          </w:p>
        </w:tc>
      </w:tr>
      <w:tr>
        <w:tc>
          <w:tcPr>
            <w:tcW w:type="dxa" w:w="4706"/>
          </w:tcPr>
          <w:p>
            <w:r>
              <w:rPr>
                <w:b w:val="0"/>
              </w:rPr>
              <w:t>实验环境</w:t>
            </w:r>
          </w:p>
        </w:tc>
        <w:tc>
          <w:tcPr>
            <w:tcW w:type="dxa" w:w="4706"/>
          </w:tcPr>
          <w:p>
            <w:r>
              <w:rPr>
                <w:b w:val="0"/>
              </w:rPr>
              <w:t>普通笔记本 CPU；Python、PyTorch、NumPy、Matplotlib</w:t>
            </w:r>
          </w:p>
        </w:tc>
      </w:tr>
      <w:tr>
        <w:tc>
          <w:tcPr>
            <w:tcW w:type="dxa" w:w="4706"/>
          </w:tcPr>
          <w:p>
            <w:r>
              <w:rPr>
                <w:b w:val="0"/>
              </w:rPr>
              <w:t>先修基础</w:t>
            </w:r>
          </w:p>
        </w:tc>
        <w:tc>
          <w:tcPr>
            <w:tcW w:type="dxa" w:w="4706"/>
          </w:tcPr>
          <w:p>
            <w:r>
              <w:rPr>
                <w:b w:val="0"/>
              </w:rPr>
              <w:t>CNN、反向传播、优化器、PyTorch 基本训练流程及 RNN、LSTM 基本原理</w:t>
            </w:r>
          </w:p>
        </w:tc>
      </w:tr>
    </w:tbl>
    <w:p>
      <w:pPr>
        <w:pStyle w:val="Heading2"/>
      </w:pPr>
      <w:r>
        <w:t>二、实验目标</w:t>
      </w:r>
    </w:p>
    <w:p>
      <w:r>
        <w:rPr>
          <w:b w:val="0"/>
        </w:rPr>
        <w:t>1. 解释字符 ID、Embedding、循环层隐藏状态和分类分数的作用，正确说明主要张量维度的变化。</w:t>
      </w:r>
    </w:p>
    <w:p>
      <w:r>
        <w:rPr>
          <w:b w:val="0"/>
        </w:rPr>
        <w:t>2. 完成真实中文情感数据的读取、有效性检查、去重、抽样、字符编码、截断、右侧填充及批量加载。</w:t>
      </w:r>
    </w:p>
    <w:p>
      <w:r>
        <w:rPr>
          <w:b w:val="0"/>
        </w:rPr>
        <w:t>3. 搭建小型单向单层 LSTM 和普通 RNN 分类模型，按有效长度提取最后有效状态，验证前向传播、反向传播、梯度裁剪和参数更新。</w:t>
      </w:r>
    </w:p>
    <w:p>
      <w:r>
        <w:rPr>
          <w:b w:val="0"/>
        </w:rPr>
        <w:t>4. 完成训练、验证、最佳模型保存与加载，区分训练集、验证集和测试集的用途，避免数据泄漏和测试集调参。</w:t>
      </w:r>
    </w:p>
    <w:p>
      <w:r>
        <w:rPr>
          <w:b w:val="0"/>
        </w:rPr>
        <w:t>5. 在一致条件下比较 Accuracy、参数量、累计训练时间和训练曲线；结合至多三条真实误分类给出有依据的分析。</w:t>
      </w:r>
    </w:p>
    <w:p>
      <w:r>
        <w:rPr>
          <w:b w:val="0"/>
        </w:rPr>
        <w:t>6. 形成可复现的实验记录和综合报告，如实表述实验结果，明确数据转换、文本截断和单次实验结论的边界。</w:t>
      </w:r>
    </w:p>
    <w:p>
      <w:pPr>
        <w:pStyle w:val="Heading2"/>
      </w:pPr>
      <w:r>
        <w:t>三、教学重点与难点</w:t>
      </w:r>
    </w:p>
    <w:p>
      <w:r>
        <w:rPr>
          <w:b/>
        </w:rPr>
        <w:t>教学重点：</w:t>
      </w:r>
      <w:r>
        <w:rPr>
          <w:b w:val="0"/>
        </w:rPr>
        <w:t xml:space="preserve"> 字符编码与 Embedding；RNN/LSTM 的结构与张量维度；完整训练及评价流程；模型比较和真实错误分析。</w:t>
      </w:r>
    </w:p>
    <w:p>
      <w:r>
        <w:rPr>
          <w:b/>
        </w:rPr>
        <w:t>教学难点：</w:t>
      </w:r>
      <w:r>
        <w:rPr>
          <w:b w:val="0"/>
        </w:rPr>
        <w:t xml:space="preserve"> 只根据训练集建立字符表；最后有效状态如何避开 PAD，以及它与平均池化的信息传递方式差异；按验证表现选模型；解释相同隐藏维度下参数量不同，以及 LSTM 不一定更准确的原因。</w:t>
      </w:r>
    </w:p>
    <w:p>
      <w:r>
        <w:br w:type="page"/>
      </w:r>
    </w:p>
    <w:p>
      <w:pPr>
        <w:pStyle w:val="Heading2"/>
      </w:pPr>
      <w:r>
        <w:t>四、实验内容与学时分配</w:t>
      </w:r>
    </w:p>
    <w:p>
      <w:r>
        <w:rPr>
          <w:b w:val="0"/>
        </w:rPr>
        <w:t>以下按每次课 4 个教学单元安排，共 8 学时；每学时的实际分钟数按学校课表执行。</w:t>
      </w:r>
    </w:p>
    <w:p>
      <w:pPr>
        <w:pStyle w:val="Heading3"/>
      </w:pPr>
      <w:r>
        <w:t>（一）第 5 次课：文本处理与 LSTM 情感分类（4 学时）</w:t>
      </w:r>
    </w:p>
    <w:tbl>
      <w:tblPr>
        <w:tblStyle w:val="TableGrid"/>
        <w:tblW w:type="auto" w:w="0"/>
        <w:tblLook w:firstColumn="1" w:firstRow="1" w:lastColumn="0" w:lastRow="0" w:noHBand="0" w:noVBand="1" w:val="04A0"/>
      </w:tblPr>
      <w:tblGrid>
        <w:gridCol w:w="3137"/>
        <w:gridCol w:w="3137"/>
        <w:gridCol w:w="3137"/>
      </w:tblGrid>
      <w:tr>
        <w:trPr>
          <w:tblHeader/>
        </w:trPr>
        <w:tc>
          <w:tcPr>
            <w:tcW w:type="dxa" w:w="3137"/>
            <w:shd w:fill="E8EEF5"/>
          </w:tcPr>
          <w:p>
            <w:r>
              <w:rPr>
                <w:b/>
              </w:rPr>
              <w:t>学时</w:t>
            </w:r>
          </w:p>
        </w:tc>
        <w:tc>
          <w:tcPr>
            <w:tcW w:type="dxa" w:w="3137"/>
            <w:shd w:fill="E8EEF5"/>
          </w:tcPr>
          <w:p>
            <w:r>
              <w:rPr>
                <w:b/>
              </w:rPr>
              <w:t>实验任务</w:t>
            </w:r>
          </w:p>
        </w:tc>
        <w:tc>
          <w:tcPr>
            <w:tcW w:type="dxa" w:w="3137"/>
            <w:shd w:fill="E8EEF5"/>
          </w:tcPr>
          <w:p>
            <w:r>
              <w:rPr>
                <w:b/>
              </w:rPr>
              <w:t>完成标志与观察内容</w:t>
            </w:r>
          </w:p>
        </w:tc>
      </w:tr>
      <w:tr>
        <w:tc>
          <w:tcPr>
            <w:tcW w:type="dxa" w:w="3137"/>
          </w:tcPr>
          <w:p>
            <w:r>
              <w:rPr>
                <w:b w:val="0"/>
              </w:rPr>
              <w:t>1</w:t>
            </w:r>
          </w:p>
        </w:tc>
        <w:tc>
          <w:tcPr>
            <w:tcW w:type="dxa" w:w="3137"/>
          </w:tcPr>
          <w:p>
            <w:r>
              <w:rPr>
                <w:b w:val="0"/>
              </w:rPr>
              <w:t>检查 Python 与依赖；读取公开数据；检查空文本、无效标签及重复文本；保留官方划分并固定抽样。</w:t>
            </w:r>
          </w:p>
        </w:tc>
        <w:tc>
          <w:tcPr>
            <w:tcW w:type="dxa" w:w="3137"/>
          </w:tcPr>
          <w:p>
            <w:r>
              <w:rPr>
                <w:b w:val="0"/>
              </w:rPr>
              <w:t>给出数据来源、标签转换规则及各集合正负数量；确认三个集合没有重复全文。</w:t>
            </w:r>
          </w:p>
        </w:tc>
      </w:tr>
      <w:tr>
        <w:tc>
          <w:tcPr>
            <w:tcW w:type="dxa" w:w="3137"/>
          </w:tcPr>
          <w:p>
            <w:r>
              <w:rPr>
                <w:b w:val="0"/>
              </w:rPr>
              <w:t>1</w:t>
            </w:r>
          </w:p>
        </w:tc>
        <w:tc>
          <w:tcPr>
            <w:tcW w:type="dxa" w:w="3137"/>
          </w:tcPr>
          <w:p>
            <w:r>
              <w:rPr>
                <w:b w:val="0"/>
              </w:rPr>
              <w:t>仅用训练集建立字符表；实现 PAD/UNK、长度 256 的截断与右填充；构建 Dataset 和 DataLoader。</w:t>
            </w:r>
          </w:p>
        </w:tc>
        <w:tc>
          <w:tcPr>
            <w:tcW w:type="dxa" w:w="3137"/>
          </w:tcPr>
          <w:p>
            <w:r>
              <w:rPr>
                <w:b w:val="0"/>
              </w:rPr>
              <w:t>展示一条真实编码示例；观察输入、标签、长度形状，说明有效长度的含义。</w:t>
            </w:r>
          </w:p>
        </w:tc>
      </w:tr>
      <w:tr>
        <w:tc>
          <w:tcPr>
            <w:tcW w:type="dxa" w:w="3137"/>
          </w:tcPr>
          <w:p>
            <w:r>
              <w:rPr>
                <w:b w:val="0"/>
              </w:rPr>
              <w:t>1</w:t>
            </w:r>
          </w:p>
        </w:tc>
        <w:tc>
          <w:tcPr>
            <w:tcW w:type="dxa" w:w="3137"/>
          </w:tcPr>
          <w:p>
            <w:r>
              <w:rPr>
                <w:b w:val="0"/>
              </w:rPr>
              <w:t>阅读并实现 Embedding—LSTM—最后有效状态—分类层；了解 Dropout 和梯度裁剪；完成单批次检查。</w:t>
            </w:r>
          </w:p>
        </w:tc>
        <w:tc>
          <w:tcPr>
            <w:tcW w:type="dxa" w:w="3137"/>
          </w:tcPr>
          <w:p>
            <w:r>
              <w:rPr>
                <w:b w:val="0"/>
              </w:rPr>
              <w:t>打印模型结构、张量形状和参数量；确认前向、反向及 Adam 更新正常。</w:t>
            </w:r>
          </w:p>
        </w:tc>
      </w:tr>
      <w:tr>
        <w:tc>
          <w:tcPr>
            <w:tcW w:type="dxa" w:w="3137"/>
          </w:tcPr>
          <w:p>
            <w:r>
              <w:rPr>
                <w:b w:val="0"/>
              </w:rPr>
              <w:t>1</w:t>
            </w:r>
          </w:p>
        </w:tc>
        <w:tc>
          <w:tcPr>
            <w:tcW w:type="dxa" w:w="3137"/>
          </w:tcPr>
          <w:p>
            <w:r>
              <w:rPr>
                <w:b w:val="0"/>
              </w:rPr>
              <w:t>完成 LSTM 训练与验证；按验证 Accuracy 保存最佳模型；绘制训练 Loss 和验证 Accuracy 曲线。</w:t>
            </w:r>
          </w:p>
        </w:tc>
        <w:tc>
          <w:tcPr>
            <w:tcW w:type="dxa" w:w="3137"/>
          </w:tcPr>
          <w:p>
            <w:r>
              <w:rPr>
                <w:b w:val="0"/>
              </w:rPr>
              <w:t>保存模型、配置、字符表和训练日志；说明最佳轮次与最后轮次可能不同。</w:t>
            </w:r>
          </w:p>
        </w:tc>
      </w:tr>
    </w:tbl>
    <w:p>
      <w:r>
        <w:rPr>
          <w:b w:val="0"/>
        </w:rPr>
        <w:t>本次课阶段成果：处理后的数据与字符表、真实编码示例、LSTM 最佳验证模型、训练记录及曲线。此阶段不以测试集成绩决定训练设置。</w:t>
      </w:r>
    </w:p>
    <w:p>
      <w:pPr>
        <w:pStyle w:val="Heading3"/>
      </w:pPr>
      <w:r>
        <w:t>（二）第 6 次课：RNN 与 LSTM 比较（4 学时）</w:t>
      </w:r>
    </w:p>
    <w:tbl>
      <w:tblPr>
        <w:tblStyle w:val="TableGrid"/>
        <w:tblW w:type="auto" w:w="0"/>
        <w:tblLook w:firstColumn="1" w:firstRow="1" w:lastColumn="0" w:lastRow="0" w:noHBand="0" w:noVBand="1" w:val="04A0"/>
      </w:tblPr>
      <w:tblGrid>
        <w:gridCol w:w="3137"/>
        <w:gridCol w:w="3137"/>
        <w:gridCol w:w="3137"/>
      </w:tblGrid>
      <w:tr>
        <w:trPr>
          <w:tblHeader/>
        </w:trPr>
        <w:tc>
          <w:tcPr>
            <w:tcW w:type="dxa" w:w="3137"/>
            <w:shd w:fill="E8EEF5"/>
          </w:tcPr>
          <w:p>
            <w:r>
              <w:rPr>
                <w:b/>
              </w:rPr>
              <w:t>学时</w:t>
            </w:r>
          </w:p>
        </w:tc>
        <w:tc>
          <w:tcPr>
            <w:tcW w:type="dxa" w:w="3137"/>
            <w:shd w:fill="E8EEF5"/>
          </w:tcPr>
          <w:p>
            <w:r>
              <w:rPr>
                <w:b/>
              </w:rPr>
              <w:t>实验任务</w:t>
            </w:r>
          </w:p>
        </w:tc>
        <w:tc>
          <w:tcPr>
            <w:tcW w:type="dxa" w:w="3137"/>
            <w:shd w:fill="E8EEF5"/>
          </w:tcPr>
          <w:p>
            <w:r>
              <w:rPr>
                <w:b/>
              </w:rPr>
              <w:t>完成标志与观察内容</w:t>
            </w:r>
          </w:p>
        </w:tc>
      </w:tr>
      <w:tr>
        <w:tc>
          <w:tcPr>
            <w:tcW w:type="dxa" w:w="3137"/>
          </w:tcPr>
          <w:p>
            <w:r>
              <w:rPr>
                <w:b w:val="0"/>
              </w:rPr>
              <w:t>1</w:t>
            </w:r>
          </w:p>
        </w:tc>
        <w:tc>
          <w:tcPr>
            <w:tcW w:type="dxa" w:w="3137"/>
          </w:tcPr>
          <w:p>
            <w:r>
              <w:rPr>
                <w:b w:val="0"/>
              </w:rPr>
              <w:t>将循环层切换为普通 RNN；复用数据、训练和验证函数；按相同超参数完成训练。</w:t>
            </w:r>
          </w:p>
        </w:tc>
        <w:tc>
          <w:tcPr>
            <w:tcW w:type="dxa" w:w="3137"/>
          </w:tcPr>
          <w:p>
            <w:r>
              <w:rPr>
                <w:b w:val="0"/>
              </w:rPr>
              <w:t>保存 RNN 最佳验证模型及日志；核对两模型的数据和训练条件一致。</w:t>
            </w:r>
          </w:p>
        </w:tc>
      </w:tr>
      <w:tr>
        <w:tc>
          <w:tcPr>
            <w:tcW w:type="dxa" w:w="3137"/>
          </w:tcPr>
          <w:p>
            <w:r>
              <w:rPr>
                <w:b w:val="0"/>
              </w:rPr>
              <w:t>1</w:t>
            </w:r>
          </w:p>
        </w:tc>
        <w:tc>
          <w:tcPr>
            <w:tcW w:type="dxa" w:w="3137"/>
          </w:tcPr>
          <w:p>
            <w:r>
              <w:rPr>
                <w:b w:val="0"/>
              </w:rPr>
              <w:t>分别加载按验证 Accuracy 选出的最佳模型；在同一测试集上进行最终评价。</w:t>
            </w:r>
          </w:p>
        </w:tc>
        <w:tc>
          <w:tcPr>
            <w:tcW w:type="dxa" w:w="3137"/>
          </w:tcPr>
          <w:p>
            <w:r>
              <w:rPr>
                <w:b w:val="0"/>
              </w:rPr>
              <w:t>输出两模型测试 Accuracy 与正确数/总数；保存全部测试预测。</w:t>
            </w:r>
          </w:p>
        </w:tc>
      </w:tr>
      <w:tr>
        <w:tc>
          <w:tcPr>
            <w:tcW w:type="dxa" w:w="3137"/>
          </w:tcPr>
          <w:p>
            <w:r>
              <w:rPr>
                <w:b w:val="0"/>
              </w:rPr>
              <w:t>1</w:t>
            </w:r>
          </w:p>
        </w:tc>
        <w:tc>
          <w:tcPr>
            <w:tcW w:type="dxa" w:w="3137"/>
          </w:tcPr>
          <w:p>
            <w:r>
              <w:rPr>
                <w:b w:val="0"/>
              </w:rPr>
              <w:t>汇总 Accuracy、参数量、累计训练时间、最佳轮次和训练曲线，生成比较表及图片。</w:t>
            </w:r>
          </w:p>
        </w:tc>
        <w:tc>
          <w:tcPr>
            <w:tcW w:type="dxa" w:w="3137"/>
          </w:tcPr>
          <w:p>
            <w:r>
              <w:rPr>
                <w:b w:val="0"/>
              </w:rPr>
              <w:t>核对时间统计范围；解释性能和计算成本差异，限定结论适用条件。</w:t>
            </w:r>
          </w:p>
        </w:tc>
      </w:tr>
      <w:tr>
        <w:tc>
          <w:tcPr>
            <w:tcW w:type="dxa" w:w="3137"/>
          </w:tcPr>
          <w:p>
            <w:r>
              <w:rPr>
                <w:b w:val="0"/>
              </w:rPr>
              <w:t>1</w:t>
            </w:r>
          </w:p>
        </w:tc>
        <w:tc>
          <w:tcPr>
            <w:tcW w:type="dxa" w:w="3137"/>
          </w:tcPr>
          <w:p>
            <w:r>
              <w:rPr>
                <w:b w:val="0"/>
              </w:rPr>
              <w:t>查看最多三条真实误分类，对照全文与模型可见前缀；整理综合报告。</w:t>
            </w:r>
          </w:p>
        </w:tc>
        <w:tc>
          <w:tcPr>
            <w:tcW w:type="dxa" w:w="3137"/>
          </w:tcPr>
          <w:p>
            <w:r>
              <w:rPr>
                <w:b w:val="0"/>
              </w:rPr>
              <w:t>展示真假标签及文本依据；分析否定、转折、截断、标签歧义或训练不足等可能因素。</w:t>
            </w:r>
          </w:p>
        </w:tc>
      </w:tr>
    </w:tbl>
    <w:p>
      <w:r>
        <w:rPr>
          <w:b w:val="0"/>
        </w:rPr>
        <w:t>本次课阶段成果：RNN 最佳模型、两个模型的最终测试记录、比较表与图片、误分类分析和两次课综合报告。</w:t>
      </w:r>
    </w:p>
    <w:p>
      <w:r>
        <w:br w:type="page"/>
      </w:r>
    </w:p>
    <w:p>
      <w:pPr>
        <w:pStyle w:val="Heading2"/>
      </w:pPr>
      <w:r>
        <w:t>五、实验方案与技术要求</w:t>
      </w:r>
    </w:p>
    <w:p>
      <w:pPr>
        <w:pStyle w:val="Heading3"/>
      </w:pPr>
      <w:r>
        <w:t>（一）数据与文本编码</w:t>
      </w:r>
    </w:p>
    <w:p>
      <w:r>
        <w:rPr>
          <w:b w:val="0"/>
        </w:rPr>
        <w:t>采用作者公开的 ASAP 中文餐饮评论数据集，发布仓库附 Apache-2.0 许可。原始数据共 46,730 条，带整体星级评分及官方训练、验证、测试划分。项目可自动下载固定版本并校验文件，也支持按数据说明手动下载后离线处理。</w:t>
      </w:r>
    </w:p>
    <w:p>
      <w:r>
        <w:rPr>
          <w:b w:val="0"/>
        </w:rPr>
        <w:t>1. 使用整体星级构造二分类：1–2 星为负面（0），4–5 星为正面（1），排除 3 星；不使用细粒度方面标签。</w:t>
      </w:r>
    </w:p>
    <w:p>
      <w:r>
        <w:rPr>
          <w:b w:val="0"/>
        </w:rPr>
        <w:t>2. 检查无效记录，移除标签冲突全文，对其余全文全局去重；保持官方集合归属，在各集合内按固定种子无放回均衡抽样。</w:t>
      </w:r>
    </w:p>
    <w:p>
      <w:r>
        <w:rPr>
          <w:b w:val="0"/>
        </w:rPr>
        <w:t>3. 默认抽取 2500 条，训练/验证/测试分别为 2000/250/250，各集合正负各半。均衡抽样后的类别比例与原始平台不同。</w:t>
      </w:r>
    </w:p>
    <w:p>
      <w:r>
        <w:rPr>
          <w:b w:val="0"/>
        </w:rPr>
        <w:t>4. 只用训练集建立字符表，PAD=0、UNK=1。保留否定词和常见标点，不分词；最大长度 256，超长截断，不足右填充，保存有效长度。</w:t>
      </w:r>
    </w:p>
    <w:p>
      <w:r>
        <w:rPr>
          <w:b/>
        </w:rPr>
        <w:t>数据局限：</w:t>
      </w:r>
      <w:r>
        <w:rPr>
          <w:b w:val="0"/>
        </w:rPr>
        <w:t xml:space="preserve"> 默认抽样中有 1473 条超过 256 字，模型最多看到前 256 字；整体星级也可能与局部文本情绪不同。报告必须说明这两点，不能把前缀分类描述为完整评论的理解能力。优化版与旧版保留同一批样本及标签，验证集用于选择输入长度和最佳轮次。</w:t>
      </w:r>
    </w:p>
    <w:p>
      <w:pPr>
        <w:pStyle w:val="Heading3"/>
      </w:pPr>
      <w:r>
        <w:t>（二）网络结构与统一配置</w:t>
      </w:r>
    </w:p>
    <w:p>
      <w:r>
        <w:rPr>
          <w:b w:val="0"/>
        </w:rPr>
        <w:t>统一结构：字符 ID → Embedding → Dropout → RNN 或 LSTM → 最后有效状态 → Dropout → 全连接层 → 两类 logits。早期信息需要通过循环状态传递到有效前缀末端；保留平均池化用于对照。此设置适合讨论序列信息传递，不保证更高的绝对准确率，也不单独证明长距离依赖的因果作用。</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shd w:fill="E8EEF5"/>
          </w:tcPr>
          <w:p>
            <w:r>
              <w:rPr>
                <w:b/>
              </w:rPr>
              <w:t>参数</w:t>
            </w:r>
          </w:p>
        </w:tc>
        <w:tc>
          <w:tcPr>
            <w:tcW w:type="dxa" w:w="2353"/>
            <w:shd w:fill="E8EEF5"/>
          </w:tcPr>
          <w:p>
            <w:r>
              <w:rPr>
                <w:b/>
              </w:rPr>
              <w:t>默认设置</w:t>
            </w:r>
          </w:p>
        </w:tc>
        <w:tc>
          <w:tcPr>
            <w:tcW w:type="dxa" w:w="2353"/>
            <w:shd w:fill="E8EEF5"/>
          </w:tcPr>
          <w:p>
            <w:r>
              <w:rPr>
                <w:b/>
              </w:rPr>
              <w:t>参数</w:t>
            </w:r>
          </w:p>
        </w:tc>
        <w:tc>
          <w:tcPr>
            <w:tcW w:type="dxa" w:w="2353"/>
            <w:shd w:fill="E8EEF5"/>
          </w:tcPr>
          <w:p>
            <w:r>
              <w:rPr>
                <w:b/>
              </w:rPr>
              <w:t>默认设置</w:t>
            </w:r>
          </w:p>
        </w:tc>
      </w:tr>
      <w:tr>
        <w:tc>
          <w:tcPr>
            <w:tcW w:type="dxa" w:w="2353"/>
          </w:tcPr>
          <w:p>
            <w:r>
              <w:rPr>
                <w:b w:val="0"/>
              </w:rPr>
              <w:t>最大序列长度</w:t>
            </w:r>
          </w:p>
        </w:tc>
        <w:tc>
          <w:tcPr>
            <w:tcW w:type="dxa" w:w="2353"/>
          </w:tcPr>
          <w:p>
            <w:r>
              <w:rPr>
                <w:b w:val="0"/>
              </w:rPr>
              <w:t>256</w:t>
            </w:r>
          </w:p>
        </w:tc>
        <w:tc>
          <w:tcPr>
            <w:tcW w:type="dxa" w:w="2353"/>
          </w:tcPr>
          <w:p>
            <w:r>
              <w:rPr>
                <w:b w:val="0"/>
              </w:rPr>
              <w:t>Embedding 维度</w:t>
            </w:r>
          </w:p>
        </w:tc>
        <w:tc>
          <w:tcPr>
            <w:tcW w:type="dxa" w:w="2353"/>
          </w:tcPr>
          <w:p>
            <w:r>
              <w:rPr>
                <w:b w:val="0"/>
              </w:rPr>
              <w:t>64</w:t>
            </w:r>
          </w:p>
        </w:tc>
      </w:tr>
      <w:tr>
        <w:tc>
          <w:tcPr>
            <w:tcW w:type="dxa" w:w="2353"/>
          </w:tcPr>
          <w:p>
            <w:r>
              <w:rPr>
                <w:b w:val="0"/>
              </w:rPr>
              <w:t>隐藏维度</w:t>
            </w:r>
          </w:p>
        </w:tc>
        <w:tc>
          <w:tcPr>
            <w:tcW w:type="dxa" w:w="2353"/>
          </w:tcPr>
          <w:p>
            <w:r>
              <w:rPr>
                <w:b w:val="0"/>
              </w:rPr>
              <w:t>64</w:t>
            </w:r>
          </w:p>
        </w:tc>
        <w:tc>
          <w:tcPr>
            <w:tcW w:type="dxa" w:w="2353"/>
          </w:tcPr>
          <w:p>
            <w:r>
              <w:rPr>
                <w:b w:val="0"/>
              </w:rPr>
              <w:t>网络层数</w:t>
            </w:r>
          </w:p>
        </w:tc>
        <w:tc>
          <w:tcPr>
            <w:tcW w:type="dxa" w:w="2353"/>
          </w:tcPr>
          <w:p>
            <w:r>
              <w:rPr>
                <w:b w:val="0"/>
              </w:rPr>
              <w:t>1</w:t>
            </w:r>
          </w:p>
        </w:tc>
      </w:tr>
      <w:tr>
        <w:tc>
          <w:tcPr>
            <w:tcW w:type="dxa" w:w="2353"/>
          </w:tcPr>
          <w:p>
            <w:r>
              <w:rPr>
                <w:b w:val="0"/>
              </w:rPr>
              <w:t>网络方向</w:t>
            </w:r>
          </w:p>
        </w:tc>
        <w:tc>
          <w:tcPr>
            <w:tcW w:type="dxa" w:w="2353"/>
          </w:tcPr>
          <w:p>
            <w:r>
              <w:rPr>
                <w:b w:val="0"/>
              </w:rPr>
              <w:t>单向</w:t>
            </w:r>
          </w:p>
        </w:tc>
        <w:tc>
          <w:tcPr>
            <w:tcW w:type="dxa" w:w="2353"/>
          </w:tcPr>
          <w:p>
            <w:r>
              <w:rPr>
                <w:b w:val="0"/>
              </w:rPr>
              <w:t>Batch Size</w:t>
            </w:r>
          </w:p>
        </w:tc>
        <w:tc>
          <w:tcPr>
            <w:tcW w:type="dxa" w:w="2353"/>
          </w:tcPr>
          <w:p>
            <w:r>
              <w:rPr>
                <w:b w:val="0"/>
              </w:rPr>
              <w:t>32</w:t>
            </w:r>
          </w:p>
        </w:tc>
      </w:tr>
      <w:tr>
        <w:tc>
          <w:tcPr>
            <w:tcW w:type="dxa" w:w="2353"/>
          </w:tcPr>
          <w:p>
            <w:r>
              <w:rPr>
                <w:b w:val="0"/>
              </w:rPr>
              <w:t>Epoch</w:t>
            </w:r>
          </w:p>
        </w:tc>
        <w:tc>
          <w:tcPr>
            <w:tcW w:type="dxa" w:w="2353"/>
          </w:tcPr>
          <w:p>
            <w:r>
              <w:rPr>
                <w:b w:val="0"/>
              </w:rPr>
              <w:t>20</w:t>
            </w:r>
          </w:p>
        </w:tc>
        <w:tc>
          <w:tcPr>
            <w:tcW w:type="dxa" w:w="2353"/>
          </w:tcPr>
          <w:p>
            <w:r>
              <w:rPr>
                <w:b w:val="0"/>
              </w:rPr>
              <w:t>优化器</w:t>
            </w:r>
          </w:p>
        </w:tc>
        <w:tc>
          <w:tcPr>
            <w:tcW w:type="dxa" w:w="2353"/>
          </w:tcPr>
          <w:p>
            <w:r>
              <w:rPr>
                <w:b w:val="0"/>
              </w:rPr>
              <w:t>Adam</w:t>
            </w:r>
          </w:p>
        </w:tc>
      </w:tr>
      <w:tr>
        <w:tc>
          <w:tcPr>
            <w:tcW w:type="dxa" w:w="2353"/>
          </w:tcPr>
          <w:p>
            <w:r>
              <w:rPr>
                <w:b w:val="0"/>
              </w:rPr>
              <w:t>学习率</w:t>
            </w:r>
          </w:p>
        </w:tc>
        <w:tc>
          <w:tcPr>
            <w:tcW w:type="dxa" w:w="2353"/>
          </w:tcPr>
          <w:p>
            <w:r>
              <w:rPr>
                <w:b w:val="0"/>
              </w:rPr>
              <w:t>0.002</w:t>
            </w:r>
          </w:p>
        </w:tc>
        <w:tc>
          <w:tcPr>
            <w:tcW w:type="dxa" w:w="2353"/>
          </w:tcPr>
          <w:p>
            <w:r>
              <w:rPr>
                <w:b w:val="0"/>
              </w:rPr>
              <w:t>损失函数</w:t>
            </w:r>
          </w:p>
        </w:tc>
        <w:tc>
          <w:tcPr>
            <w:tcW w:type="dxa" w:w="2353"/>
          </w:tcPr>
          <w:p>
            <w:r>
              <w:rPr>
                <w:b w:val="0"/>
              </w:rPr>
              <w:t>CrossEntropyLoss</w:t>
            </w:r>
          </w:p>
        </w:tc>
      </w:tr>
      <w:tr>
        <w:tc>
          <w:tcPr>
            <w:tcW w:type="dxa" w:w="2353"/>
          </w:tcPr>
          <w:p>
            <w:r>
              <w:rPr>
                <w:b w:val="0"/>
              </w:rPr>
              <w:t>表示方式</w:t>
            </w:r>
          </w:p>
        </w:tc>
        <w:tc>
          <w:tcPr>
            <w:tcW w:type="dxa" w:w="2353"/>
          </w:tcPr>
          <w:p>
            <w:r>
              <w:rPr>
                <w:b w:val="0"/>
              </w:rPr>
              <w:t>最后有效状态</w:t>
            </w:r>
          </w:p>
        </w:tc>
        <w:tc>
          <w:tcPr>
            <w:tcW w:type="dxa" w:w="2353"/>
          </w:tcPr>
          <w:p>
            <w:r>
              <w:rPr>
                <w:b w:val="0"/>
              </w:rPr>
              <w:t>Dropout</w:t>
            </w:r>
          </w:p>
        </w:tc>
        <w:tc>
          <w:tcPr>
            <w:tcW w:type="dxa" w:w="2353"/>
          </w:tcPr>
          <w:p>
            <w:r>
              <w:rPr>
                <w:b w:val="0"/>
              </w:rPr>
              <w:t>0.2</w:t>
            </w:r>
          </w:p>
        </w:tc>
      </w:tr>
      <w:tr>
        <w:tc>
          <w:tcPr>
            <w:tcW w:type="dxa" w:w="2353"/>
          </w:tcPr>
          <w:p>
            <w:r>
              <w:rPr>
                <w:b w:val="0"/>
              </w:rPr>
              <w:t>权重衰减</w:t>
            </w:r>
          </w:p>
        </w:tc>
        <w:tc>
          <w:tcPr>
            <w:tcW w:type="dxa" w:w="2353"/>
          </w:tcPr>
          <w:p>
            <w:r>
              <w:rPr>
                <w:b w:val="0"/>
              </w:rPr>
              <w:t>0.0001</w:t>
            </w:r>
          </w:p>
        </w:tc>
        <w:tc>
          <w:tcPr>
            <w:tcW w:type="dxa" w:w="2353"/>
          </w:tcPr>
          <w:p>
            <w:r>
              <w:rPr>
                <w:b w:val="0"/>
              </w:rPr>
              <w:t>梯度范数上限</w:t>
            </w:r>
          </w:p>
        </w:tc>
        <w:tc>
          <w:tcPr>
            <w:tcW w:type="dxa" w:w="2353"/>
          </w:tcPr>
          <w:p>
            <w:r>
              <w:rPr>
                <w:b w:val="0"/>
              </w:rPr>
              <w:t>1.0</w:t>
            </w:r>
          </w:p>
        </w:tc>
      </w:tr>
      <w:tr>
        <w:tc>
          <w:tcPr>
            <w:tcW w:type="dxa" w:w="2353"/>
          </w:tcPr>
          <w:p>
            <w:r>
              <w:rPr>
                <w:b w:val="0"/>
              </w:rPr>
              <w:t>随机种子</w:t>
            </w:r>
          </w:p>
        </w:tc>
        <w:tc>
          <w:tcPr>
            <w:tcW w:type="dxa" w:w="2353"/>
          </w:tcPr>
          <w:p>
            <w:r>
              <w:rPr>
                <w:b w:val="0"/>
              </w:rPr>
              <w:t>42</w:t>
            </w:r>
          </w:p>
        </w:tc>
        <w:tc>
          <w:tcPr>
            <w:tcW w:type="dxa" w:w="2353"/>
          </w:tcPr>
          <w:p>
            <w:r>
              <w:rPr>
                <w:b w:val="0"/>
              </w:rPr>
              <w:t>计算设备</w:t>
            </w:r>
          </w:p>
        </w:tc>
        <w:tc>
          <w:tcPr>
            <w:tcW w:type="dxa" w:w="2353"/>
          </w:tcPr>
          <w:p>
            <w:r>
              <w:rPr>
                <w:b w:val="0"/>
              </w:rPr>
              <w:t>CPU</w:t>
            </w:r>
          </w:p>
        </w:tc>
      </w:tr>
      <w:tr>
        <w:tc>
          <w:tcPr>
            <w:tcW w:type="dxa" w:w="2353"/>
          </w:tcPr>
          <w:p>
            <w:r>
              <w:rPr>
                <w:b w:val="0"/>
              </w:rPr>
              <w:t>CPU 线程数</w:t>
            </w:r>
          </w:p>
        </w:tc>
        <w:tc>
          <w:tcPr>
            <w:tcW w:type="dxa" w:w="2353"/>
          </w:tcPr>
          <w:p>
            <w:r>
              <w:rPr>
                <w:b w:val="0"/>
              </w:rPr>
              <w:t>2</w:t>
            </w:r>
          </w:p>
        </w:tc>
        <w:tc>
          <w:tcPr>
            <w:tcW w:type="dxa" w:w="2353"/>
          </w:tcPr>
          <w:p>
            <w:r>
              <w:rPr>
                <w:b w:val="0"/>
              </w:rPr>
              <w:t>最佳模型依据</w:t>
            </w:r>
          </w:p>
        </w:tc>
        <w:tc>
          <w:tcPr>
            <w:tcW w:type="dxa" w:w="2353"/>
          </w:tcPr>
          <w:p>
            <w:r>
              <w:rPr>
                <w:b w:val="0"/>
              </w:rPr>
              <w:t>验证 Accuracy</w:t>
            </w:r>
          </w:p>
        </w:tc>
      </w:tr>
    </w:tbl>
    <w:p>
      <w:r>
        <w:rPr>
          <w:b w:val="0"/>
        </w:rPr>
        <w:t xml:space="preserve">张量变化：[N,L] → [N,L,E] → [N,L,H] → [N,H] → [N,2]。N 为批次样本数，L 为序列长度，E 为嵌入维度，H 为隐藏维度。对每条文本取索引 </w:t>
      </w:r>
      <w:r>
        <w:rPr>
          <w:rFonts w:ascii="Consolas" w:hAnsi="Consolas"/>
          <w:b w:val="0"/>
        </w:rPr>
        <w:t>length-1</w:t>
      </w:r>
      <w:r>
        <w:rPr>
          <w:b w:val="0"/>
        </w:rPr>
        <w:t xml:space="preserve"> 的循环输出；不能取填充后的最后一步。平均池化对照模式用有效长度掩码排除 PAD。分类层不添加 softmax，交叉熵直接接收 logits。</w:t>
      </w:r>
    </w:p>
    <w:p>
      <w:pPr>
        <w:pStyle w:val="Heading3"/>
      </w:pPr>
      <w:r>
        <w:t>（三）训练、评价与比较规范</w:t>
      </w:r>
    </w:p>
    <w:p>
      <w:r>
        <w:rPr>
          <w:b w:val="0"/>
        </w:rPr>
        <w:t>仅训练集进行梯度更新，验证集用于选择配置与最佳轮次，测试集在两模型训练结束后做最终评价。同验证 Accuracy 时保留较早轮次。默认 20 Epoch；需要其他轮数时，应在最终测试前确定，且两模型一致。</w:t>
      </w:r>
    </w:p>
    <w:p>
      <w:r>
        <w:rPr>
          <w:b w:val="0"/>
        </w:rPr>
        <w:t>两模型使用相同数据、字符表、维度、批次顺序、初始 Embedding、池化方式、Dropout、权重衰减、梯度裁剪及其他超参数和线程数。训练时间仅累计各 Epoch 的训练批次，含加载、前向、反向、梯度裁剪和参数更新，排除下载、单批次检查、验证、保存、绘图与测试。相同隐藏维度不等于相同参数量；不预设 LSTM 必须更准确或更快。</w:t>
      </w:r>
    </w:p>
    <w:p>
      <w:r>
        <w:br w:type="page"/>
      </w:r>
    </w:p>
    <w:p>
      <w:pPr>
        <w:pStyle w:val="Heading2"/>
      </w:pPr>
      <w:r>
        <w:t>六、组织实施与操作流程</w:t>
      </w:r>
    </w:p>
    <w:p>
      <w:pPr>
        <w:pStyle w:val="Heading3"/>
      </w:pPr>
      <w:r>
        <w:t>（一）课前与课堂组织</w:t>
      </w:r>
    </w:p>
    <w:p>
      <w:r>
        <w:rPr>
          <w:b w:val="0"/>
        </w:rPr>
        <w:t>教师课前核验数据来源、运行环境和默认端到端流程，准备无法联网时的手动数据获取说明。学生复习 RNN/LSTM、交叉熵与 PyTorch 训练步骤。课堂按“原理说明—代码阅读与实现—运行核对—结果讨论”开展。</w:t>
      </w:r>
    </w:p>
    <w:p>
      <w:r>
        <w:rPr>
          <w:b w:val="0"/>
        </w:rPr>
        <w:t>基础实验使用普通 CPU，不要求 NVIDIA 显卡；使用 Python 3.10 及以上版本，依赖 PyTorch、NumPy、Matplotlib。环境安装按项目 README 执行，优先沿用已有可用环境。学生需理解、补充或修改指定核心代码，并能解释运行过程，不能只提交终端输出。</w:t>
      </w:r>
    </w:p>
    <w:p>
      <w:pPr>
        <w:pStyle w:val="Heading3"/>
      </w:pPr>
      <w:r>
        <w:t>（二）点击运行流程</w:t>
      </w:r>
    </w:p>
    <w:p>
      <w:r>
        <w:rPr>
          <w:b w:val="0"/>
        </w:rPr>
        <w:t>在 VS Code 中选择已安装依赖的解释器（当前工作区为 /opt/conda/bin/python），依次打开下表中的文件并点击右上角“运行 Python 文件”三角按钮。无需输入命令；每一步结束后再运行下一步。</w:t>
      </w:r>
    </w:p>
    <w:tbl>
      <w:tblPr>
        <w:tblStyle w:val="TableGrid"/>
        <w:tblW w:type="auto" w:w="0"/>
        <w:tblLook w:firstColumn="1" w:firstRow="1" w:lastColumn="0" w:lastRow="0" w:noHBand="0" w:noVBand="1" w:val="04A0"/>
      </w:tblPr>
      <w:tblGrid>
        <w:gridCol w:w="3137"/>
        <w:gridCol w:w="3137"/>
        <w:gridCol w:w="3137"/>
      </w:tblGrid>
      <w:tr>
        <w:trPr>
          <w:tblHeader/>
        </w:trPr>
        <w:tc>
          <w:tcPr>
            <w:tcW w:type="dxa" w:w="3137"/>
            <w:shd w:fill="E8EEF5"/>
          </w:tcPr>
          <w:p>
            <w:r>
              <w:rPr>
                <w:b/>
              </w:rPr>
              <w:t>阶段</w:t>
            </w:r>
          </w:p>
        </w:tc>
        <w:tc>
          <w:tcPr>
            <w:tcW w:type="dxa" w:w="3137"/>
            <w:shd w:fill="E8EEF5"/>
          </w:tcPr>
          <w:p>
            <w:r>
              <w:rPr>
                <w:b/>
              </w:rPr>
              <w:t>点击运行的文件</w:t>
            </w:r>
          </w:p>
        </w:tc>
        <w:tc>
          <w:tcPr>
            <w:tcW w:type="dxa" w:w="3137"/>
            <w:shd w:fill="E8EEF5"/>
          </w:tcPr>
          <w:p>
            <w:r>
              <w:rPr>
                <w:b/>
              </w:rPr>
              <w:t>主要输出</w:t>
            </w:r>
          </w:p>
        </w:tc>
      </w:tr>
      <w:tr>
        <w:tc>
          <w:tcPr>
            <w:tcW w:type="dxa" w:w="3137"/>
          </w:tcPr>
          <w:p>
            <w:r>
              <w:rPr>
                <w:b w:val="0"/>
              </w:rPr>
              <w:t>数据准备</w:t>
            </w:r>
          </w:p>
        </w:tc>
        <w:tc>
          <w:tcPr>
            <w:tcW w:type="dxa" w:w="3137"/>
          </w:tcPr>
          <w:p>
            <w:r>
              <w:rPr>
                <w:b w:val="0"/>
              </w:rPr>
              <w:t>prepare_data.py</w:t>
            </w:r>
          </w:p>
        </w:tc>
        <w:tc>
          <w:tcPr>
            <w:tcW w:type="dxa" w:w="3137"/>
          </w:tcPr>
          <w:p>
            <w:r>
              <w:rPr>
                <w:b w:val="0"/>
              </w:rPr>
              <w:t>数据统计、字符表、编码示例和处理后的样本。</w:t>
            </w:r>
          </w:p>
        </w:tc>
      </w:tr>
      <w:tr>
        <w:tc>
          <w:tcPr>
            <w:tcW w:type="dxa" w:w="3137"/>
          </w:tcPr>
          <w:p>
            <w:r>
              <w:rPr>
                <w:b w:val="0"/>
              </w:rPr>
              <w:t>LSTM 检查与训练</w:t>
            </w:r>
          </w:p>
        </w:tc>
        <w:tc>
          <w:tcPr>
            <w:tcW w:type="dxa" w:w="3137"/>
          </w:tcPr>
          <w:p>
            <w:r>
              <w:rPr>
                <w:b w:val="0"/>
              </w:rPr>
              <w:t>check_lstm.py → train.py</w:t>
            </w:r>
          </w:p>
        </w:tc>
        <w:tc>
          <w:tcPr>
            <w:tcW w:type="dxa" w:w="3137"/>
          </w:tcPr>
          <w:p>
            <w:r>
              <w:rPr>
                <w:b w:val="0"/>
              </w:rPr>
              <w:t>结构与更新检查、最佳模型、日志和曲线。</w:t>
            </w:r>
          </w:p>
        </w:tc>
      </w:tr>
      <w:tr>
        <w:tc>
          <w:tcPr>
            <w:tcW w:type="dxa" w:w="3137"/>
          </w:tcPr>
          <w:p>
            <w:r>
              <w:rPr>
                <w:b w:val="0"/>
              </w:rPr>
              <w:t>RNN 检查与训练</w:t>
            </w:r>
          </w:p>
        </w:tc>
        <w:tc>
          <w:tcPr>
            <w:tcW w:type="dxa" w:w="3137"/>
          </w:tcPr>
          <w:p>
            <w:r>
              <w:rPr>
                <w:b w:val="0"/>
              </w:rPr>
              <w:t>check_rnn.py → train_rnn.py</w:t>
            </w:r>
          </w:p>
        </w:tc>
        <w:tc>
          <w:tcPr>
            <w:tcW w:type="dxa" w:w="3137"/>
          </w:tcPr>
          <w:p>
            <w:r>
              <w:rPr>
                <w:b w:val="0"/>
              </w:rPr>
              <w:t>相同条件下的 RNN 最佳模型、日志和曲线。</w:t>
            </w:r>
          </w:p>
        </w:tc>
      </w:tr>
      <w:tr>
        <w:tc>
          <w:tcPr>
            <w:tcW w:type="dxa" w:w="3137"/>
          </w:tcPr>
          <w:p>
            <w:r>
              <w:rPr>
                <w:b w:val="0"/>
              </w:rPr>
              <w:t>最终测试</w:t>
            </w:r>
          </w:p>
        </w:tc>
        <w:tc>
          <w:tcPr>
            <w:tcW w:type="dxa" w:w="3137"/>
          </w:tcPr>
          <w:p>
            <w:r>
              <w:rPr>
                <w:b w:val="0"/>
              </w:rPr>
              <w:t>evaluate.py</w:t>
            </w:r>
          </w:p>
        </w:tc>
        <w:tc>
          <w:tcPr>
            <w:tcW w:type="dxa" w:w="3137"/>
          </w:tcPr>
          <w:p>
            <w:r>
              <w:rPr>
                <w:b w:val="0"/>
              </w:rPr>
              <w:t>两模型最终测试指标、全部预测及真实误分类。</w:t>
            </w:r>
          </w:p>
        </w:tc>
      </w:tr>
      <w:tr>
        <w:tc>
          <w:tcPr>
            <w:tcW w:type="dxa" w:w="3137"/>
          </w:tcPr>
          <w:p>
            <w:r>
              <w:rPr>
                <w:b w:val="0"/>
              </w:rPr>
              <w:t>结果比较</w:t>
            </w:r>
          </w:p>
        </w:tc>
        <w:tc>
          <w:tcPr>
            <w:tcW w:type="dxa" w:w="3137"/>
          </w:tcPr>
          <w:p>
            <w:r>
              <w:rPr>
                <w:b w:val="0"/>
              </w:rPr>
              <w:t>compare.py</w:t>
            </w:r>
          </w:p>
        </w:tc>
        <w:tc>
          <w:tcPr>
            <w:tcW w:type="dxa" w:w="3137"/>
          </w:tcPr>
          <w:p>
            <w:r>
              <w:rPr>
                <w:b w:val="0"/>
              </w:rPr>
              <w:t>指标比较表、柱状图及训练曲线对比图。</w:t>
            </w:r>
          </w:p>
        </w:tc>
      </w:tr>
    </w:tbl>
    <w:p>
      <w:r>
        <w:rPr>
          <w:b w:val="0"/>
        </w:rPr>
        <w:t>每次正式训练也会自动执行单批次检查。需要离线处理时，将 prepare_data.py 顶部的 OFFLINE 改为 True 后点击运行。教师或学生排错可直接点击运行 test_pipeline.py；功能检查中的临时文本不作为实验数据。训练参数统一在 train.py 顶部设置，最大长度在 prepare_data.py 顶部设置。</w:t>
      </w:r>
    </w:p>
    <w:p>
      <w:pPr>
        <w:pStyle w:val="Heading2"/>
      </w:pPr>
      <w:r>
        <w:t>七、成果提交与实验报告要求</w:t>
      </w:r>
    </w:p>
    <w:p>
      <w:r>
        <w:rPr>
          <w:b w:val="0"/>
        </w:rPr>
        <w:t>两次课合并提交一份综合实验报告，并附能够追溯报告结果的源代码、日志、表格及图片。报告使用项目中的“实验报告模板.md”，至少包含：</w:t>
      </w:r>
    </w:p>
    <w:p>
      <w:r>
        <w:rPr>
          <w:b w:val="0"/>
        </w:rPr>
        <w:t>1. 实验目的、CPU 与软件环境、随机种子及训练设置。</w:t>
      </w:r>
    </w:p>
    <w:p>
      <w:r>
        <w:rPr>
          <w:b w:val="0"/>
        </w:rPr>
        <w:t>2. 数据来源与许可、标签转换、类别统计、划分与去重说明，以及一条真实字符编码示例。</w:t>
      </w:r>
    </w:p>
    <w:p>
      <w:r>
        <w:rPr>
          <w:b w:val="0"/>
        </w:rPr>
        <w:t>3. LSTM/RNN 结构、张量维度、单批次检查、训练曲线和最佳验证轮次。</w:t>
      </w:r>
    </w:p>
    <w:p>
      <w:r>
        <w:rPr>
          <w:b w:val="0"/>
        </w:rPr>
        <w:t>4. 同一测试集上的 Accuracy、参数量、累计训练时间比较表，并明确计时范围。</w:t>
      </w:r>
    </w:p>
    <w:p>
      <w:r>
        <w:rPr>
          <w:b w:val="0"/>
        </w:rPr>
        <w:t>5. 最多三条真实误分类的原始文本、可见前缀、真假标签及有依据的可能原因；不足三条时按实际数量提交。</w:t>
      </w:r>
    </w:p>
    <w:p>
      <w:r>
        <w:rPr>
          <w:b w:val="0"/>
        </w:rPr>
        <w:t>6. 基于实际结果的结论、实验局限、遇到的问题与解决过程。</w:t>
      </w:r>
    </w:p>
    <w:p>
      <w:r>
        <w:rPr>
          <w:b w:val="0"/>
        </w:rPr>
        <w:t>结果位置：data/processed/ 保存数据与字符表；outputs/lstm/ 与 outputs/rnn/ 保存模型和日志；outputs/comparison/ 保存比较表和图片；outputs/misclassified.csv 保存错误样本。具体文件职责和操作说明见 README 与实验指导书。</w:t>
      </w:r>
    </w:p>
    <w:p>
      <w:r>
        <w:br w:type="page"/>
      </w:r>
    </w:p>
    <w:p>
      <w:pPr>
        <w:pStyle w:val="Heading2"/>
      </w:pPr>
      <w:r>
        <w:t>八、考核评价建议</w:t>
      </w:r>
    </w:p>
    <w:p>
      <w:r>
        <w:rPr>
          <w:b w:val="0"/>
        </w:rPr>
        <w:t>建议采用以下百分制方案，依据可复现的基础成果、现场解释和综合报告评价，不以达到某个固定 Accuracy 作为评分前提。</w:t>
      </w:r>
    </w:p>
    <w:tbl>
      <w:tblPr>
        <w:tblStyle w:val="TableGrid"/>
        <w:tblW w:type="auto" w:w="0"/>
        <w:tblLook w:firstColumn="1" w:firstRow="1" w:lastColumn="0" w:lastRow="0" w:noHBand="0" w:noVBand="1" w:val="04A0"/>
      </w:tblPr>
      <w:tblGrid>
        <w:gridCol w:w="3137"/>
        <w:gridCol w:w="3137"/>
        <w:gridCol w:w="3137"/>
      </w:tblGrid>
      <w:tr>
        <w:trPr>
          <w:tblHeader/>
        </w:trPr>
        <w:tc>
          <w:tcPr>
            <w:tcW w:type="dxa" w:w="3137"/>
            <w:shd w:fill="E8EEF5"/>
          </w:tcPr>
          <w:p>
            <w:r>
              <w:rPr>
                <w:b/>
              </w:rPr>
              <w:t>考核内容</w:t>
            </w:r>
          </w:p>
        </w:tc>
        <w:tc>
          <w:tcPr>
            <w:tcW w:type="dxa" w:w="3137"/>
            <w:shd w:fill="E8EEF5"/>
          </w:tcPr>
          <w:p>
            <w:r>
              <w:rPr>
                <w:b/>
              </w:rPr>
              <w:t>分值</w:t>
            </w:r>
          </w:p>
        </w:tc>
        <w:tc>
          <w:tcPr>
            <w:tcW w:type="dxa" w:w="3137"/>
            <w:shd w:fill="E8EEF5"/>
          </w:tcPr>
          <w:p>
            <w:r>
              <w:rPr>
                <w:b/>
              </w:rPr>
              <w:t>主要评价依据</w:t>
            </w:r>
          </w:p>
        </w:tc>
      </w:tr>
      <w:tr>
        <w:tc>
          <w:tcPr>
            <w:tcW w:type="dxa" w:w="3137"/>
          </w:tcPr>
          <w:p>
            <w:r>
              <w:rPr>
                <w:b w:val="0"/>
              </w:rPr>
              <w:t>数据处理与字符编码</w:t>
            </w:r>
          </w:p>
        </w:tc>
        <w:tc>
          <w:tcPr>
            <w:tcW w:type="dxa" w:w="3137"/>
          </w:tcPr>
          <w:p>
            <w:r>
              <w:rPr>
                <w:b w:val="0"/>
              </w:rPr>
              <w:t>20</w:t>
            </w:r>
          </w:p>
        </w:tc>
        <w:tc>
          <w:tcPr>
            <w:tcW w:type="dxa" w:w="3137"/>
          </w:tcPr>
          <w:p>
            <w:r>
              <w:rPr>
                <w:b w:val="0"/>
              </w:rPr>
              <w:t>来源清楚；检查、去重和抽样正确；字符表仅来自训练集；编码、填充及有效长度说明正确。</w:t>
            </w:r>
          </w:p>
        </w:tc>
      </w:tr>
      <w:tr>
        <w:tc>
          <w:tcPr>
            <w:tcW w:type="dxa" w:w="3137"/>
          </w:tcPr>
          <w:p>
            <w:r>
              <w:rPr>
                <w:b w:val="0"/>
              </w:rPr>
              <w:t>LSTM 建模与训练</w:t>
            </w:r>
          </w:p>
        </w:tc>
        <w:tc>
          <w:tcPr>
            <w:tcW w:type="dxa" w:w="3137"/>
          </w:tcPr>
          <w:p>
            <w:r>
              <w:rPr>
                <w:b w:val="0"/>
              </w:rPr>
              <w:t>25</w:t>
            </w:r>
          </w:p>
        </w:tc>
        <w:tc>
          <w:tcPr>
            <w:tcW w:type="dxa" w:w="3137"/>
          </w:tcPr>
          <w:p>
            <w:r>
              <w:rPr>
                <w:b w:val="0"/>
              </w:rPr>
              <w:t>结构与维度正确；提取最后有效状态时避开 PAD；单批次更新正常；训练/验证、最佳模型保存和日志完整。</w:t>
            </w:r>
          </w:p>
        </w:tc>
      </w:tr>
      <w:tr>
        <w:tc>
          <w:tcPr>
            <w:tcW w:type="dxa" w:w="3137"/>
          </w:tcPr>
          <w:p>
            <w:r>
              <w:rPr>
                <w:b w:val="0"/>
              </w:rPr>
              <w:t>RNN 实现与训练</w:t>
            </w:r>
          </w:p>
        </w:tc>
        <w:tc>
          <w:tcPr>
            <w:tcW w:type="dxa" w:w="3137"/>
          </w:tcPr>
          <w:p>
            <w:r>
              <w:rPr>
                <w:b w:val="0"/>
              </w:rPr>
              <w:t>15</w:t>
            </w:r>
          </w:p>
        </w:tc>
        <w:tc>
          <w:tcPr>
            <w:tcW w:type="dxa" w:w="3137"/>
          </w:tcPr>
          <w:p>
            <w:r>
              <w:rPr>
                <w:b w:val="0"/>
              </w:rPr>
              <w:t>正确替换循环层并复用流程；数据和超参数保持一致；模型、最佳轮次和训练记录可追溯。</w:t>
            </w:r>
          </w:p>
        </w:tc>
      </w:tr>
      <w:tr>
        <w:tc>
          <w:tcPr>
            <w:tcW w:type="dxa" w:w="3137"/>
          </w:tcPr>
          <w:p>
            <w:r>
              <w:rPr>
                <w:b w:val="0"/>
              </w:rPr>
              <w:t>最终测试与模型比较</w:t>
            </w:r>
          </w:p>
        </w:tc>
        <w:tc>
          <w:tcPr>
            <w:tcW w:type="dxa" w:w="3137"/>
          </w:tcPr>
          <w:p>
            <w:r>
              <w:rPr>
                <w:b w:val="0"/>
              </w:rPr>
              <w:t>20</w:t>
            </w:r>
          </w:p>
        </w:tc>
        <w:tc>
          <w:tcPr>
            <w:tcW w:type="dxa" w:w="3137"/>
          </w:tcPr>
          <w:p>
            <w:r>
              <w:rPr>
                <w:b w:val="0"/>
              </w:rPr>
              <w:t>加载最佳验证模型；在相同测试集评价；Accuracy、参数量和时间统计真实、比较规范。</w:t>
            </w:r>
          </w:p>
        </w:tc>
      </w:tr>
      <w:tr>
        <w:tc>
          <w:tcPr>
            <w:tcW w:type="dxa" w:w="3137"/>
          </w:tcPr>
          <w:p>
            <w:r>
              <w:rPr>
                <w:b w:val="0"/>
              </w:rPr>
              <w:t>错误分析与综合报告</w:t>
            </w:r>
          </w:p>
        </w:tc>
        <w:tc>
          <w:tcPr>
            <w:tcW w:type="dxa" w:w="3137"/>
          </w:tcPr>
          <w:p>
            <w:r>
              <w:rPr>
                <w:b w:val="0"/>
              </w:rPr>
              <w:t>20</w:t>
            </w:r>
          </w:p>
        </w:tc>
        <w:tc>
          <w:tcPr>
            <w:tcW w:type="dxa" w:w="3137"/>
          </w:tcPr>
          <w:p>
            <w:r>
              <w:rPr>
                <w:b w:val="0"/>
              </w:rPr>
              <w:t>错误来自真实预测；分析对照实际输入；图表完整；能说明截断、标签及单次结论的局限。</w:t>
            </w:r>
          </w:p>
        </w:tc>
      </w:tr>
      <w:tr>
        <w:tc>
          <w:tcPr>
            <w:tcW w:type="dxa" w:w="3137"/>
          </w:tcPr>
          <w:p>
            <w:r>
              <w:rPr>
                <w:b w:val="0"/>
              </w:rPr>
              <w:t>合计</w:t>
            </w:r>
          </w:p>
        </w:tc>
        <w:tc>
          <w:tcPr>
            <w:tcW w:type="dxa" w:w="3137"/>
          </w:tcPr>
          <w:p>
            <w:r>
              <w:rPr>
                <w:b w:val="0"/>
              </w:rPr>
              <w:t>100</w:t>
            </w:r>
          </w:p>
        </w:tc>
        <w:tc>
          <w:tcPr>
            <w:tcW w:type="dxa" w:w="3137"/>
          </w:tcPr>
          <w:p>
            <w:r>
              <w:rPr>
                <w:b w:val="0"/>
              </w:rPr>
              <w:t>完成基础任务、结果真实、分析准确即可获得满分。</w:t>
            </w:r>
          </w:p>
        </w:tc>
      </w:tr>
    </w:tbl>
    <w:p>
      <w:r>
        <w:rPr>
          <w:b w:val="0"/>
        </w:rPr>
        <w:t>不设置新增 GRU、Transformer、注意力、预训练模型或多随机种子实验等额外满分条件。训练指标较低本身不扣分，应结合实现正确性和分析质量评价。不得编造指标、图片或训练完成状态；具体成绩处理遵循课程既有要求。</w:t>
      </w:r>
    </w:p>
    <w:p>
      <w:pPr>
        <w:pStyle w:val="Heading2"/>
      </w:pPr>
      <w:r>
        <w:t>九、思考与讨论问题</w:t>
      </w:r>
    </w:p>
    <w:p>
      <w:r>
        <w:rPr>
          <w:b w:val="0"/>
        </w:rPr>
        <w:t>1. 为什么字符 ID 不能直接表示语义大小？Embedding 的向量在什么阶段更新？</w:t>
      </w:r>
    </w:p>
    <w:p>
      <w:r>
        <w:rPr>
          <w:b w:val="0"/>
        </w:rPr>
        <w:t>2. 为什么只能根据训练集建立字符表？PAD 与 UNK 的用途有何不同？</w:t>
      </w:r>
    </w:p>
    <w:p>
      <w:r>
        <w:rPr>
          <w:b w:val="0"/>
        </w:rPr>
        <w:t>3. PAD 嵌入为零时，为什么平均池化仍需要有效长度掩码？与最后有效步模式有何区别？</w:t>
      </w:r>
    </w:p>
    <w:p>
      <w:r>
        <w:rPr>
          <w:b w:val="0"/>
        </w:rPr>
        <w:t>4. 训练集、验证集和测试集各有什么作用？为什么最佳验证模型可能不是最后一轮模型？</w:t>
      </w:r>
    </w:p>
    <w:p>
      <w:r>
        <w:rPr>
          <w:b w:val="0"/>
        </w:rPr>
        <w:t>5. 相同 Embedding 和隐藏维度下，RNN 与 LSTM 为什么参数量不同？为什么 LSTM 不一定更准确？</w:t>
      </w:r>
    </w:p>
    <w:p>
      <w:r>
        <w:rPr>
          <w:b w:val="0"/>
        </w:rPr>
        <w:t>6. 256 字截断、整体星级标签与均衡抽样如何影响评价？多项设置同时变化时，能否把准确率提升全部归因于某一项？这次实验能否证明某模型普遍优于另一模型或长期依赖能力必然更强？</w:t>
      </w:r>
    </w:p>
    <w:p>
      <w:pPr>
        <w:pStyle w:val="Heading2"/>
      </w:pPr>
      <w:r>
        <w:t>十、参考资料与配套文件</w:t>
      </w:r>
    </w:p>
    <w:p>
      <w:r>
        <w:rPr>
          <w:b w:val="0"/>
        </w:rPr>
        <w:t>1. ASAP 作者数据仓库：https://github.com/Meituan-Dianping/asap 。数据许可及固定版本下载说明见 data/README.md。</w:t>
      </w:r>
    </w:p>
    <w:p>
      <w:r>
        <w:rPr>
          <w:b w:val="0"/>
        </w:rPr>
        <w:t>2. Bu 等，2021：ASAP: A Chinese Review Dataset Towards Aspect Category Sentiment Analysis and Rating Prediction，NAACL-HLT，2069–2079。论文：https://aclanthology.org/2021.naacl-main.167/ 。</w:t>
      </w:r>
    </w:p>
    <w:p>
      <w:r>
        <w:rPr>
          <w:b w:val="0"/>
        </w:rPr>
        <w:t>3. 本项目 README.md、docs/实验指导书.md、docs/实验报告模板.md 及 docs/验证记录.md。</w:t>
      </w:r>
    </w:p>
    <w:p>
      <w:r>
        <w:rPr>
          <w:b w:val="0"/>
        </w:rPr>
        <w:t>本大纲与当前 lab03_nlp 项目实现保持一致；评分部分为建议方案，可按课程统一要求调整。</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