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tbl>
      <w:tblPr>
        <w:tblStyle w:val="Default Table"/>
        <w:tblCellMar w:top="0" w:left="28" w:bottom="0" w:right="28"/>
        <w:tblW w:w="10901" w:type="auto"/>
        <w:tblInd w:w="187" w:type="dxa"/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>
        <w:trPr>
          <w:trHeight w:val="566"/>
        </w:trPr>
        <w:tc>
          <w:tcPr>
            <w:tcW w:w="7638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8"/>
                <w:szCs w:val="28"/>
                <w:sz w:val="28"/>
                <w:szCs w:val="28"/>
                <w:rFonts w:ascii="標楷體" w:eastAsia="標楷體" w:hAnsi="標楷體"/>
              </w:rPr>
            </w:pPr>
            <w:r>
              <w:rPr>
                <w:rStyle w:val="Character1"/>
                <w:b/>
                <w:sz w:val="28"/>
                <w:szCs w:val="28"/>
              </w:rPr>
              <w:t xml:space="preserve">雙連教會幼年班 - 崇拜課教案</w:t>
            </w:r>
          </w:p>
        </w:tc>
        <w:tc>
          <w:tcPr>
            <w:tcW w:w="870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8"/>
                <w:szCs w:val="28"/>
                <w:sz w:val="28"/>
                <w:szCs w:val="28"/>
                <w:rFonts w:ascii="標楷體" w:eastAsia="標楷體" w:hAnsi="標楷體"/>
              </w:rPr>
            </w:pPr>
            <w:r>
              <w:rPr>
                <w:rStyle w:val="Character1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8"/>
                <w:szCs w:val="28"/>
                <w:sz w:val="28"/>
                <w:szCs w:val="28"/>
                <w:rFonts w:ascii="標楷體" w:eastAsia="標楷體" w:hAnsi="標楷體"/>
              </w:rPr>
            </w:pPr>
            <w:r>
              <w:rPr>
                <w:rStyle w:val="Character1"/>
                <w:b/>
                <w:sz w:val="28"/>
                <w:szCs w:val="28"/>
              </w:rPr>
              <w:t>董宇軒</w:t>
            </w:r>
          </w:p>
        </w:tc>
      </w:tr>
      <w:tr>
        <w:trPr>
          <w:trHeight w:val="403"/>
        </w:trPr>
        <w:tc>
          <w:tcPr>
            <w:tcW w:w="4236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103學年第2季 得勝的精兵</w:t>
            </w:r>
          </w:p>
        </w:tc>
        <w:tc>
          <w:tcPr>
            <w:tcW w:w="3402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第六課 複習課</w:t>
            </w:r>
          </w:p>
        </w:tc>
        <w:tc>
          <w:tcPr>
            <w:tcW w:w="870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>日期</w:t>
            </w:r>
          </w:p>
        </w:tc>
        <w:tc>
          <w:tcPr>
            <w:tcW w:w="2393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>2015/1/10</w:t>
            </w:r>
          </w:p>
        </w:tc>
      </w:tr>
      <w:tr>
        <w:trPr>
          <w:trHeight w:val="1380"/>
        </w:trPr>
        <w:tc>
          <w:tcPr>
            <w:tcW w:w="10901" w:type="dxa"/>
            <w:tcMar>
              <w:left w:w="28" w:type="dxa"/>
              <w:right w:w="28" w:type="dxa"/>
              <w:top w:w="0" w:type="dxa"/>
              <w:bottom w:w="0" w:type="dxa"/>
            </w:tcMa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>聖句</w:t>
            </w:r>
            <w:r>
              <w:rPr>
                <w:rStyle w:val="Character5"/>
                <w:sz w:val="24"/>
                <w:szCs w:val="24"/>
              </w:rPr>
              <w:t>：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 xml:space="preserve">第一課：你要倚靠耶和華;祂是你的幫助和你的盾牌。 (詩、一一五、9)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第二課：我們日用的飲食，今日賜給我們。(太、六、11)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第三、四課：神是我們的避難所，是我們的力量，是我們在患難中隨時的幫助（詩、四十六、１）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第五課：</w:t>
            </w:r>
            <w:r>
              <w:rPr>
                <w:rStyle w:val="Character6"/>
                <w:color w:val="141823"/>
                <w:sz w:val="23"/>
                <w:szCs w:val="23"/>
                <w:shd w:val="clear" w:color="auto" w:fill="FFFFFF"/>
              </w:rPr>
              <w:t xml:space="preserve">因為國度、權柄、榮耀全是祢的，直到永遠，阿們。 （太，六，１３）</w:t>
            </w:r>
          </w:p>
        </w:tc>
      </w:tr>
      <w:tr>
        <w:trPr>
          <w:trHeight w:val="780"/>
        </w:trPr>
        <w:tc>
          <w:tcPr>
            <w:tcW w:w="10901" w:type="dxa"/>
            <w:tcMar>
              <w:left w:w="28" w:type="dxa"/>
              <w:right w:w="28" w:type="dxa"/>
              <w:top w:w="0" w:type="dxa"/>
              <w:bottom w:w="0" w:type="dxa"/>
            </w:tcMa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>教學目標：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480" w:hanging="480"/>
              <w:rPr>
                <w:sz w:val="24"/>
                <w:szCs w:val="24"/>
                <w:sz w:val="20"/>
                <w:szCs w:val="20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幫小朋友複習前面課程的重點和目標。</w:t>
            </w:r>
          </w:p>
        </w:tc>
      </w:tr>
      <w:tr>
        <w:trPr>
          <w:trHeight w:val="1104"/>
        </w:trPr>
        <w:tc>
          <w:tcPr>
            <w:tcW w:w="10901" w:type="dxa"/>
            <w:tcMar>
              <w:left w:w="28" w:type="dxa"/>
              <w:right w:w="28" w:type="dxa"/>
              <w:top w:w="0" w:type="dxa"/>
              <w:bottom w:w="0" w:type="dxa"/>
            </w:tcMa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>參考經節：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40" w:lineRule="auto"/>
              <w:ind w:left="480" w:hanging="480"/>
              <w:rPr>
                <w:sz w:val="24"/>
                <w:szCs w:val="24"/>
                <w:sz w:val="20"/>
                <w:szCs w:val="20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列王紀上十七章-列王紀下二章　　　　　　　　　　　　　　　　　　　　　　　　　　　　　　　　　　　　　　　　　　　　　　　　　　　　　</w:t>
            </w:r>
            <w:r>
              <w:rPr>
                <w:rStyle w:val="Character5"/>
                <w:sz w:val="24"/>
                <w:szCs w:val="24"/>
              </w:rPr>
              <w:t>　　　　　　　　　　　　　　　　　　　　　　　　　　　　　　　　　　　　　　　　　　　　　　　　　　　　　　　　　　　　　　　　　　　　　　　　　　　　</w:t>
            </w:r>
            <w:r>
              <w:rPr>
                <w:rStyle w:val="Character5"/>
                <w:sz w:val="24"/>
                <w:szCs w:val="24"/>
              </w:rPr>
              <w:t>　　　　　　　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  <w:tr>
        <w:trPr>
          <w:trHeight w:val="564"/>
        </w:trPr>
        <w:tc>
          <w:tcPr>
            <w:tcW w:w="1117" w:type="dxa"/>
            <w:tcMar>
              <w:left w:w="28" w:type="dxa"/>
              <w:right w:w="2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>時間</w:t>
            </w:r>
          </w:p>
          <w:p>
            <w:pPr>
              <w:pStyle w:val="Para0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3"/>
                <w:b/>
                <w:sz w:val="24"/>
                <w:szCs w:val="24"/>
              </w:rPr>
              <w:t>(40分鐘)</w:t>
            </w:r>
          </w:p>
        </w:tc>
        <w:tc>
          <w:tcPr>
            <w:tcW w:w="8080" w:type="dxa"/>
            <w:tcMar>
              <w:left w:w="28" w:type="dxa"/>
              <w:right w:w="28" w:type="dxa"/>
              <w:top w:w="0" w:type="dxa"/>
              <w:bottom w:w="0" w:type="dxa"/>
            </w:tcMa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8"/>
                <w:szCs w:val="28"/>
                <w:sz w:val="28"/>
                <w:szCs w:val="28"/>
                <w:rFonts w:ascii="標楷體" w:eastAsia="標楷體" w:hAnsi="標楷體"/>
              </w:rPr>
            </w:pPr>
            <w:r>
              <w:rPr>
                <w:rStyle w:val="Character1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  <w:tcMar>
              <w:left w:w="28" w:type="dxa"/>
              <w:right w:w="2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b/>
                <w:sz w:val="28"/>
                <w:szCs w:val="28"/>
                <w:sz w:val="28"/>
                <w:szCs w:val="28"/>
                <w:rFonts w:ascii="標楷體" w:eastAsia="標楷體" w:hAnsi="標楷體"/>
              </w:rPr>
            </w:pPr>
            <w:r>
              <w:rPr>
                <w:rStyle w:val="Character1"/>
                <w:b/>
                <w:sz w:val="28"/>
                <w:szCs w:val="28"/>
              </w:rPr>
              <w:t>備注</w:t>
            </w:r>
          </w:p>
        </w:tc>
      </w:tr>
      <w:tr>
        <w:trPr>
          <w:trHeight w:val="1986"/>
        </w:trPr>
        <w:tc>
          <w:tcPr>
            <w:tcW w:w="1117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</w:p>
        </w:tc>
        <w:tc>
          <w:tcPr>
            <w:tcW w:w="8080" w:type="dxa"/>
            <w:tcMar>
              <w:left w:w="28" w:type="dxa"/>
              <w:right w:w="28" w:type="dxa"/>
              <w:top w:w="0" w:type="dxa"/>
              <w:bottom w:w="0" w:type="dxa"/>
            </w:tcMa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禱告：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奉主耶穌聖名禱告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感謝慈愛的真神，聽完了</w:t>
            </w:r>
            <w:r>
              <w:rPr>
                <w:rStyle w:val="Character11"/>
                <w:b/>
                <w:color w:val="FF0000"/>
                <w:sz w:val="24"/>
                <w:szCs w:val="24"/>
              </w:rPr>
              <w:t>以利亞</w:t>
            </w:r>
            <w:r>
              <w:rPr>
                <w:rStyle w:val="Character5"/>
                <w:sz w:val="24"/>
                <w:szCs w:val="24"/>
              </w:rPr>
              <w:t>先知的故事，我們要努力學習、效法他，</w:t>
            </w:r>
            <w:r>
              <w:rPr>
                <w:rStyle w:val="Character5"/>
                <w:sz w:val="24"/>
                <w:szCs w:val="24"/>
              </w:rPr>
              <w:t>順從天上的真神，為主做工，做個神所喜愛的好僕人。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哈利路亞，阿們。</w:t>
            </w:r>
          </w:p>
        </w:tc>
        <w:tc>
          <w:tcPr>
            <w:tcW w:w="1704" w:type="dxa"/>
            <w:tcMar>
              <w:left w:w="28" w:type="dxa"/>
              <w:right w:w="28" w:type="dxa"/>
              <w:top w:w="0" w:type="dxa"/>
              <w:bottom w:w="0" w:type="dxa"/>
            </w:tcMa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由於課程複習</w:t>
            </w:r>
            <w:r>
              <w:rPr>
                <w:rStyle w:val="Character5"/>
                <w:sz w:val="24"/>
                <w:szCs w:val="24"/>
              </w:rPr>
              <w:t>比較長，請教</w:t>
            </w:r>
            <w:r>
              <w:rPr>
                <w:rStyle w:val="Character5"/>
                <w:sz w:val="24"/>
                <w:szCs w:val="24"/>
              </w:rPr>
              <w:t>員多幫忙注意</w:t>
            </w:r>
            <w:r>
              <w:rPr>
                <w:rStyle w:val="Character5"/>
                <w:sz w:val="24"/>
                <w:szCs w:val="24"/>
              </w:rPr>
              <w:t>小朋友。</w:t>
            </w:r>
          </w:p>
        </w:tc>
      </w:tr>
      <w:tr>
        <w:trPr>
          <w:trHeight w:val="2525"/>
        </w:trPr>
        <w:tc>
          <w:tcPr>
            <w:tcW w:w="1117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color w:val="FF0000"/>
                <w:rFonts w:ascii="n" w:eastAsia="n" w:hAnsi="n"/>
                <w:sz w:val="20"/>
                <w:szCs w:val="20"/>
                <w:rFonts w:ascii="標楷體" w:eastAsia="標楷體" w:hAnsi="標楷體"/>
              </w:rPr>
            </w:pPr>
            <w:r>
              <w:rPr>
                <w:rStyle w:val="Character12"/>
                <w:color w:val="FF0000"/>
              </w:rPr>
              <w:t>5分鐘</w:t>
            </w:r>
          </w:p>
        </w:tc>
        <w:tc>
          <w:tcPr>
            <w:tcW w:w="8080" w:type="dxa"/>
            <w:tcMar>
              <w:left w:w="28" w:type="dxa"/>
              <w:right w:w="28" w:type="dxa"/>
              <w:top w:w="0" w:type="dxa"/>
              <w:bottom w:w="0" w:type="dxa"/>
            </w:tcMa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●第一課　基立溪旁的先知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故事：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１亞哈行神眼中看為惡的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２以利亞不禱告天就不下雨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３到基立溪旁早晚烏鴉雕餅過日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４溪水乾了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目標：神是大有能力的，遇到害怕的事情能夠向神禱告求神幫助。</w:t>
            </w: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rPr>
          <w:trHeight w:val="2547"/>
        </w:trPr>
        <w:tc>
          <w:tcPr>
            <w:tcW w:w="1117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12"/>
                <w:color w:val="FF0000"/>
              </w:rPr>
              <w:t>10分鐘</w:t>
            </w:r>
          </w:p>
        </w:tc>
        <w:tc>
          <w:tcPr>
            <w:tcW w:w="8080" w:type="dxa"/>
            <w:tcMar>
              <w:left w:w="28" w:type="dxa"/>
              <w:right w:w="28" w:type="dxa"/>
              <w:top w:w="0" w:type="dxa"/>
              <w:bottom w:w="0" w:type="dxa"/>
            </w:tcMa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●第二課　一把麵粉、一點油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故事：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１基立溪水枯乾，神要以利亞往西，前往撒勒法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２以利亞向婦人要水和餅，但是麵粉和油快用完了，婦人憂愁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３以利亞要婦人不要擔心，神會讓油和餅都用不完，直到天上下雨的日子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４婦人相信神，得著恩典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目標：對神有信心</w:t>
            </w: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rPr>
          <w:trHeight w:val="7220"/>
        </w:trPr>
        <w:tc>
          <w:tcPr>
            <w:tcW w:w="1117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12"/>
                <w:color w:val="FF0000"/>
              </w:rPr>
              <w:t>15分鐘</w:t>
            </w:r>
          </w:p>
        </w:tc>
        <w:tc>
          <w:tcPr>
            <w:tcW w:w="8080" w:type="dxa"/>
            <w:tcMar>
              <w:left w:w="28" w:type="dxa"/>
              <w:right w:w="28" w:type="dxa"/>
              <w:top w:w="0" w:type="dxa"/>
              <w:bottom w:w="0" w:type="dxa"/>
            </w:tcMa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●第三、四課　耶和華是神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故事：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（一）迦密山上的決鬥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１乾旱到了第三年，神要以利亞去見亞哈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２亞哈責罵以利亞，以利亞反駁，並提出迦密山挑戰（要亞哈讓８５０假先知</w:t>
            </w:r>
            <w:r>
              <w:rPr>
                <w:rStyle w:val="Character5"/>
                <w:sz w:val="24"/>
                <w:szCs w:val="24"/>
              </w:rPr>
              <w:t>和以色列民上山）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３到了山上，以利亞告訴大家要分辨誰是真神，說明決鬥的規則（以利亞和</w:t>
            </w:r>
            <w:r>
              <w:rPr>
                <w:rStyle w:val="Character5"/>
                <w:sz w:val="24"/>
                <w:szCs w:val="24"/>
              </w:rPr>
              <w:t>巴力的先知各將一頭牛放在各自的壇上，不要點火，各求告自己的神降火，</w:t>
            </w:r>
            <w:r>
              <w:rPr>
                <w:rStyle w:val="Character5"/>
                <w:sz w:val="24"/>
                <w:szCs w:val="24"/>
              </w:rPr>
              <w:t>火降下來的那一方就是真神，是真的先知。）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４假先呼喊他們的神，從早上到中午都沒事情發生，以利亞嘲笑，他們便更</w:t>
            </w:r>
            <w:r>
              <w:rPr>
                <w:rStyle w:val="Character5"/>
                <w:sz w:val="24"/>
                <w:szCs w:val="24"/>
              </w:rPr>
              <w:t>加大聲呼喊甚至拿武器傷害自己，但還是沒有火降下來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５以利亞叫大家過來，重建祭壇→十二塊石子→四周挖溝→倒了４*３桶水→</w:t>
            </w:r>
            <w:r>
              <w:rPr>
                <w:rStyle w:val="Character5"/>
                <w:sz w:val="24"/>
                <w:szCs w:val="24"/>
              </w:rPr>
              <w:t>禱告呼求耶和華→火降下→眾人俯伏在地→假先知被殺死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（二）一片雲彩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６以利亞叫亞哈上去等，已經聽到下雨的聲音了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７以利亞在山頂禱告了七次，看見了一小片烏雲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８以利亞叫亞哈回城，在回城的途中下了大雨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９耶洗別追殺，以利亞逃到羅藤樹下求死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１０天使兩次叫醒他，讓以利亞吃餅喝水，後來他有了體力走了四十天到了</w:t>
            </w:r>
            <w:r>
              <w:rPr>
                <w:rStyle w:val="Character5"/>
                <w:sz w:val="24"/>
                <w:szCs w:val="24"/>
              </w:rPr>
              <w:t>何烈山（在山洞中神的話語安慰他）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目標：只有耶和華是真神，對神的應許要有信心</w:t>
            </w:r>
          </w:p>
          <w:p>
            <w:pPr>
              <w:pStyle w:val="Normal"/>
              <w:rPr/>
            </w:pPr>
          </w:p>
          <w:p>
            <w:pPr>
              <w:pStyle w:val="Normal"/>
              <w:rPr/>
            </w:pPr>
          </w:p>
        </w:tc>
      </w:tr>
      <w:tr>
        <w:trPr>
          <w:trHeight w:val="3930"/>
        </w:trPr>
        <w:tc>
          <w:tcPr>
            <w:tcW w:w="1117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12"/>
                <w:color w:val="FF0000"/>
              </w:rPr>
              <w:t>10分鐘</w:t>
            </w:r>
          </w:p>
        </w:tc>
        <w:tc>
          <w:tcPr>
            <w:tcW w:w="8080" w:type="dxa"/>
            <w:tcMar>
              <w:left w:w="28" w:type="dxa"/>
              <w:right w:w="28" w:type="dxa"/>
              <w:top w:w="0" w:type="dxa"/>
              <w:bottom w:w="0" w:type="dxa"/>
            </w:tcMa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●第五課　以利亞升天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１亞哈王不聽警告，最後神讓他戰死沙場，壞王后耶洗別被人從樓上丟下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２神要揀選新的先知以利沙。以利沙在耕田趕牛時，以利亞將外套披在他身</w:t>
            </w:r>
            <w:r>
              <w:rPr>
                <w:rStyle w:val="Character5"/>
                <w:sz w:val="24"/>
                <w:szCs w:val="24"/>
              </w:rPr>
              <w:t>上，以利沙就明白神要揀選他做先知，道別父母後就跟隨以利沙學習、工作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３到了吉甲，神說要接以利亞升天，以利亞要以利沙留在這，但以利沙依然</w:t>
            </w:r>
            <w:r>
              <w:rPr>
                <w:rStyle w:val="Character5"/>
                <w:sz w:val="24"/>
                <w:szCs w:val="24"/>
              </w:rPr>
              <w:t>緊隨著老師（吉甲→伯特利→耶利哥→約但河）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４到了約但河以利亞用外套捲起來打水面，水分開，兩人走著中間的乾地到</w:t>
            </w:r>
            <w:r>
              <w:rPr>
                <w:rStyle w:val="Character5"/>
                <w:sz w:val="24"/>
                <w:szCs w:val="24"/>
              </w:rPr>
              <w:t>了對面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５以利沙求感動你的靈加倍感動我，以利亞承旋風升天</w:t>
            </w: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Style w:val="Character5"/>
                <w:sz w:val="24"/>
                <w:szCs w:val="24"/>
              </w:rPr>
              <w:t>目標:為神做工主必祝福</w:t>
            </w: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rPr>
          <w:trHeight w:val="276"/>
        </w:trPr>
        <w:tc>
          <w:tcPr>
            <w:tcW w:w="1117" w:type="dxa"/>
            <w:tcMar>
              <w:left w:w="28" w:type="dxa"/>
              <w:right w:w="28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</w:p>
          <w:p>
            <w:pPr>
              <w:pStyle w:val="Para2"/>
              <w:spacing w:line="240" w:lineRule="auto"/>
              <w:ind w:left="0" w:hanging="0"/>
              <w:rPr>
                <w:sz w:val="24"/>
                <w:szCs w:val="24"/>
                <w:sz w:val="24"/>
                <w:szCs w:val="24"/>
                <w:rFonts w:ascii="標楷體" w:eastAsia="標楷體" w:hAnsi="標楷體"/>
              </w:rPr>
            </w:pPr>
            <w:r>
              <w:rPr>
                <w:rFonts w:ascii="標楷體" w:eastAsia="標楷體" w:hAnsi="標楷體" w:hint="default"/>
                <w:sz w:val="24"/>
                <w:szCs w:val="24"/>
              </w:rPr>
              <w:drawing>
                <wp:inline distT="0" distB="0" distL="0" distR="0">
                  <wp:extent cx="3279775" cy="4170680"/>
                  <wp:effectExtent l="0" t="0" r="0" b="0"/>
                  <wp:docPr id="44" name="Picture 1" descr="/storage/emulated/0/.polarisOffice5/polarisTemp/fImage868778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fImage868778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80410" cy="4171315"/>
                          </a:xfrm>
                          <a:prstGeom prst="rect"/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haracter8"/>
                <w:sz w:val="24"/>
                <w:szCs w:val="24"/>
              </w:rPr>
              <w:t>板書</w:t>
            </w:r>
          </w:p>
        </w:tc>
        <w:tc>
          <w:tcPr>
            <w:tcW w:w="8080" w:type="dxa"/>
            <w:tcMar>
              <w:left w:w="28" w:type="dxa"/>
              <w:right w:w="28" w:type="dxa"/>
              <w:top w:w="0" w:type="dxa"/>
              <w:bottom w:w="0" w:type="dxa"/>
            </w:tcMa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  <w:p>
            <w:pPr>
              <w:pStyle w:val="Normal"/>
              <w:rPr/>
            </w:pP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</w:tbl>
    <w:p>
      <w:pPr>
        <w:pStyle w:val="Para5"/>
        <w:spacing w:line="240" w:lineRule="auto"/>
        <w:ind w:left="0" w:hanging="0"/>
        <w:rPr>
          <w:sz w:val="24"/>
          <w:szCs w:val="24"/>
          <w:sz w:val="24"/>
          <w:szCs w:val="24"/>
          <w:rFonts w:ascii="標楷體" w:eastAsia="標楷體" w:hAnsi="標楷體"/>
        </w:rPr>
      </w:pPr>
    </w:p>
    <w:sectPr>
      <w:pgSz w:w="11906" w:h="16838"/>
      <w:pgMar w:top="426" w:right="282" w:bottom="284" w:left="426" w:header="851" w:footer="992" w:gutter="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新細明體">
    <w:panose1 w:val="020F0502020204030204"/>
    <w:charset w:val="136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標楷體">
    <w:panose1 w:val="020F0502020204030204"/>
    <w:charset w:val="136"/>
    <w:family w:val="mordern"/>
    <w:pitch w:val="variable"/>
    <w:sig w:usb0="A00002EF" w:usb1="4000207B" w:usb2="00000000" w:usb3="00000000" w:csb0="0000009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631535393"/>
    <w:lvl w:ilvl="0">
      <w:start w:val="1"/>
      <w:numFmt w:val="decimal"/>
      <w:lvlText w:val="%1."/>
      <w:pPr>
        <w:ind w:left="480" w:hanging="480"/>
      </w:pPr>
      <w:rPr>
        <w:rFonts w:ascii="標楷體" w:eastAsia="標楷體" w:hAnsi="標楷體" w:hint="default"/>
      </w:rPr>
      <w:rPr>
        <w:b w:val="false"/>
        <w:sz w:val="24"/>
        <w:szCs w:val="24"/>
        <w:color w:val="000000"/>
      </w:rPr>
    </w:lvl>
    <w:lvl w:ilvl="1">
      <w:start w:val="1"/>
      <w:numFmt w:val="decimal"/>
      <w:lvlText w:val="%2、"/>
      <w:pPr>
        <w:ind w:left="96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2">
      <w:start w:val="1"/>
      <w:numFmt w:val="lowerRoman"/>
      <w:lvlText w:val="%3."/>
      <w:pPr>
        <w:ind w:left="144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3">
      <w:start w:val="1"/>
      <w:numFmt w:val="decimal"/>
      <w:lvlText w:val="%4."/>
      <w:pPr>
        <w:ind w:left="192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4">
      <w:start w:val="1"/>
      <w:numFmt w:val="decimal"/>
      <w:lvlText w:val="%5、"/>
      <w:pPr>
        <w:ind w:left="240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5">
      <w:start w:val="1"/>
      <w:numFmt w:val="lowerRoman"/>
      <w:lvlText w:val="%6."/>
      <w:pPr>
        <w:ind w:left="288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6">
      <w:start w:val="1"/>
      <w:numFmt w:val="decimal"/>
      <w:lvlText w:val="%7."/>
      <w:pPr>
        <w:ind w:left="336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7">
      <w:start w:val="1"/>
      <w:numFmt w:val="decimal"/>
      <w:lvlText w:val="%8、"/>
      <w:pPr>
        <w:ind w:left="384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8">
      <w:start w:val="1"/>
      <w:numFmt w:val="lowerRoman"/>
      <w:lvlText w:val="%9."/>
      <w:pPr>
        <w:ind w:left="432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</w:abstractNum>
  <w:abstractNum w:abstractNumId="1">
    <w:nsid w:val="1"/>
    <w:multiLevelType w:val="hybridMultilevel"/>
    <w:tmpl w:val="994530320"/>
    <w:lvl w:ilvl="0">
      <w:start w:val="0"/>
      <w:numFmt w:val="bullet"/>
      <w:lvlText w:val="l"/>
      <w:pPr>
        <w:ind w:left="480" w:hanging="48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n"/>
      <w:pPr>
        <w:ind w:left="96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u"/>
      <w:pPr>
        <w:ind w:left="144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l"/>
      <w:pPr>
        <w:ind w:left="192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n"/>
      <w:pPr>
        <w:ind w:left="240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u"/>
      <w:pPr>
        <w:ind w:left="288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l"/>
      <w:pPr>
        <w:ind w:left="336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n"/>
      <w:pPr>
        <w:ind w:left="384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u"/>
      <w:pPr>
        <w:ind w:left="4320" w:hanging="480"/>
      </w:pPr>
      <w:rPr>
        <w:rFonts w:ascii="標楷體" w:eastAsia="標楷體" w:hAnsi="標楷體" w:hint="default"/>
      </w:rPr>
      <w:rPr>
        <w:b/>
        <w:sz w:val="28"/>
        <w:szCs w:val="28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center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480" w:hanging="48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187" w:firstLine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標楷體" w:eastAsia="標楷體"/>
      <w:b/>
      <w:sz w:val="28"/>
    </w:rPr>
  </w:style>
  <w:style w:type="character" w:customStyle="1" w:styleId="Character1">
    <w:name w:val="CharAttribute1"/>
    <w:rPr>
      <w:rFonts w:ascii="標楷體" w:eastAsia="標楷體"/>
      <w:b/>
      <w:sz w:val="28"/>
    </w:rPr>
  </w:style>
  <w:style w:type="character" w:customStyle="1" w:styleId="Character2">
    <w:name w:val="CharAttribute2"/>
    <w:rPr>
      <w:rFonts w:ascii="標楷體" w:eastAsia="標楷體"/>
      <w:b/>
      <w:sz w:val="24"/>
    </w:rPr>
  </w:style>
  <w:style w:type="character" w:customStyle="1" w:styleId="Character3">
    <w:name w:val="CharAttribute3"/>
    <w:rPr>
      <w:rFonts w:ascii="標楷體" w:eastAsia="標楷體"/>
      <w:b/>
      <w:sz w:val="24"/>
    </w:rPr>
  </w:style>
  <w:style w:type="character" w:customStyle="1" w:styleId="Character4">
    <w:name w:val="CharAttribute4"/>
    <w:rPr>
      <w:rFonts w:ascii="標楷體" w:eastAsia="標楷體"/>
      <w:sz w:val="24"/>
    </w:rPr>
  </w:style>
  <w:style w:type="character" w:customStyle="1" w:styleId="Character5">
    <w:name w:val="CharAttribute5"/>
    <w:rPr>
      <w:rFonts w:ascii="標楷體" w:eastAsia="標楷體"/>
      <w:sz w:val="24"/>
    </w:rPr>
  </w:style>
  <w:style w:type="character" w:customStyle="1" w:styleId="Character6">
    <w:name w:val="CharAttribute6"/>
    <w:rPr>
      <w:rFonts w:ascii="標楷體" w:eastAsia="標楷體"/>
      <w:color w:val="141823"/>
      <w:sz w:val="23"/>
      <w:shd w:val="clear" w:color="auto" w:fill="FFFFFF"/>
    </w:rPr>
  </w:style>
  <w:style w:type="character" w:customStyle="1" w:styleId="Character7">
    <w:name w:val="CharAttribute7"/>
    <w:rPr>
      <w:rFonts w:ascii="標楷體" w:eastAsia="標楷體"/>
      <w:sz w:val="24"/>
    </w:rPr>
  </w:style>
  <w:style w:type="character" w:customStyle="1" w:styleId="Character8">
    <w:name w:val="CharAttribute8"/>
    <w:rPr>
      <w:rFonts w:ascii="標楷體" w:eastAsia="標楷體"/>
      <w:sz w:val="24"/>
    </w:rPr>
  </w:style>
  <w:style w:type="character" w:customStyle="1" w:styleId="Character9">
    <w:name w:val="CharAttribute9"/>
    <w:rPr>
      <w:rFonts w:ascii="Wingdings" w:eastAsia="Wingdings"/>
      <w:sz w:val="24"/>
    </w:rPr>
  </w:style>
  <w:style w:type="character" w:customStyle="1" w:styleId="Character10">
    <w:name w:val="CharAttribute10"/>
    <w:rPr>
      <w:rFonts w:ascii="Wingdings" w:eastAsia="Wingdings"/>
      <w:sz w:val="24"/>
    </w:rPr>
  </w:style>
  <w:style w:type="character" w:customStyle="1" w:styleId="Character11">
    <w:name w:val="CharAttribute11"/>
    <w:rPr>
      <w:rFonts w:ascii="標楷體" w:eastAsia="標楷體"/>
      <w:u w:val="single"/>
      <w:b/>
      <w:color w:val="FF0000"/>
      <w:sz w:val="24"/>
    </w:rPr>
  </w:style>
  <w:style w:type="character" w:customStyle="1" w:styleId="Character12">
    <w:name w:val="CharAttribute12"/>
    <w:rPr>
      <w:rFonts w:ascii="標楷體" w:eastAsia="標楷體"/>
      <w:color w:val="FF0000"/>
    </w:rPr>
  </w:style>
  <w:style w:type="character" w:customStyle="1" w:styleId="Character13">
    <w:name w:val="CharAttribute13"/>
    <w:rPr>
      <w:rFonts w:ascii="標楷體" w:eastAsia="標楷體"/>
      <w:b/>
      <w:sz w:val="28"/>
    </w:rPr>
  </w:style>
  <w:style w:type="character" w:customStyle="1" w:styleId="Character14">
    <w:name w:val="CharAttribute14"/>
    <w:rPr>
      <w:rFonts w:ascii="標楷體" w:eastAsia="標楷體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image" Target="media/fImage86877844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1527</Characters>
  <CharactersWithSpaces>0</CharactersWithSpaces>
  <DocSecurity>0</DocSecurity>
  <HyperlinksChanged>false</HyperlinksChanged>
  <Lines>10</Lines>
  <LinksUpToDate>false</LinksUpToDate>
  <Pages>3</Pages>
  <Paragraphs>3</Paragraphs>
  <Words>228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許聖偉</dc:creator>
  <cp:lastModifiedBy>雙連教會</cp:lastModifiedBy>
  <dcterms:modified xsi:type="dcterms:W3CDTF">2015-01-06T13:07:00Z</dcterms:modified>
</cp:coreProperties>
</file>