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33" w:rsidRPr="00363533" w:rsidRDefault="0035340D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9117C" wp14:editId="34008C3A">
                <wp:simplePos x="0" y="0"/>
                <wp:positionH relativeFrom="column">
                  <wp:posOffset>-85725</wp:posOffset>
                </wp:positionH>
                <wp:positionV relativeFrom="paragraph">
                  <wp:posOffset>123825</wp:posOffset>
                </wp:positionV>
                <wp:extent cx="1714500" cy="14382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pStyle w:val="Heading3"/>
                              <w:rPr>
                                <w:rFonts w:ascii="Arial" w:hAnsi="Arial" w:cs="Arial"/>
                                <w:color w:val="008000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color w:val="008000"/>
                              </w:rPr>
                              <w:t>Helping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:rsidR="00363533" w:rsidRPr="001D6A34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eeping 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‘gates</w:t>
                            </w:r>
                            <w:r w:rsidR="003534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91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75pt;margin-top:9.75pt;width:13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">
                <v:textbox inset="3.75pt,3.75pt,3.75pt,3.75pt">
                  <w:txbxContent>
                    <w:p w:rsidR="00363533" w:rsidRPr="00DE4727" w:rsidRDefault="00363533" w:rsidP="00363533">
                      <w:pPr>
                        <w:pStyle w:val="Heading3"/>
                        <w:rPr>
                          <w:rFonts w:ascii="Arial" w:hAnsi="Arial" w:cs="Arial"/>
                          <w:color w:val="008000"/>
                        </w:rPr>
                      </w:pPr>
                      <w:r w:rsidRPr="00DE4727">
                        <w:rPr>
                          <w:rFonts w:ascii="Arial" w:hAnsi="Arial" w:cs="Arial"/>
                          <w:color w:val="008000"/>
                        </w:rPr>
                        <w:t>Helping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:rsidR="00363533" w:rsidRPr="001D6A34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eeping 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‘gates</w:t>
                      </w:r>
                      <w:r w:rsidR="003534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</w:p>
    <w:p w:rsidR="00363533" w:rsidRPr="00363533" w:rsidRDefault="0035340D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79105" wp14:editId="7A233B6A">
                <wp:simplePos x="0" y="0"/>
                <wp:positionH relativeFrom="column">
                  <wp:posOffset>5076825</wp:posOffset>
                </wp:positionH>
                <wp:positionV relativeFrom="paragraph">
                  <wp:posOffset>33655</wp:posOffset>
                </wp:positionV>
                <wp:extent cx="1676400" cy="143192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79105" id="Text Box 2" o:spid="_x0000_s1027" type="#_x0000_t202" style="position:absolute;left:0;text-align:left;margin-left:399.75pt;margin-top:2.65pt;width:132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">
                <v:textbox inset="3.75pt,3.75pt,3.75pt,3.75pt">
                  <w:txbxContent>
                    <w:p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2B15D1">
        <w:rPr>
          <w:rFonts w:ascii="Arial" w:eastAsia="Times New Roman" w:hAnsi="Arial" w:cs="Arial"/>
          <w:sz w:val="28"/>
          <w:szCs w:val="28"/>
        </w:rPr>
        <w:t xml:space="preserve"> Thursday, September 26</w:t>
      </w:r>
      <w:r w:rsidR="003F571D">
        <w:rPr>
          <w:rFonts w:ascii="Arial" w:eastAsia="Times New Roman" w:hAnsi="Arial" w:cs="Arial"/>
          <w:sz w:val="28"/>
          <w:szCs w:val="28"/>
        </w:rPr>
        <w:t>, 2019</w:t>
      </w:r>
    </w:p>
    <w:p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Time: 1:30</w:t>
      </w:r>
      <w:r w:rsidR="00111ABB">
        <w:rPr>
          <w:rFonts w:ascii="Arial" w:eastAsia="Times New Roman" w:hAnsi="Arial" w:cs="Arial"/>
          <w:sz w:val="28"/>
          <w:szCs w:val="28"/>
        </w:rPr>
        <w:t>-3:30 pm</w:t>
      </w:r>
    </w:p>
    <w:p w:rsidR="00363533" w:rsidRPr="00363533" w:rsidRDefault="00363533" w:rsidP="00363533">
      <w:pPr>
        <w:spacing w:after="0" w:line="240" w:lineRule="auto"/>
        <w:ind w:left="3870" w:hanging="990"/>
        <w:outlineLvl w:val="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Place:</w:t>
      </w:r>
      <w:r w:rsidR="00111ABB">
        <w:rPr>
          <w:rFonts w:ascii="Comic Sans MS" w:eastAsia="Times New Roman" w:hAnsi="Comic Sans MS" w:cs="Arial"/>
          <w:sz w:val="28"/>
          <w:szCs w:val="28"/>
        </w:rPr>
        <w:t xml:space="preserve"> </w:t>
      </w:r>
      <w:r w:rsidR="00C6135A">
        <w:rPr>
          <w:rFonts w:ascii="Arial" w:eastAsia="Times New Roman" w:hAnsi="Arial" w:cs="Arial"/>
          <w:sz w:val="28"/>
          <w:szCs w:val="28"/>
        </w:rPr>
        <w:t>St. Luke’s Hospital</w:t>
      </w:r>
      <w:r w:rsidR="00111ABB">
        <w:rPr>
          <w:rFonts w:ascii="Arial" w:eastAsia="Times New Roman" w:hAnsi="Arial" w:cs="Arial"/>
          <w:sz w:val="28"/>
          <w:szCs w:val="28"/>
        </w:rPr>
        <w:t xml:space="preserve"> </w:t>
      </w:r>
    </w:p>
    <w:p w:rsidR="00363533" w:rsidRPr="00363533" w:rsidRDefault="00363533" w:rsidP="00363533">
      <w:pPr>
        <w:spacing w:after="0" w:line="240" w:lineRule="auto"/>
        <w:ind w:left="3420" w:hanging="540"/>
        <w:outlineLvl w:val="0"/>
        <w:rPr>
          <w:rFonts w:ascii="Comic Sans MS" w:eastAsia="Times New Roman" w:hAnsi="Comic Sans MS" w:cs="Arial"/>
          <w:b/>
          <w:color w:val="C00000"/>
          <w:sz w:val="16"/>
          <w:szCs w:val="16"/>
        </w:rPr>
      </w:pPr>
    </w:p>
    <w:p w:rsidR="00B8617B" w:rsidRDefault="00363533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</w:t>
      </w:r>
    </w:p>
    <w:p w:rsidR="00111ABB" w:rsidRDefault="00111ABB" w:rsidP="00363533">
      <w:pPr>
        <w:spacing w:after="0" w:line="240" w:lineRule="auto"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:rsidR="00B8617B" w:rsidRPr="00B8617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Margie Hassler (SLU)</w:t>
      </w:r>
      <w:r w:rsidRPr="00B8617B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</w:p>
    <w:p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>
        <w:rPr>
          <w:rFonts w:ascii="Comic Sans MS" w:eastAsia="Times New Roman" w:hAnsi="Comic Sans MS" w:cs="Arial"/>
          <w:b/>
          <w:sz w:val="20"/>
          <w:szCs w:val="20"/>
        </w:rPr>
        <w:t>Present: Kathy</w:t>
      </w:r>
      <w:r w:rsidR="00F25850">
        <w:rPr>
          <w:rFonts w:ascii="Comic Sans MS" w:eastAsia="Times New Roman" w:hAnsi="Comic Sans MS" w:cs="Arial"/>
          <w:b/>
          <w:sz w:val="20"/>
          <w:szCs w:val="20"/>
        </w:rPr>
        <w:t xml:space="preserve"> Rose</w:t>
      </w:r>
      <w:r w:rsidR="00E3225B">
        <w:rPr>
          <w:rFonts w:ascii="Comic Sans MS" w:eastAsia="Times New Roman" w:hAnsi="Comic Sans MS" w:cs="Arial"/>
          <w:b/>
          <w:sz w:val="20"/>
          <w:szCs w:val="20"/>
        </w:rPr>
        <w:t>land (MBU),</w:t>
      </w:r>
      <w:r w:rsidR="00C45AB1">
        <w:rPr>
          <w:rFonts w:ascii="Comic Sans MS" w:eastAsia="Times New Roman" w:hAnsi="Comic Sans MS" w:cs="Arial"/>
          <w:b/>
          <w:sz w:val="20"/>
          <w:szCs w:val="20"/>
        </w:rPr>
        <w:t xml:space="preserve"> Sarah Weyhrich (SLCH), Tim </w:t>
      </w:r>
      <w:proofErr w:type="spellStart"/>
      <w:r w:rsidR="00C45AB1">
        <w:rPr>
          <w:rFonts w:ascii="Comic Sans MS" w:eastAsia="Times New Roman" w:hAnsi="Comic Sans MS" w:cs="Arial"/>
          <w:b/>
          <w:sz w:val="20"/>
          <w:szCs w:val="20"/>
        </w:rPr>
        <w:t>Shinabery</w:t>
      </w:r>
      <w:proofErr w:type="spellEnd"/>
      <w:r w:rsidR="00D35E70">
        <w:rPr>
          <w:rFonts w:ascii="Comic Sans MS" w:eastAsia="Times New Roman" w:hAnsi="Comic Sans MS" w:cs="Arial"/>
          <w:b/>
          <w:sz w:val="20"/>
          <w:szCs w:val="20"/>
        </w:rPr>
        <w:t xml:space="preserve"> (Maryville),</w:t>
      </w:r>
      <w:r w:rsidR="0021147F">
        <w:rPr>
          <w:rFonts w:ascii="Comic Sans MS" w:eastAsia="Times New Roman" w:hAnsi="Comic Sans MS" w:cs="Arial"/>
          <w:b/>
          <w:sz w:val="20"/>
          <w:szCs w:val="20"/>
        </w:rPr>
        <w:t xml:space="preserve"> Josh</w:t>
      </w:r>
      <w:r w:rsidR="00E82F08">
        <w:rPr>
          <w:rFonts w:ascii="Comic Sans MS" w:eastAsia="Times New Roman" w:hAnsi="Comic Sans MS" w:cs="Arial"/>
          <w:b/>
          <w:sz w:val="20"/>
          <w:szCs w:val="20"/>
        </w:rPr>
        <w:t>ua</w:t>
      </w:r>
      <w:r w:rsidR="0021147F">
        <w:rPr>
          <w:rFonts w:ascii="Comic Sans MS" w:eastAsia="Times New Roman" w:hAnsi="Comic Sans MS" w:cs="Arial"/>
          <w:b/>
          <w:sz w:val="20"/>
          <w:szCs w:val="20"/>
        </w:rPr>
        <w:t xml:space="preserve"> Spa</w:t>
      </w:r>
      <w:r w:rsidR="00061C37">
        <w:rPr>
          <w:rFonts w:ascii="Comic Sans MS" w:eastAsia="Times New Roman" w:hAnsi="Comic Sans MS" w:cs="Arial"/>
          <w:b/>
          <w:sz w:val="20"/>
          <w:szCs w:val="20"/>
        </w:rPr>
        <w:t>nn (SIUE), Rick Lang (SLCHC),</w:t>
      </w:r>
      <w:r w:rsidR="00D97116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82F08">
        <w:rPr>
          <w:rFonts w:ascii="Comic Sans MS" w:eastAsia="Times New Roman" w:hAnsi="Comic Sans MS" w:cs="Arial"/>
          <w:b/>
          <w:sz w:val="20"/>
          <w:szCs w:val="20"/>
        </w:rPr>
        <w:t>Beth Hankame</w:t>
      </w:r>
      <w:r w:rsidR="00D21B0F">
        <w:rPr>
          <w:rFonts w:ascii="Comic Sans MS" w:eastAsia="Times New Roman" w:hAnsi="Comic Sans MS" w:cs="Arial"/>
          <w:b/>
          <w:sz w:val="20"/>
          <w:szCs w:val="20"/>
        </w:rPr>
        <w:t>r (SLU)</w:t>
      </w:r>
      <w:r w:rsidR="00A043B9">
        <w:rPr>
          <w:rFonts w:ascii="Comic Sans MS" w:eastAsia="Times New Roman" w:hAnsi="Comic Sans MS" w:cs="Arial"/>
          <w:b/>
          <w:sz w:val="20"/>
          <w:szCs w:val="20"/>
        </w:rPr>
        <w:t>, Amy Reed (SIUE)</w:t>
      </w:r>
    </w:p>
    <w:p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:rsidTr="00111ABB">
        <w:tc>
          <w:tcPr>
            <w:tcW w:w="2357" w:type="dxa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:rsidTr="00111ABB">
        <w:trPr>
          <w:trHeight w:val="818"/>
        </w:trPr>
        <w:tc>
          <w:tcPr>
            <w:tcW w:w="2357" w:type="dxa"/>
            <w:vMerge w:val="restart"/>
          </w:tcPr>
          <w:p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</w:p>
        </w:tc>
        <w:tc>
          <w:tcPr>
            <w:tcW w:w="2760" w:type="dxa"/>
            <w:shd w:val="clear" w:color="auto" w:fill="auto"/>
          </w:tcPr>
          <w:p w:rsidR="00111ABB" w:rsidRPr="00AD6492" w:rsidRDefault="00FB3D47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Margie H</w:t>
            </w:r>
            <w:r w:rsidR="00205D51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5521" w:type="dxa"/>
            <w:shd w:val="clear" w:color="auto" w:fill="auto"/>
          </w:tcPr>
          <w:p w:rsidR="000857A4" w:rsidRPr="00E53C48" w:rsidRDefault="00D35E70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21147F">
              <w:rPr>
                <w:rFonts w:eastAsia="Times New Roman" w:cstheme="minorHAnsi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were made by Margie H. </w:t>
            </w:r>
          </w:p>
        </w:tc>
      </w:tr>
      <w:tr w:rsidR="00111ABB" w:rsidRPr="00363533" w:rsidTr="004E6643">
        <w:trPr>
          <w:trHeight w:val="422"/>
        </w:trPr>
        <w:tc>
          <w:tcPr>
            <w:tcW w:w="2357" w:type="dxa"/>
            <w:vMerge/>
          </w:tcPr>
          <w:p w:rsidR="00111ABB" w:rsidRPr="00AD6492" w:rsidRDefault="00111AB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760" w:type="dxa"/>
            <w:shd w:val="clear" w:color="auto" w:fill="auto"/>
          </w:tcPr>
          <w:p w:rsidR="00111ABB" w:rsidRPr="00AD6492" w:rsidRDefault="00111AB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D6492">
              <w:rPr>
                <w:rFonts w:eastAsia="Times New Roman" w:cstheme="minorHAnsi"/>
                <w:sz w:val="24"/>
                <w:szCs w:val="24"/>
              </w:rPr>
              <w:t>Group Discussion</w:t>
            </w:r>
            <w:r w:rsidR="00E53C48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521" w:type="dxa"/>
            <w:shd w:val="clear" w:color="auto" w:fill="auto"/>
          </w:tcPr>
          <w:p w:rsidR="00036253" w:rsidRDefault="00E53C48" w:rsidP="00E53C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Healthcare Simulation Week 2019 was celebrated September 16-20. </w:t>
            </w:r>
          </w:p>
          <w:p w:rsidR="00E53C48" w:rsidRPr="00E53C48" w:rsidRDefault="00E53C48" w:rsidP="00E53C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SIUE, MBU, SLU and Cardinal Glennon all shared how their institutions celebrated Simulation Week.</w:t>
            </w:r>
          </w:p>
        </w:tc>
      </w:tr>
      <w:tr w:rsidR="00363533" w:rsidRPr="00363533" w:rsidTr="00111ABB">
        <w:trPr>
          <w:trHeight w:val="1052"/>
        </w:trPr>
        <w:tc>
          <w:tcPr>
            <w:tcW w:w="2357" w:type="dxa"/>
          </w:tcPr>
          <w:p w:rsidR="00E53C48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Guest Speaker:</w:t>
            </w:r>
          </w:p>
          <w:p w:rsidR="00363533" w:rsidRPr="00AD6492" w:rsidRDefault="00C83C31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Life C</w:t>
            </w:r>
            <w:r w:rsidR="00E53C48">
              <w:rPr>
                <w:rFonts w:eastAsia="Times New Roman" w:cstheme="minorHAnsi"/>
                <w:sz w:val="24"/>
                <w:szCs w:val="24"/>
              </w:rPr>
              <w:t>ast</w:t>
            </w:r>
          </w:p>
        </w:tc>
        <w:tc>
          <w:tcPr>
            <w:tcW w:w="2760" w:type="dxa"/>
            <w:shd w:val="clear" w:color="auto" w:fill="auto"/>
          </w:tcPr>
          <w:p w:rsidR="00363533" w:rsidRPr="00AD6492" w:rsidRDefault="0066185F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Life Cast Rep Paul Allen</w:t>
            </w:r>
            <w:r w:rsidR="00E53C48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521" w:type="dxa"/>
            <w:shd w:val="clear" w:color="auto" w:fill="auto"/>
          </w:tcPr>
          <w:p w:rsidR="00747849" w:rsidRPr="0066185F" w:rsidRDefault="00C83C31" w:rsidP="0066185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Life Cast offers silicone based manikins. The child trainer, prem baby trainer and wearable trainer were available to view. Mankins are very durable and very realistic looking. Key features include: step wise airway management, CPR compatible, UVC cannulated, Closed eyelids. The  Life Cast website is </w:t>
            </w:r>
            <w:hyperlink r:id="rId6" w:history="1">
              <w:r>
                <w:rPr>
                  <w:rStyle w:val="Hyperlink"/>
                </w:rPr>
                <w:t>https://www.lifecastbodysim.com/</w:t>
              </w:r>
            </w:hyperlink>
          </w:p>
        </w:tc>
      </w:tr>
      <w:tr w:rsidR="004E6643" w:rsidRPr="00363533" w:rsidTr="00111ABB">
        <w:trPr>
          <w:trHeight w:val="1277"/>
        </w:trPr>
        <w:tc>
          <w:tcPr>
            <w:tcW w:w="2357" w:type="dxa"/>
          </w:tcPr>
          <w:p w:rsidR="00205D51" w:rsidRPr="00AD6492" w:rsidRDefault="00C83C31" w:rsidP="00205D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New Business: Review candidates for office and vote</w:t>
            </w:r>
          </w:p>
        </w:tc>
        <w:tc>
          <w:tcPr>
            <w:tcW w:w="2760" w:type="dxa"/>
            <w:shd w:val="clear" w:color="auto" w:fill="auto"/>
          </w:tcPr>
          <w:p w:rsidR="00205D51" w:rsidRPr="00AD6492" w:rsidRDefault="00C83C31" w:rsidP="005F431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Margie H.</w:t>
            </w:r>
          </w:p>
        </w:tc>
        <w:tc>
          <w:tcPr>
            <w:tcW w:w="5521" w:type="dxa"/>
            <w:shd w:val="clear" w:color="auto" w:fill="auto"/>
          </w:tcPr>
          <w:p w:rsidR="00205D51" w:rsidRPr="00C83C31" w:rsidRDefault="00E82F08" w:rsidP="00C83C31">
            <w:pPr>
              <w:pStyle w:val="ListParagraph"/>
              <w:numPr>
                <w:ilvl w:val="0"/>
                <w:numId w:val="29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Up for election are the positions of President, Treasurer, and Assistant Tech. Beth Hankamer was </w:t>
            </w:r>
            <w:r w:rsidR="00286B45">
              <w:rPr>
                <w:rFonts w:eastAsia="Times New Roman" w:cstheme="minorHAnsi"/>
                <w:sz w:val="24"/>
                <w:szCs w:val="24"/>
              </w:rPr>
              <w:t>voted in as the new 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reasurer effective November 12, 2019. If anyone is interested in the position of President or Assistant Tech please reach out to Margie Hassler. </w:t>
            </w:r>
          </w:p>
        </w:tc>
      </w:tr>
      <w:tr w:rsidR="004E6643" w:rsidRPr="00363533" w:rsidTr="00111ABB">
        <w:trPr>
          <w:trHeight w:val="1277"/>
        </w:trPr>
        <w:tc>
          <w:tcPr>
            <w:tcW w:w="2357" w:type="dxa"/>
          </w:tcPr>
          <w:p w:rsidR="004E6643" w:rsidRPr="00AD6492" w:rsidRDefault="00F639F7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 update</w:t>
            </w:r>
          </w:p>
        </w:tc>
        <w:tc>
          <w:tcPr>
            <w:tcW w:w="2760" w:type="dxa"/>
            <w:shd w:val="clear" w:color="auto" w:fill="auto"/>
          </w:tcPr>
          <w:p w:rsidR="004E6643" w:rsidRPr="00AD6492" w:rsidRDefault="00E82F08" w:rsidP="008300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Joshua Spann</w:t>
            </w:r>
          </w:p>
        </w:tc>
        <w:tc>
          <w:tcPr>
            <w:tcW w:w="5521" w:type="dxa"/>
            <w:shd w:val="clear" w:color="auto" w:fill="auto"/>
          </w:tcPr>
          <w:p w:rsidR="00B76DAC" w:rsidRDefault="00F639F7" w:rsidP="00F639F7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 currently have a Facebook and Google page but are not the owners of those pages. </w:t>
            </w:r>
          </w:p>
          <w:p w:rsidR="00F639F7" w:rsidRDefault="00F639F7" w:rsidP="00F639F7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Joshua discussed two options: we can set up a free website but could be labor intensive to set up. We could pay for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Wordpress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which is less labor intensive but would cost 5.00 to 13.00 monthly. </w:t>
            </w:r>
          </w:p>
          <w:p w:rsidR="00F639F7" w:rsidRDefault="00F639F7" w:rsidP="00F639F7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Content we are thinking of adding to website includes: upcoming meeting information, vendor information, previous meeting minutes, etc. </w:t>
            </w:r>
          </w:p>
          <w:p w:rsidR="00F639F7" w:rsidRDefault="00F639F7" w:rsidP="00F639F7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The Assistant Tech position when it is filled will be responsible for keeping up and adding to the website. Leadership will define the role of Tech Master and Assistant Tech.</w:t>
            </w:r>
          </w:p>
          <w:p w:rsidR="00F639F7" w:rsidRPr="00F639F7" w:rsidRDefault="00F639F7" w:rsidP="00F639F7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Joshua will try to get our domain name back, if not Leadership will discuss a new domain name and bring the information to the November meeting. </w:t>
            </w:r>
          </w:p>
        </w:tc>
      </w:tr>
      <w:tr w:rsidR="00F639F7" w:rsidRPr="00363533" w:rsidTr="00111ABB">
        <w:trPr>
          <w:trHeight w:val="1277"/>
        </w:trPr>
        <w:tc>
          <w:tcPr>
            <w:tcW w:w="2357" w:type="dxa"/>
          </w:tcPr>
          <w:p w:rsidR="00F639F7" w:rsidRDefault="00F639F7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2020 Goals</w:t>
            </w:r>
          </w:p>
        </w:tc>
        <w:tc>
          <w:tcPr>
            <w:tcW w:w="2760" w:type="dxa"/>
            <w:shd w:val="clear" w:color="auto" w:fill="auto"/>
          </w:tcPr>
          <w:p w:rsidR="00F639F7" w:rsidRDefault="00F639F7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Margie H.</w:t>
            </w:r>
          </w:p>
        </w:tc>
        <w:tc>
          <w:tcPr>
            <w:tcW w:w="5521" w:type="dxa"/>
            <w:shd w:val="clear" w:color="auto" w:fill="auto"/>
          </w:tcPr>
          <w:p w:rsidR="00F639F7" w:rsidRDefault="00F639F7" w:rsidP="00F639F7">
            <w:pPr>
              <w:pStyle w:val="ListParagraph"/>
              <w:numPr>
                <w:ilvl w:val="0"/>
                <w:numId w:val="30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Creating the new website.</w:t>
            </w:r>
          </w:p>
          <w:p w:rsidR="00F639F7" w:rsidRDefault="00F639F7" w:rsidP="00F639F7">
            <w:pPr>
              <w:pStyle w:val="ListParagraph"/>
              <w:numPr>
                <w:ilvl w:val="0"/>
                <w:numId w:val="30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Sharing simulation and how it is integrated into curriculum.</w:t>
            </w:r>
          </w:p>
          <w:p w:rsidR="00F639F7" w:rsidRPr="00F639F7" w:rsidRDefault="00F639F7" w:rsidP="00F639F7">
            <w:pPr>
              <w:pStyle w:val="ListParagraph"/>
              <w:numPr>
                <w:ilvl w:val="0"/>
                <w:numId w:val="30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Formalize monthly practice sharing.</w:t>
            </w:r>
          </w:p>
        </w:tc>
      </w:tr>
      <w:tr w:rsidR="00363533" w:rsidRPr="00363533" w:rsidTr="00111ABB">
        <w:trPr>
          <w:trHeight w:val="1277"/>
        </w:trPr>
        <w:tc>
          <w:tcPr>
            <w:tcW w:w="2357" w:type="dxa"/>
          </w:tcPr>
          <w:p w:rsidR="00363533" w:rsidRPr="00AD6492" w:rsidRDefault="00902951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</w:t>
            </w:r>
          </w:p>
        </w:tc>
        <w:tc>
          <w:tcPr>
            <w:tcW w:w="2760" w:type="dxa"/>
            <w:shd w:val="clear" w:color="auto" w:fill="auto"/>
          </w:tcPr>
          <w:p w:rsidR="00690F4F" w:rsidRDefault="00690F4F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November 11, 2019</w:t>
            </w:r>
          </w:p>
          <w:p w:rsidR="00B75654" w:rsidRPr="00AD6492" w:rsidRDefault="00CC6BFF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1:30 to 3:30</w:t>
            </w:r>
          </w:p>
        </w:tc>
        <w:tc>
          <w:tcPr>
            <w:tcW w:w="5521" w:type="dxa"/>
            <w:shd w:val="clear" w:color="auto" w:fill="auto"/>
          </w:tcPr>
          <w:p w:rsidR="00690F4F" w:rsidRPr="00CC6BFF" w:rsidRDefault="00690F4F" w:rsidP="00CC6BFF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5850" w:rsidRPr="00363533" w:rsidTr="00111ABB">
        <w:trPr>
          <w:trHeight w:val="1277"/>
        </w:trPr>
        <w:tc>
          <w:tcPr>
            <w:tcW w:w="2357" w:type="dxa"/>
          </w:tcPr>
          <w:p w:rsidR="00F25850" w:rsidRPr="00AD6492" w:rsidRDefault="00F25850" w:rsidP="00F258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760" w:type="dxa"/>
            <w:shd w:val="clear" w:color="auto" w:fill="auto"/>
          </w:tcPr>
          <w:p w:rsidR="00F25850" w:rsidRPr="00AD6492" w:rsidRDefault="00F25850" w:rsidP="00F25850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</w:tcPr>
          <w:p w:rsidR="00F25850" w:rsidRPr="00AD6492" w:rsidRDefault="00F639F7" w:rsidP="00F25850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meeting was adjourned at 2:50</w:t>
            </w:r>
            <w:r w:rsidR="00F25850">
              <w:rPr>
                <w:rFonts w:eastAsia="Times New Roman" w:cstheme="minorHAnsi"/>
                <w:sz w:val="24"/>
                <w:szCs w:val="24"/>
              </w:rPr>
              <w:t xml:space="preserve"> pm.</w:t>
            </w:r>
          </w:p>
        </w:tc>
      </w:tr>
    </w:tbl>
    <w:p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04A0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7"/>
  </w:num>
  <w:num w:numId="5">
    <w:abstractNumId w:val="26"/>
  </w:num>
  <w:num w:numId="6">
    <w:abstractNumId w:val="10"/>
  </w:num>
  <w:num w:numId="7">
    <w:abstractNumId w:val="25"/>
  </w:num>
  <w:num w:numId="8">
    <w:abstractNumId w:val="13"/>
  </w:num>
  <w:num w:numId="9">
    <w:abstractNumId w:val="16"/>
  </w:num>
  <w:num w:numId="10">
    <w:abstractNumId w:val="0"/>
  </w:num>
  <w:num w:numId="11">
    <w:abstractNumId w:val="23"/>
  </w:num>
  <w:num w:numId="12">
    <w:abstractNumId w:val="6"/>
  </w:num>
  <w:num w:numId="13">
    <w:abstractNumId w:val="5"/>
  </w:num>
  <w:num w:numId="14">
    <w:abstractNumId w:val="24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36253"/>
    <w:rsid w:val="00044B40"/>
    <w:rsid w:val="0005612C"/>
    <w:rsid w:val="00061C37"/>
    <w:rsid w:val="000857A4"/>
    <w:rsid w:val="000A074A"/>
    <w:rsid w:val="000A5D4B"/>
    <w:rsid w:val="00111ABB"/>
    <w:rsid w:val="00113F59"/>
    <w:rsid w:val="00190090"/>
    <w:rsid w:val="001D2F0C"/>
    <w:rsid w:val="001E6DA8"/>
    <w:rsid w:val="00205D51"/>
    <w:rsid w:val="00210429"/>
    <w:rsid w:val="0021147F"/>
    <w:rsid w:val="00227894"/>
    <w:rsid w:val="00246009"/>
    <w:rsid w:val="00250702"/>
    <w:rsid w:val="00251CDB"/>
    <w:rsid w:val="00283797"/>
    <w:rsid w:val="00286B45"/>
    <w:rsid w:val="002B15D1"/>
    <w:rsid w:val="002D454C"/>
    <w:rsid w:val="0032447C"/>
    <w:rsid w:val="00340D1B"/>
    <w:rsid w:val="00352B94"/>
    <w:rsid w:val="0035340D"/>
    <w:rsid w:val="00363533"/>
    <w:rsid w:val="003D5D29"/>
    <w:rsid w:val="003F571D"/>
    <w:rsid w:val="00430256"/>
    <w:rsid w:val="004B76AC"/>
    <w:rsid w:val="004C6854"/>
    <w:rsid w:val="004E6643"/>
    <w:rsid w:val="005578A4"/>
    <w:rsid w:val="005A6AC8"/>
    <w:rsid w:val="005F431E"/>
    <w:rsid w:val="0060542B"/>
    <w:rsid w:val="00633F21"/>
    <w:rsid w:val="0066185F"/>
    <w:rsid w:val="0067140D"/>
    <w:rsid w:val="0067497A"/>
    <w:rsid w:val="00690F4F"/>
    <w:rsid w:val="006E137D"/>
    <w:rsid w:val="0072028A"/>
    <w:rsid w:val="00747849"/>
    <w:rsid w:val="007544B7"/>
    <w:rsid w:val="00754C30"/>
    <w:rsid w:val="007A0C2B"/>
    <w:rsid w:val="007F5908"/>
    <w:rsid w:val="008300FE"/>
    <w:rsid w:val="008B24A6"/>
    <w:rsid w:val="008D71C7"/>
    <w:rsid w:val="008F1541"/>
    <w:rsid w:val="00902951"/>
    <w:rsid w:val="00905DF5"/>
    <w:rsid w:val="009273F7"/>
    <w:rsid w:val="00933DB5"/>
    <w:rsid w:val="0098083A"/>
    <w:rsid w:val="00A043B9"/>
    <w:rsid w:val="00A3419B"/>
    <w:rsid w:val="00A67415"/>
    <w:rsid w:val="00A7138C"/>
    <w:rsid w:val="00A77C60"/>
    <w:rsid w:val="00AA3B00"/>
    <w:rsid w:val="00AD6492"/>
    <w:rsid w:val="00B0227C"/>
    <w:rsid w:val="00B23209"/>
    <w:rsid w:val="00B75654"/>
    <w:rsid w:val="00B76DAC"/>
    <w:rsid w:val="00B8617B"/>
    <w:rsid w:val="00BD2B3F"/>
    <w:rsid w:val="00BF0C33"/>
    <w:rsid w:val="00C45AB1"/>
    <w:rsid w:val="00C6135A"/>
    <w:rsid w:val="00C833BB"/>
    <w:rsid w:val="00C83C31"/>
    <w:rsid w:val="00CA352C"/>
    <w:rsid w:val="00CC6BFF"/>
    <w:rsid w:val="00D21B0F"/>
    <w:rsid w:val="00D35E70"/>
    <w:rsid w:val="00D62520"/>
    <w:rsid w:val="00D85E30"/>
    <w:rsid w:val="00D97116"/>
    <w:rsid w:val="00DA4C4E"/>
    <w:rsid w:val="00DA63C0"/>
    <w:rsid w:val="00DC1C16"/>
    <w:rsid w:val="00E03A22"/>
    <w:rsid w:val="00E3225B"/>
    <w:rsid w:val="00E53C48"/>
    <w:rsid w:val="00E67FAB"/>
    <w:rsid w:val="00E82F08"/>
    <w:rsid w:val="00E9238C"/>
    <w:rsid w:val="00EB5724"/>
    <w:rsid w:val="00EC17E0"/>
    <w:rsid w:val="00F25850"/>
    <w:rsid w:val="00F41947"/>
    <w:rsid w:val="00F43E72"/>
    <w:rsid w:val="00F575BF"/>
    <w:rsid w:val="00F639F7"/>
    <w:rsid w:val="00FA3AF2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ADD8A-4FAE-4D1D-9642-9170787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fecastbodys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9949-1AF8-4A5D-9FC8-C8D123D6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mhassler</dc:creator>
  <cp:lastModifiedBy>Ehmke, Melissa</cp:lastModifiedBy>
  <cp:revision>2</cp:revision>
  <cp:lastPrinted>2018-07-18T15:20:00Z</cp:lastPrinted>
  <dcterms:created xsi:type="dcterms:W3CDTF">2020-02-05T17:47:00Z</dcterms:created>
  <dcterms:modified xsi:type="dcterms:W3CDTF">2020-02-05T17:47:00Z</dcterms:modified>
</cp:coreProperties>
</file>