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B44B2" w14:textId="77777777" w:rsidR="00D90C1E" w:rsidRPr="00134A9B" w:rsidRDefault="00EF058D">
      <w:r>
        <w:t xml:space="preserve">Hypothesis 1: </w:t>
      </w:r>
    </w:p>
    <w:p w14:paraId="4AD81872" w14:textId="29F24990" w:rsidR="00046D28" w:rsidRPr="00134A9B" w:rsidRDefault="00046D28">
      <w:r w:rsidRPr="00134A9B">
        <w:t>Predictor Variables(X): Life Form</w:t>
      </w:r>
    </w:p>
    <w:p w14:paraId="57B2E03A" w14:textId="1F568A8E" w:rsidR="00046D28" w:rsidRPr="00134A9B" w:rsidRDefault="00046D28" w:rsidP="00046D28">
      <w:pPr>
        <w:pStyle w:val="ListParagraph"/>
        <w:numPr>
          <w:ilvl w:val="0"/>
          <w:numId w:val="2"/>
        </w:numPr>
      </w:pPr>
      <w:r w:rsidRPr="00134A9B">
        <w:t xml:space="preserve">Data structure: Categorical </w:t>
      </w:r>
    </w:p>
    <w:p w14:paraId="78638AA0" w14:textId="1F82ADC2" w:rsidR="00046D28" w:rsidRPr="00134A9B" w:rsidRDefault="00046D28" w:rsidP="00046D28">
      <w:pPr>
        <w:pStyle w:val="ListParagraph"/>
        <w:numPr>
          <w:ilvl w:val="1"/>
          <w:numId w:val="2"/>
        </w:numPr>
      </w:pPr>
      <w:r w:rsidRPr="00134A9B">
        <w:t xml:space="preserve">Levels: </w:t>
      </w:r>
      <w:r w:rsidR="004A5B6E" w:rsidRPr="00134A9B">
        <w:t>Therophyte</w:t>
      </w:r>
      <w:r w:rsidR="004A5B6E" w:rsidRPr="00134A9B">
        <w:t xml:space="preserve">, </w:t>
      </w:r>
      <w:r w:rsidR="004A5B6E" w:rsidRPr="00134A9B">
        <w:t>Hemicryptophyte</w:t>
      </w:r>
      <w:r w:rsidR="004A5B6E" w:rsidRPr="00134A9B">
        <w:t xml:space="preserve">, </w:t>
      </w:r>
      <w:r w:rsidR="004A5B6E" w:rsidRPr="00134A9B">
        <w:t>Geophyte</w:t>
      </w:r>
      <w:r w:rsidR="004A5B6E" w:rsidRPr="00134A9B">
        <w:t xml:space="preserve">, </w:t>
      </w:r>
      <w:r w:rsidR="004A5B6E" w:rsidRPr="00134A9B">
        <w:t>Phanerophyte</w:t>
      </w:r>
      <w:r w:rsidR="004A5B6E" w:rsidRPr="00134A9B">
        <w:t xml:space="preserve">, </w:t>
      </w:r>
      <w:r w:rsidR="004A5B6E" w:rsidRPr="00134A9B">
        <w:t>Chamaephyte</w:t>
      </w:r>
      <w:r w:rsidR="004A5B6E" w:rsidRPr="00134A9B">
        <w:t xml:space="preserve">, and </w:t>
      </w:r>
      <w:r w:rsidR="004A5B6E" w:rsidRPr="00134A9B">
        <w:t>Liana</w:t>
      </w:r>
    </w:p>
    <w:p w14:paraId="02E327E5" w14:textId="3053E537" w:rsidR="004A5B6E" w:rsidRPr="00134A9B" w:rsidRDefault="004A5B6E" w:rsidP="004A5B6E">
      <w:r w:rsidRPr="00134A9B">
        <w:t xml:space="preserve">Response Variables (Y): </w:t>
      </w:r>
      <w:r w:rsidR="003079C6" w:rsidRPr="00134A9B">
        <w:t>Red List Status (</w:t>
      </w:r>
      <w:proofErr w:type="spellStart"/>
      <w:r w:rsidR="003079C6" w:rsidRPr="00134A9B">
        <w:t>red_FR</w:t>
      </w:r>
      <w:proofErr w:type="spellEnd"/>
      <w:r w:rsidR="003079C6" w:rsidRPr="00134A9B">
        <w:t xml:space="preserve"> and </w:t>
      </w:r>
      <w:proofErr w:type="spellStart"/>
      <w:r w:rsidR="003079C6" w:rsidRPr="00134A9B">
        <w:t>red_UK</w:t>
      </w:r>
      <w:proofErr w:type="spellEnd"/>
      <w:r w:rsidR="003079C6" w:rsidRPr="00134A9B">
        <w:t>)</w:t>
      </w:r>
    </w:p>
    <w:p w14:paraId="50D90A54" w14:textId="52543814" w:rsidR="003079C6" w:rsidRPr="00134A9B" w:rsidRDefault="003079C6" w:rsidP="003079C6">
      <w:pPr>
        <w:pStyle w:val="ListParagraph"/>
        <w:numPr>
          <w:ilvl w:val="0"/>
          <w:numId w:val="2"/>
        </w:numPr>
      </w:pPr>
      <w:r w:rsidRPr="00134A9B">
        <w:t xml:space="preserve">Data structure: Categorical </w:t>
      </w:r>
    </w:p>
    <w:p w14:paraId="6726E073" w14:textId="72F06928" w:rsidR="003079C6" w:rsidRPr="00134A9B" w:rsidRDefault="003079C6" w:rsidP="00ED1648">
      <w:pPr>
        <w:pStyle w:val="ListParagraph"/>
        <w:numPr>
          <w:ilvl w:val="1"/>
          <w:numId w:val="2"/>
        </w:numPr>
      </w:pPr>
      <w:r w:rsidRPr="00134A9B">
        <w:t xml:space="preserve">Levels: </w:t>
      </w:r>
      <w:r w:rsidR="00ED1648" w:rsidRPr="00134A9B">
        <w:t>LC (Least Concern)</w:t>
      </w:r>
      <w:r w:rsidR="00ED1648" w:rsidRPr="00134A9B">
        <w:t xml:space="preserve">, </w:t>
      </w:r>
      <w:r w:rsidR="00ED1648" w:rsidRPr="00134A9B">
        <w:t>NT (Near Threatened</w:t>
      </w:r>
      <w:r w:rsidR="00ED1648" w:rsidRPr="00134A9B">
        <w:t>),</w:t>
      </w:r>
      <w:r w:rsidR="00ED1648" w:rsidRPr="00134A9B">
        <w:t xml:space="preserve"> VU (Vulnerable)</w:t>
      </w:r>
      <w:r w:rsidR="00ED1648" w:rsidRPr="00134A9B">
        <w:t>,</w:t>
      </w:r>
      <w:r w:rsidR="00ED1648" w:rsidRPr="00134A9B">
        <w:t xml:space="preserve"> EN (Endangered</w:t>
      </w:r>
      <w:proofErr w:type="gramStart"/>
      <w:r w:rsidR="00ED1648" w:rsidRPr="00134A9B">
        <w:t>)</w:t>
      </w:r>
      <w:r w:rsidR="00ED1648" w:rsidRPr="00134A9B">
        <w:t xml:space="preserve">, </w:t>
      </w:r>
      <w:r w:rsidR="00ED1648" w:rsidRPr="00134A9B">
        <w:t xml:space="preserve"> CR</w:t>
      </w:r>
      <w:proofErr w:type="gramEnd"/>
      <w:r w:rsidR="00ED1648" w:rsidRPr="00134A9B">
        <w:t xml:space="preserve"> (Critically Endangered)</w:t>
      </w:r>
      <w:r w:rsidR="00ED1648" w:rsidRPr="00134A9B">
        <w:t xml:space="preserve">, </w:t>
      </w:r>
      <w:r w:rsidR="00ED1648" w:rsidRPr="00134A9B">
        <w:t>EX (Extinct)</w:t>
      </w:r>
      <w:r w:rsidR="00ED1648" w:rsidRPr="00134A9B">
        <w:t xml:space="preserve">, and </w:t>
      </w:r>
      <w:r w:rsidR="00ED1648" w:rsidRPr="00134A9B">
        <w:t>NA (Not Assessed)</w:t>
      </w:r>
    </w:p>
    <w:p w14:paraId="42FE13AE" w14:textId="77777777" w:rsidR="00046D28" w:rsidRPr="00134A9B" w:rsidRDefault="00046D28"/>
    <w:p w14:paraId="66C34B70" w14:textId="209FC6BA" w:rsidR="00595FBF" w:rsidRPr="00134A9B" w:rsidRDefault="005C7C1C">
      <w:r w:rsidRPr="00134A9B">
        <w:t xml:space="preserve">I hypothesize that there will be a negative relationship between </w:t>
      </w:r>
      <w:r w:rsidR="00ED1648" w:rsidRPr="00134A9B">
        <w:t>the life</w:t>
      </w:r>
      <w:r w:rsidRPr="00134A9B">
        <w:t xml:space="preserve"> form of weed taxa and their conservation status. For example, I predict that therophytes will be more likely </w:t>
      </w:r>
      <w:r w:rsidR="00D90C1E" w:rsidRPr="00134A9B">
        <w:t xml:space="preserve">to fall under Least concern category compared to phanerophytes, which will have a greater </w:t>
      </w:r>
      <w:r w:rsidR="00ED1648" w:rsidRPr="00134A9B">
        <w:t>likelihood</w:t>
      </w:r>
      <w:r w:rsidR="00D90C1E" w:rsidRPr="00134A9B">
        <w:t xml:space="preserve"> </w:t>
      </w:r>
      <w:r w:rsidR="00ED1648" w:rsidRPr="00134A9B">
        <w:t>of</w:t>
      </w:r>
      <w:r w:rsidR="00D90C1E" w:rsidRPr="00134A9B">
        <w:t xml:space="preserve"> being classified as Endangered.</w:t>
      </w:r>
      <w:r w:rsidR="000D05D5" w:rsidRPr="00134A9B">
        <w:t xml:space="preserve"> </w:t>
      </w:r>
      <w:r w:rsidR="006F4C04" w:rsidRPr="00134A9B">
        <w:t xml:space="preserve">Annual plants such as therophytes </w:t>
      </w:r>
      <w:r w:rsidR="000D05D5" w:rsidRPr="00134A9B">
        <w:t>make</w:t>
      </w:r>
      <w:r w:rsidR="006F4C04" w:rsidRPr="00134A9B">
        <w:t xml:space="preserve"> them more </w:t>
      </w:r>
      <w:r w:rsidR="006E0B6B" w:rsidRPr="00134A9B">
        <w:t>resilient</w:t>
      </w:r>
      <w:r w:rsidR="006F4C04" w:rsidRPr="00134A9B">
        <w:t xml:space="preserve"> and therefore more adaptable to changing </w:t>
      </w:r>
      <w:r w:rsidR="003D3A08" w:rsidRPr="00134A9B">
        <w:t>conditions</w:t>
      </w:r>
      <w:r w:rsidR="00EE33D8" w:rsidRPr="00134A9B">
        <w:t xml:space="preserve">, resulting in a more stable population. On the </w:t>
      </w:r>
      <w:r w:rsidR="006E0B6B" w:rsidRPr="00134A9B">
        <w:t>other</w:t>
      </w:r>
      <w:r w:rsidR="00EE33D8" w:rsidRPr="00134A9B">
        <w:t xml:space="preserve"> </w:t>
      </w:r>
      <w:r w:rsidR="000D05D5" w:rsidRPr="00134A9B">
        <w:t>hand,</w:t>
      </w:r>
      <w:r w:rsidR="00EE33D8" w:rsidRPr="00134A9B">
        <w:t xml:space="preserve"> </w:t>
      </w:r>
      <w:r w:rsidR="00EE33D8" w:rsidRPr="00134A9B">
        <w:t>phanerophytes</w:t>
      </w:r>
      <w:r w:rsidR="00EE33D8" w:rsidRPr="00134A9B">
        <w:t xml:space="preserve"> which are </w:t>
      </w:r>
      <w:r w:rsidR="00EE33D8" w:rsidRPr="00134A9B">
        <w:t>perennials</w:t>
      </w:r>
      <w:r w:rsidR="006E0B6B" w:rsidRPr="00134A9B">
        <w:t xml:space="preserve"> are more vulnerable to changing conditions and are more likely to have a higher red list classification.</w:t>
      </w:r>
    </w:p>
    <w:p w14:paraId="4DFE16D2" w14:textId="1D962974" w:rsidR="00ED1648" w:rsidRPr="00134A9B" w:rsidRDefault="009B770F">
      <w:r w:rsidRPr="00134A9B">
        <w:t xml:space="preserve">Fried, G., et al. (2008). "Biovigilance: National survey of cultivated fields in France." </w:t>
      </w:r>
      <w:r w:rsidRPr="00134A9B">
        <w:rPr>
          <w:i/>
          <w:iCs/>
        </w:rPr>
        <w:t>Journal of Plant Ecology</w:t>
      </w:r>
      <w:r w:rsidRPr="00134A9B">
        <w:t xml:space="preserve">, 1(2), 131-140. </w:t>
      </w:r>
      <w:hyperlink r:id="rId5" w:history="1">
        <w:r w:rsidRPr="00134A9B">
          <w:rPr>
            <w:rStyle w:val="Hyperlink"/>
          </w:rPr>
          <w:t>https://doi.o</w:t>
        </w:r>
        <w:r w:rsidRPr="00134A9B">
          <w:rPr>
            <w:rStyle w:val="Hyperlink"/>
          </w:rPr>
          <w:t>rg/10.1093/jpe/rtm006</w:t>
        </w:r>
      </w:hyperlink>
      <w:r w:rsidRPr="00134A9B">
        <w:t xml:space="preserve"> </w:t>
      </w:r>
    </w:p>
    <w:p w14:paraId="3F15050E" w14:textId="77777777" w:rsidR="003D3A08" w:rsidRDefault="003D3A08" w:rsidP="008A1EF8"/>
    <w:p w14:paraId="5D27DFC3" w14:textId="6D43049E" w:rsidR="008A1EF8" w:rsidRPr="00134A9B" w:rsidRDefault="008A1EF8" w:rsidP="008A1EF8">
      <w:r w:rsidRPr="00134A9B">
        <w:t xml:space="preserve">Hypothesis </w:t>
      </w:r>
      <w:r w:rsidRPr="00134A9B">
        <w:t>2</w:t>
      </w:r>
      <w:r w:rsidRPr="00134A9B">
        <w:t xml:space="preserve">: </w:t>
      </w:r>
    </w:p>
    <w:p w14:paraId="6540E8C3" w14:textId="77777777" w:rsidR="003D04F2" w:rsidRPr="003D04F2" w:rsidRDefault="003D04F2" w:rsidP="003D04F2">
      <w:r w:rsidRPr="003D04F2">
        <w:t>Predictor Variable (X): Biogeographic Zone</w:t>
      </w:r>
    </w:p>
    <w:p w14:paraId="69E76201" w14:textId="77777777" w:rsidR="003D04F2" w:rsidRPr="00134A9B" w:rsidRDefault="003D04F2" w:rsidP="003D04F2">
      <w:pPr>
        <w:pStyle w:val="ListParagraph"/>
        <w:numPr>
          <w:ilvl w:val="0"/>
          <w:numId w:val="2"/>
        </w:numPr>
      </w:pPr>
      <w:r w:rsidRPr="00134A9B">
        <w:t>Data Structure: Categorical</w:t>
      </w:r>
    </w:p>
    <w:p w14:paraId="16AAE313" w14:textId="59D7AB38" w:rsidR="003D04F2" w:rsidRPr="00134A9B" w:rsidRDefault="003D04F2" w:rsidP="003D04F2">
      <w:pPr>
        <w:pStyle w:val="ListParagraph"/>
        <w:numPr>
          <w:ilvl w:val="1"/>
          <w:numId w:val="2"/>
        </w:numPr>
      </w:pPr>
      <w:r w:rsidRPr="00134A9B">
        <w:t>Levels:</w:t>
      </w:r>
      <w:r w:rsidRPr="00134A9B">
        <w:t xml:space="preserve"> </w:t>
      </w:r>
      <w:r w:rsidRPr="00134A9B">
        <w:t>Atlantic</w:t>
      </w:r>
      <w:r w:rsidRPr="00134A9B">
        <w:t xml:space="preserve">, </w:t>
      </w:r>
      <w:r w:rsidRPr="00134A9B">
        <w:t>Circumboreal</w:t>
      </w:r>
      <w:r w:rsidRPr="00134A9B">
        <w:t xml:space="preserve">, </w:t>
      </w:r>
      <w:r w:rsidRPr="00134A9B">
        <w:t>Cosmopolitan</w:t>
      </w:r>
      <w:r w:rsidRPr="00134A9B">
        <w:t xml:space="preserve">, </w:t>
      </w:r>
      <w:r w:rsidRPr="00134A9B">
        <w:t>Eurasian</w:t>
      </w:r>
      <w:r w:rsidRPr="00134A9B">
        <w:t xml:space="preserve">, </w:t>
      </w:r>
      <w:r w:rsidRPr="00134A9B">
        <w:t>European</w:t>
      </w:r>
      <w:r w:rsidRPr="00134A9B">
        <w:t xml:space="preserve">, </w:t>
      </w:r>
      <w:r w:rsidRPr="00134A9B">
        <w:t>Holarctic</w:t>
      </w:r>
      <w:r w:rsidRPr="00134A9B">
        <w:t xml:space="preserve">, </w:t>
      </w:r>
      <w:r w:rsidRPr="00134A9B">
        <w:t>Introduced</w:t>
      </w:r>
      <w:r w:rsidRPr="00134A9B">
        <w:t xml:space="preserve">, </w:t>
      </w:r>
      <w:r w:rsidRPr="00134A9B">
        <w:t>Mediterranean</w:t>
      </w:r>
      <w:r w:rsidRPr="00134A9B">
        <w:t xml:space="preserve">, </w:t>
      </w:r>
      <w:proofErr w:type="spellStart"/>
      <w:r w:rsidRPr="00134A9B">
        <w:t>Orophyte</w:t>
      </w:r>
      <w:proofErr w:type="spellEnd"/>
      <w:r w:rsidRPr="00134A9B">
        <w:t xml:space="preserve">, </w:t>
      </w:r>
      <w:r w:rsidRPr="00134A9B">
        <w:t>Subtropical</w:t>
      </w:r>
      <w:r w:rsidRPr="00134A9B">
        <w:t xml:space="preserve"> </w:t>
      </w:r>
      <w:r w:rsidRPr="00134A9B">
        <w:t>Local Endemics</w:t>
      </w:r>
      <w:r w:rsidRPr="00134A9B">
        <w:t xml:space="preserve">, and </w:t>
      </w:r>
      <w:r w:rsidRPr="00134A9B">
        <w:t>Arctic-Alpine</w:t>
      </w:r>
    </w:p>
    <w:p w14:paraId="00BAFB91" w14:textId="77777777" w:rsidR="003D04F2" w:rsidRPr="00134A9B" w:rsidRDefault="003D04F2" w:rsidP="003D04F2">
      <w:r w:rsidRPr="003D04F2">
        <w:t>Response Variable (Y): Habitat Index (module)</w:t>
      </w:r>
    </w:p>
    <w:p w14:paraId="10BCB861" w14:textId="5A2428B1" w:rsidR="003D04F2" w:rsidRPr="00134A9B" w:rsidRDefault="003D04F2" w:rsidP="003D04F2">
      <w:pPr>
        <w:pStyle w:val="ListParagraph"/>
        <w:numPr>
          <w:ilvl w:val="0"/>
          <w:numId w:val="2"/>
        </w:numPr>
      </w:pPr>
      <w:r w:rsidRPr="00134A9B">
        <w:t>Data Structure: Continuous</w:t>
      </w:r>
    </w:p>
    <w:p w14:paraId="76DD3427" w14:textId="4A626468" w:rsidR="0085515E" w:rsidRPr="00134A9B" w:rsidRDefault="0034083B" w:rsidP="0034083B">
      <w:r w:rsidRPr="00134A9B">
        <w:t xml:space="preserve">I hypothesize that there will be a positive relationship between </w:t>
      </w:r>
      <w:r w:rsidR="002365BE" w:rsidRPr="00134A9B">
        <w:t>the biogeographic</w:t>
      </w:r>
      <w:r w:rsidRPr="00134A9B">
        <w:t xml:space="preserve"> zone </w:t>
      </w:r>
      <w:r w:rsidR="00395749" w:rsidRPr="00134A9B">
        <w:t xml:space="preserve">of a weed taxon and its habitat index. Specifically, </w:t>
      </w:r>
      <w:r w:rsidR="002365BE" w:rsidRPr="00134A9B">
        <w:t>Mediterranean</w:t>
      </w:r>
      <w:r w:rsidR="00395749" w:rsidRPr="00134A9B">
        <w:t xml:space="preserve"> will have a higher habitat index score </w:t>
      </w:r>
      <w:r w:rsidR="002365BE" w:rsidRPr="00134A9B">
        <w:t xml:space="preserve">indicating their preference for more diverse habitats. </w:t>
      </w:r>
      <w:r w:rsidR="0085515E" w:rsidRPr="00134A9B">
        <w:t xml:space="preserve">Mediterranean flora </w:t>
      </w:r>
      <w:r w:rsidR="000D05D5" w:rsidRPr="00134A9B">
        <w:t>exhibits</w:t>
      </w:r>
      <w:r w:rsidR="001130F9" w:rsidRPr="00134A9B">
        <w:t xml:space="preserve"> phenotypic </w:t>
      </w:r>
      <w:r w:rsidR="00F92961" w:rsidRPr="00134A9B">
        <w:t>plasticity</w:t>
      </w:r>
      <w:r w:rsidR="001130F9" w:rsidRPr="00134A9B">
        <w:t xml:space="preserve"> and drought </w:t>
      </w:r>
      <w:r w:rsidR="00F92961" w:rsidRPr="00134A9B">
        <w:t xml:space="preserve">tolerance through their high </w:t>
      </w:r>
      <w:r w:rsidR="001130F9" w:rsidRPr="00134A9B">
        <w:t xml:space="preserve">diversity and adaptability to varying environments </w:t>
      </w:r>
      <w:r w:rsidR="00F92961" w:rsidRPr="00134A9B">
        <w:t>which would result in a greater habitat index</w:t>
      </w:r>
      <w:r w:rsidR="000D05D5" w:rsidRPr="00134A9B">
        <w:t>.</w:t>
      </w:r>
    </w:p>
    <w:p w14:paraId="5FCA8E23" w14:textId="692AB45A" w:rsidR="008D6EB4" w:rsidRPr="00134A9B" w:rsidRDefault="008D6EB4" w:rsidP="008D6EB4">
      <w:r w:rsidRPr="008D6EB4">
        <w:t xml:space="preserve">Aurelle, Didier, et al. “Biodiversity, Climate Change, and Adaptation in the Mediterranean.” </w:t>
      </w:r>
      <w:r w:rsidRPr="008D6EB4">
        <w:rPr>
          <w:i/>
          <w:iCs/>
        </w:rPr>
        <w:t>Ecosphere</w:t>
      </w:r>
      <w:r w:rsidRPr="008D6EB4">
        <w:t>, vol. 13, no. 4, Apr. 2022, esajournals.onlinelibrary.wiley.com/</w:t>
      </w:r>
      <w:proofErr w:type="spellStart"/>
      <w:r w:rsidRPr="008D6EB4">
        <w:t>doi</w:t>
      </w:r>
      <w:proofErr w:type="spellEnd"/>
      <w:r w:rsidRPr="008D6EB4">
        <w:t xml:space="preserve">/10.1002/ecs2.3915, </w:t>
      </w:r>
      <w:hyperlink r:id="rId6" w:history="1">
        <w:r w:rsidR="0085515E" w:rsidRPr="008D6EB4">
          <w:rPr>
            <w:rStyle w:val="Hyperlink"/>
          </w:rPr>
          <w:t>https://doi.org/10.1002/ecs2.3915</w:t>
        </w:r>
      </w:hyperlink>
      <w:r w:rsidR="0085515E" w:rsidRPr="00134A9B">
        <w:t xml:space="preserve"> </w:t>
      </w:r>
    </w:p>
    <w:p w14:paraId="4784EC81" w14:textId="77777777" w:rsidR="00600D5F" w:rsidRPr="00134A9B" w:rsidRDefault="00600D5F" w:rsidP="008D6EB4"/>
    <w:p w14:paraId="18A21FF2" w14:textId="1EB1513B" w:rsidR="00600D5F" w:rsidRPr="008D6EB4" w:rsidRDefault="00600D5F" w:rsidP="008D6EB4">
      <w:r w:rsidRPr="00134A9B">
        <w:t xml:space="preserve">Hypothesis 3: </w:t>
      </w:r>
    </w:p>
    <w:p w14:paraId="72DFE7AE" w14:textId="77777777" w:rsidR="00DD4167" w:rsidRPr="00134A9B" w:rsidRDefault="00DD4167" w:rsidP="00DD4167">
      <w:r w:rsidRPr="00DD4167">
        <w:t>Predictor Variable (X): Biovigilance Presence (biovigilance)</w:t>
      </w:r>
    </w:p>
    <w:p w14:paraId="40A3C512" w14:textId="56203DEA" w:rsidR="00DD4167" w:rsidRPr="00134A9B" w:rsidRDefault="00DD4167" w:rsidP="00DD4167">
      <w:pPr>
        <w:pStyle w:val="ListParagraph"/>
        <w:numPr>
          <w:ilvl w:val="0"/>
          <w:numId w:val="2"/>
        </w:numPr>
      </w:pPr>
      <w:r w:rsidRPr="00134A9B">
        <w:t>Data Structure: Categorical</w:t>
      </w:r>
      <w:r w:rsidR="00134A9B">
        <w:t>: Binary</w:t>
      </w:r>
    </w:p>
    <w:p w14:paraId="44C9AD86" w14:textId="747BB8B1" w:rsidR="00DD4167" w:rsidRPr="00134A9B" w:rsidRDefault="00DD4167" w:rsidP="00DD4167">
      <w:pPr>
        <w:pStyle w:val="ListParagraph"/>
        <w:numPr>
          <w:ilvl w:val="1"/>
          <w:numId w:val="2"/>
        </w:numPr>
      </w:pPr>
      <w:r w:rsidRPr="00134A9B">
        <w:t>Levels:</w:t>
      </w:r>
      <w:r w:rsidRPr="00134A9B">
        <w:t xml:space="preserve"> </w:t>
      </w:r>
      <w:r w:rsidRPr="00134A9B">
        <w:t>0 (Absent)</w:t>
      </w:r>
      <w:r w:rsidRPr="00134A9B">
        <w:t xml:space="preserve"> and </w:t>
      </w:r>
      <w:r w:rsidRPr="00134A9B">
        <w:t>1 (Present)</w:t>
      </w:r>
    </w:p>
    <w:p w14:paraId="3D9DB077" w14:textId="77777777" w:rsidR="00DD4167" w:rsidRPr="00134A9B" w:rsidRDefault="00DD4167" w:rsidP="00DD4167">
      <w:r w:rsidRPr="00DD4167">
        <w:t>Response Variable (Y): Life Form</w:t>
      </w:r>
    </w:p>
    <w:p w14:paraId="19096EEB" w14:textId="77777777" w:rsidR="00DD4167" w:rsidRPr="00134A9B" w:rsidRDefault="00DD4167" w:rsidP="00DD4167">
      <w:pPr>
        <w:pStyle w:val="ListParagraph"/>
        <w:numPr>
          <w:ilvl w:val="0"/>
          <w:numId w:val="2"/>
        </w:numPr>
      </w:pPr>
      <w:r w:rsidRPr="00134A9B">
        <w:t>Data Structure: Categorical</w:t>
      </w:r>
    </w:p>
    <w:p w14:paraId="500792EA" w14:textId="246FB40B" w:rsidR="002365BE" w:rsidRPr="00134A9B" w:rsidRDefault="00DD4167" w:rsidP="0034083B">
      <w:pPr>
        <w:pStyle w:val="ListParagraph"/>
        <w:numPr>
          <w:ilvl w:val="1"/>
          <w:numId w:val="2"/>
        </w:numPr>
      </w:pPr>
      <w:r w:rsidRPr="00134A9B">
        <w:t>Levels:</w:t>
      </w:r>
      <w:r w:rsidR="003D3A08">
        <w:t xml:space="preserve"> </w:t>
      </w:r>
      <w:r w:rsidRPr="00134A9B">
        <w:t>Therophyte, Hemicryptophyte, Geophyte, Phanerophyte, Chamaephyte, and Liana</w:t>
      </w:r>
    </w:p>
    <w:p w14:paraId="0C9C506F" w14:textId="7C2A71D9" w:rsidR="003D04F2" w:rsidRPr="00134A9B" w:rsidRDefault="009A6294" w:rsidP="008A1EF8">
      <w:r w:rsidRPr="00134A9B">
        <w:t>I expect to find that taxa reported as present in the Biovigilance survey (1) are more likely to be therophytes or hemicryptophytes compared to taxa that are absent (0). This suggests that annual and biennial plants dominate in cultivated fields.</w:t>
      </w:r>
      <w:r w:rsidR="00134A9B" w:rsidRPr="00134A9B">
        <w:t xml:space="preserve"> </w:t>
      </w:r>
      <w:r w:rsidR="00134A9B" w:rsidRPr="00134A9B">
        <w:t>Therophytes and hemicryptophytes are prevalent in disturbed environments like agricultural fields due to their ability to rapidly establish and reproduce in response to disturbances</w:t>
      </w:r>
      <w:r w:rsidR="00134A9B" w:rsidRPr="00134A9B">
        <w:t xml:space="preserve">. </w:t>
      </w:r>
    </w:p>
    <w:p w14:paraId="524C86EE" w14:textId="1B0BD89D" w:rsidR="00E822CA" w:rsidRPr="00E822CA" w:rsidRDefault="00E822CA" w:rsidP="00E822CA">
      <w:r w:rsidRPr="00E822CA">
        <w:t xml:space="preserve">Di Biase, Letizia, et al. “Variations in Plant Richness, Biogeographical Composition, and Life Forms along an Elevational Gradient in a Mediterranean Mountain.” </w:t>
      </w:r>
      <w:r w:rsidRPr="00E822CA">
        <w:rPr>
          <w:i/>
          <w:iCs/>
        </w:rPr>
        <w:t>Plants</w:t>
      </w:r>
      <w:r w:rsidRPr="00E822CA">
        <w:t xml:space="preserve">, vol. 10, no. 10, 1 Oct. 2021, p. 2090, </w:t>
      </w:r>
      <w:hyperlink r:id="rId7" w:history="1">
        <w:r w:rsidRPr="00E822CA">
          <w:rPr>
            <w:rStyle w:val="Hyperlink"/>
          </w:rPr>
          <w:t>https://doi.org/10.3390/plants10102090</w:t>
        </w:r>
      </w:hyperlink>
      <w:r w:rsidRPr="00E822CA">
        <w:t>. Accessed 3 Mar. 2022.</w:t>
      </w:r>
    </w:p>
    <w:p w14:paraId="78FB563A" w14:textId="0A44B03B" w:rsidR="008A1EF8" w:rsidRDefault="008A1EF8" w:rsidP="008C16B3"/>
    <w:sectPr w:rsidR="008A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A4B13"/>
    <w:multiLevelType w:val="multilevel"/>
    <w:tmpl w:val="C14C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70688"/>
    <w:multiLevelType w:val="multilevel"/>
    <w:tmpl w:val="71483CD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5688F"/>
    <w:multiLevelType w:val="multilevel"/>
    <w:tmpl w:val="E0AE1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264EE"/>
    <w:multiLevelType w:val="hybridMultilevel"/>
    <w:tmpl w:val="0F160486"/>
    <w:lvl w:ilvl="0" w:tplc="A5C62B7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E04CE"/>
    <w:multiLevelType w:val="multilevel"/>
    <w:tmpl w:val="1D5C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8556F"/>
    <w:multiLevelType w:val="multilevel"/>
    <w:tmpl w:val="B77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709452">
    <w:abstractNumId w:val="1"/>
  </w:num>
  <w:num w:numId="2" w16cid:durableId="426275189">
    <w:abstractNumId w:val="3"/>
  </w:num>
  <w:num w:numId="3" w16cid:durableId="773749510">
    <w:abstractNumId w:val="4"/>
  </w:num>
  <w:num w:numId="4" w16cid:durableId="1225263395">
    <w:abstractNumId w:val="5"/>
  </w:num>
  <w:num w:numId="5" w16cid:durableId="377583508">
    <w:abstractNumId w:val="0"/>
  </w:num>
  <w:num w:numId="6" w16cid:durableId="59926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D3"/>
    <w:rsid w:val="00046D28"/>
    <w:rsid w:val="00066572"/>
    <w:rsid w:val="000D05D5"/>
    <w:rsid w:val="001130F9"/>
    <w:rsid w:val="00134A9B"/>
    <w:rsid w:val="002365BE"/>
    <w:rsid w:val="003079C6"/>
    <w:rsid w:val="0034083B"/>
    <w:rsid w:val="00395749"/>
    <w:rsid w:val="003D04F2"/>
    <w:rsid w:val="003D3A08"/>
    <w:rsid w:val="00433CD3"/>
    <w:rsid w:val="004A5B6E"/>
    <w:rsid w:val="004C2A52"/>
    <w:rsid w:val="00595FBF"/>
    <w:rsid w:val="005C7C1C"/>
    <w:rsid w:val="00600D5F"/>
    <w:rsid w:val="006A726D"/>
    <w:rsid w:val="006E0B6B"/>
    <w:rsid w:val="006F4C04"/>
    <w:rsid w:val="00753F9F"/>
    <w:rsid w:val="0085515E"/>
    <w:rsid w:val="008A1EF8"/>
    <w:rsid w:val="008C16B3"/>
    <w:rsid w:val="008D6EB4"/>
    <w:rsid w:val="009A6294"/>
    <w:rsid w:val="009B770F"/>
    <w:rsid w:val="00B71FE0"/>
    <w:rsid w:val="00C668A0"/>
    <w:rsid w:val="00D253A4"/>
    <w:rsid w:val="00D672AC"/>
    <w:rsid w:val="00D90C1E"/>
    <w:rsid w:val="00DD4167"/>
    <w:rsid w:val="00E822CA"/>
    <w:rsid w:val="00ED1648"/>
    <w:rsid w:val="00EE33D8"/>
    <w:rsid w:val="00EF058D"/>
    <w:rsid w:val="00F92961"/>
    <w:rsid w:val="00FF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7688"/>
  <w15:chartTrackingRefBased/>
  <w15:docId w15:val="{22C4B101-CE46-47C7-8680-3ED1D07A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3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3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CD3"/>
    <w:rPr>
      <w:rFonts w:eastAsiaTheme="majorEastAsia" w:cstheme="majorBidi"/>
      <w:color w:val="272727" w:themeColor="text1" w:themeTint="D8"/>
    </w:rPr>
  </w:style>
  <w:style w:type="paragraph" w:styleId="Title">
    <w:name w:val="Title"/>
    <w:basedOn w:val="Normal"/>
    <w:next w:val="Normal"/>
    <w:link w:val="TitleChar"/>
    <w:uiPriority w:val="10"/>
    <w:qFormat/>
    <w:rsid w:val="00433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CD3"/>
    <w:pPr>
      <w:spacing w:before="160"/>
      <w:jc w:val="center"/>
    </w:pPr>
    <w:rPr>
      <w:i/>
      <w:iCs/>
      <w:color w:val="404040" w:themeColor="text1" w:themeTint="BF"/>
    </w:rPr>
  </w:style>
  <w:style w:type="character" w:customStyle="1" w:styleId="QuoteChar">
    <w:name w:val="Quote Char"/>
    <w:basedOn w:val="DefaultParagraphFont"/>
    <w:link w:val="Quote"/>
    <w:uiPriority w:val="29"/>
    <w:rsid w:val="00433CD3"/>
    <w:rPr>
      <w:i/>
      <w:iCs/>
      <w:color w:val="404040" w:themeColor="text1" w:themeTint="BF"/>
    </w:rPr>
  </w:style>
  <w:style w:type="paragraph" w:styleId="ListParagraph">
    <w:name w:val="List Paragraph"/>
    <w:basedOn w:val="Normal"/>
    <w:uiPriority w:val="34"/>
    <w:qFormat/>
    <w:rsid w:val="00433CD3"/>
    <w:pPr>
      <w:ind w:left="720"/>
      <w:contextualSpacing/>
    </w:pPr>
  </w:style>
  <w:style w:type="character" w:styleId="IntenseEmphasis">
    <w:name w:val="Intense Emphasis"/>
    <w:basedOn w:val="DefaultParagraphFont"/>
    <w:uiPriority w:val="21"/>
    <w:qFormat/>
    <w:rsid w:val="00433CD3"/>
    <w:rPr>
      <w:i/>
      <w:iCs/>
      <w:color w:val="0F4761" w:themeColor="accent1" w:themeShade="BF"/>
    </w:rPr>
  </w:style>
  <w:style w:type="paragraph" w:styleId="IntenseQuote">
    <w:name w:val="Intense Quote"/>
    <w:basedOn w:val="Normal"/>
    <w:next w:val="Normal"/>
    <w:link w:val="IntenseQuoteChar"/>
    <w:uiPriority w:val="30"/>
    <w:qFormat/>
    <w:rsid w:val="00433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CD3"/>
    <w:rPr>
      <w:i/>
      <w:iCs/>
      <w:color w:val="0F4761" w:themeColor="accent1" w:themeShade="BF"/>
    </w:rPr>
  </w:style>
  <w:style w:type="character" w:styleId="IntenseReference">
    <w:name w:val="Intense Reference"/>
    <w:basedOn w:val="DefaultParagraphFont"/>
    <w:uiPriority w:val="32"/>
    <w:qFormat/>
    <w:rsid w:val="00433CD3"/>
    <w:rPr>
      <w:b/>
      <w:bCs/>
      <w:smallCaps/>
      <w:color w:val="0F4761" w:themeColor="accent1" w:themeShade="BF"/>
      <w:spacing w:val="5"/>
    </w:rPr>
  </w:style>
  <w:style w:type="character" w:styleId="Hyperlink">
    <w:name w:val="Hyperlink"/>
    <w:basedOn w:val="DefaultParagraphFont"/>
    <w:uiPriority w:val="99"/>
    <w:unhideWhenUsed/>
    <w:rsid w:val="00433CD3"/>
    <w:rPr>
      <w:color w:val="467886" w:themeColor="hyperlink"/>
      <w:u w:val="single"/>
    </w:rPr>
  </w:style>
  <w:style w:type="character" w:styleId="FollowedHyperlink">
    <w:name w:val="FollowedHyperlink"/>
    <w:basedOn w:val="DefaultParagraphFont"/>
    <w:uiPriority w:val="99"/>
    <w:semiHidden/>
    <w:unhideWhenUsed/>
    <w:rsid w:val="00433CD3"/>
    <w:rPr>
      <w:color w:val="96607D" w:themeColor="followedHyperlink"/>
      <w:u w:val="single"/>
    </w:rPr>
  </w:style>
  <w:style w:type="character" w:styleId="UnresolvedMention">
    <w:name w:val="Unresolved Mention"/>
    <w:basedOn w:val="DefaultParagraphFont"/>
    <w:uiPriority w:val="99"/>
    <w:semiHidden/>
    <w:unhideWhenUsed/>
    <w:rsid w:val="009B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3291">
      <w:bodyDiv w:val="1"/>
      <w:marLeft w:val="0"/>
      <w:marRight w:val="0"/>
      <w:marTop w:val="0"/>
      <w:marBottom w:val="0"/>
      <w:divBdr>
        <w:top w:val="none" w:sz="0" w:space="0" w:color="auto"/>
        <w:left w:val="none" w:sz="0" w:space="0" w:color="auto"/>
        <w:bottom w:val="none" w:sz="0" w:space="0" w:color="auto"/>
        <w:right w:val="none" w:sz="0" w:space="0" w:color="auto"/>
      </w:divBdr>
    </w:div>
    <w:div w:id="185022459">
      <w:bodyDiv w:val="1"/>
      <w:marLeft w:val="0"/>
      <w:marRight w:val="0"/>
      <w:marTop w:val="0"/>
      <w:marBottom w:val="0"/>
      <w:divBdr>
        <w:top w:val="none" w:sz="0" w:space="0" w:color="auto"/>
        <w:left w:val="none" w:sz="0" w:space="0" w:color="auto"/>
        <w:bottom w:val="none" w:sz="0" w:space="0" w:color="auto"/>
        <w:right w:val="none" w:sz="0" w:space="0" w:color="auto"/>
      </w:divBdr>
      <w:divsChild>
        <w:div w:id="1328245090">
          <w:marLeft w:val="-720"/>
          <w:marRight w:val="0"/>
          <w:marTop w:val="0"/>
          <w:marBottom w:val="0"/>
          <w:divBdr>
            <w:top w:val="none" w:sz="0" w:space="0" w:color="auto"/>
            <w:left w:val="none" w:sz="0" w:space="0" w:color="auto"/>
            <w:bottom w:val="none" w:sz="0" w:space="0" w:color="auto"/>
            <w:right w:val="none" w:sz="0" w:space="0" w:color="auto"/>
          </w:divBdr>
        </w:div>
      </w:divsChild>
    </w:div>
    <w:div w:id="637222799">
      <w:bodyDiv w:val="1"/>
      <w:marLeft w:val="0"/>
      <w:marRight w:val="0"/>
      <w:marTop w:val="0"/>
      <w:marBottom w:val="0"/>
      <w:divBdr>
        <w:top w:val="none" w:sz="0" w:space="0" w:color="auto"/>
        <w:left w:val="none" w:sz="0" w:space="0" w:color="auto"/>
        <w:bottom w:val="none" w:sz="0" w:space="0" w:color="auto"/>
        <w:right w:val="none" w:sz="0" w:space="0" w:color="auto"/>
      </w:divBdr>
    </w:div>
    <w:div w:id="789662376">
      <w:bodyDiv w:val="1"/>
      <w:marLeft w:val="0"/>
      <w:marRight w:val="0"/>
      <w:marTop w:val="0"/>
      <w:marBottom w:val="0"/>
      <w:divBdr>
        <w:top w:val="none" w:sz="0" w:space="0" w:color="auto"/>
        <w:left w:val="none" w:sz="0" w:space="0" w:color="auto"/>
        <w:bottom w:val="none" w:sz="0" w:space="0" w:color="auto"/>
        <w:right w:val="none" w:sz="0" w:space="0" w:color="auto"/>
      </w:divBdr>
    </w:div>
    <w:div w:id="811674699">
      <w:bodyDiv w:val="1"/>
      <w:marLeft w:val="0"/>
      <w:marRight w:val="0"/>
      <w:marTop w:val="0"/>
      <w:marBottom w:val="0"/>
      <w:divBdr>
        <w:top w:val="none" w:sz="0" w:space="0" w:color="auto"/>
        <w:left w:val="none" w:sz="0" w:space="0" w:color="auto"/>
        <w:bottom w:val="none" w:sz="0" w:space="0" w:color="auto"/>
        <w:right w:val="none" w:sz="0" w:space="0" w:color="auto"/>
      </w:divBdr>
      <w:divsChild>
        <w:div w:id="1275361660">
          <w:marLeft w:val="-720"/>
          <w:marRight w:val="0"/>
          <w:marTop w:val="0"/>
          <w:marBottom w:val="0"/>
          <w:divBdr>
            <w:top w:val="none" w:sz="0" w:space="0" w:color="auto"/>
            <w:left w:val="none" w:sz="0" w:space="0" w:color="auto"/>
            <w:bottom w:val="none" w:sz="0" w:space="0" w:color="auto"/>
            <w:right w:val="none" w:sz="0" w:space="0" w:color="auto"/>
          </w:divBdr>
        </w:div>
      </w:divsChild>
    </w:div>
    <w:div w:id="845173689">
      <w:bodyDiv w:val="1"/>
      <w:marLeft w:val="0"/>
      <w:marRight w:val="0"/>
      <w:marTop w:val="0"/>
      <w:marBottom w:val="0"/>
      <w:divBdr>
        <w:top w:val="none" w:sz="0" w:space="0" w:color="auto"/>
        <w:left w:val="none" w:sz="0" w:space="0" w:color="auto"/>
        <w:bottom w:val="none" w:sz="0" w:space="0" w:color="auto"/>
        <w:right w:val="none" w:sz="0" w:space="0" w:color="auto"/>
      </w:divBdr>
    </w:div>
    <w:div w:id="1113792010">
      <w:bodyDiv w:val="1"/>
      <w:marLeft w:val="0"/>
      <w:marRight w:val="0"/>
      <w:marTop w:val="0"/>
      <w:marBottom w:val="0"/>
      <w:divBdr>
        <w:top w:val="none" w:sz="0" w:space="0" w:color="auto"/>
        <w:left w:val="none" w:sz="0" w:space="0" w:color="auto"/>
        <w:bottom w:val="none" w:sz="0" w:space="0" w:color="auto"/>
        <w:right w:val="none" w:sz="0" w:space="0" w:color="auto"/>
      </w:divBdr>
    </w:div>
    <w:div w:id="1170753808">
      <w:bodyDiv w:val="1"/>
      <w:marLeft w:val="0"/>
      <w:marRight w:val="0"/>
      <w:marTop w:val="0"/>
      <w:marBottom w:val="0"/>
      <w:divBdr>
        <w:top w:val="none" w:sz="0" w:space="0" w:color="auto"/>
        <w:left w:val="none" w:sz="0" w:space="0" w:color="auto"/>
        <w:bottom w:val="none" w:sz="0" w:space="0" w:color="auto"/>
        <w:right w:val="none" w:sz="0" w:space="0" w:color="auto"/>
      </w:divBdr>
    </w:div>
    <w:div w:id="1363628907">
      <w:bodyDiv w:val="1"/>
      <w:marLeft w:val="0"/>
      <w:marRight w:val="0"/>
      <w:marTop w:val="0"/>
      <w:marBottom w:val="0"/>
      <w:divBdr>
        <w:top w:val="none" w:sz="0" w:space="0" w:color="auto"/>
        <w:left w:val="none" w:sz="0" w:space="0" w:color="auto"/>
        <w:bottom w:val="none" w:sz="0" w:space="0" w:color="auto"/>
        <w:right w:val="none" w:sz="0" w:space="0" w:color="auto"/>
      </w:divBdr>
    </w:div>
    <w:div w:id="1527674178">
      <w:bodyDiv w:val="1"/>
      <w:marLeft w:val="0"/>
      <w:marRight w:val="0"/>
      <w:marTop w:val="0"/>
      <w:marBottom w:val="0"/>
      <w:divBdr>
        <w:top w:val="none" w:sz="0" w:space="0" w:color="auto"/>
        <w:left w:val="none" w:sz="0" w:space="0" w:color="auto"/>
        <w:bottom w:val="none" w:sz="0" w:space="0" w:color="auto"/>
        <w:right w:val="none" w:sz="0" w:space="0" w:color="auto"/>
      </w:divBdr>
      <w:divsChild>
        <w:div w:id="16660633">
          <w:marLeft w:val="-720"/>
          <w:marRight w:val="0"/>
          <w:marTop w:val="0"/>
          <w:marBottom w:val="0"/>
          <w:divBdr>
            <w:top w:val="none" w:sz="0" w:space="0" w:color="auto"/>
            <w:left w:val="none" w:sz="0" w:space="0" w:color="auto"/>
            <w:bottom w:val="none" w:sz="0" w:space="0" w:color="auto"/>
            <w:right w:val="none" w:sz="0" w:space="0" w:color="auto"/>
          </w:divBdr>
        </w:div>
      </w:divsChild>
    </w:div>
    <w:div w:id="1606841318">
      <w:bodyDiv w:val="1"/>
      <w:marLeft w:val="0"/>
      <w:marRight w:val="0"/>
      <w:marTop w:val="0"/>
      <w:marBottom w:val="0"/>
      <w:divBdr>
        <w:top w:val="none" w:sz="0" w:space="0" w:color="auto"/>
        <w:left w:val="none" w:sz="0" w:space="0" w:color="auto"/>
        <w:bottom w:val="none" w:sz="0" w:space="0" w:color="auto"/>
        <w:right w:val="none" w:sz="0" w:space="0" w:color="auto"/>
      </w:divBdr>
    </w:div>
    <w:div w:id="1905944235">
      <w:bodyDiv w:val="1"/>
      <w:marLeft w:val="0"/>
      <w:marRight w:val="0"/>
      <w:marTop w:val="0"/>
      <w:marBottom w:val="0"/>
      <w:divBdr>
        <w:top w:val="none" w:sz="0" w:space="0" w:color="auto"/>
        <w:left w:val="none" w:sz="0" w:space="0" w:color="auto"/>
        <w:bottom w:val="none" w:sz="0" w:space="0" w:color="auto"/>
        <w:right w:val="none" w:sz="0" w:space="0" w:color="auto"/>
      </w:divBdr>
    </w:div>
    <w:div w:id="1971129562">
      <w:bodyDiv w:val="1"/>
      <w:marLeft w:val="0"/>
      <w:marRight w:val="0"/>
      <w:marTop w:val="0"/>
      <w:marBottom w:val="0"/>
      <w:divBdr>
        <w:top w:val="none" w:sz="0" w:space="0" w:color="auto"/>
        <w:left w:val="none" w:sz="0" w:space="0" w:color="auto"/>
        <w:bottom w:val="none" w:sz="0" w:space="0" w:color="auto"/>
        <w:right w:val="none" w:sz="0" w:space="0" w:color="auto"/>
      </w:divBdr>
      <w:divsChild>
        <w:div w:id="1776242590">
          <w:marLeft w:val="-720"/>
          <w:marRight w:val="0"/>
          <w:marTop w:val="0"/>
          <w:marBottom w:val="0"/>
          <w:divBdr>
            <w:top w:val="none" w:sz="0" w:space="0" w:color="auto"/>
            <w:left w:val="none" w:sz="0" w:space="0" w:color="auto"/>
            <w:bottom w:val="none" w:sz="0" w:space="0" w:color="auto"/>
            <w:right w:val="none" w:sz="0" w:space="0" w:color="auto"/>
          </w:divBdr>
        </w:div>
      </w:divsChild>
    </w:div>
    <w:div w:id="209138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390/plants10102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ecs2.3915" TargetMode="External"/><Relationship Id="rId5" Type="http://schemas.openxmlformats.org/officeDocument/2006/relationships/hyperlink" Target="https://doi.org/10.1093/jpe/rtm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St. Clair</dc:creator>
  <cp:keywords/>
  <dc:description/>
  <cp:lastModifiedBy>Sara St. Clair</cp:lastModifiedBy>
  <cp:revision>37</cp:revision>
  <dcterms:created xsi:type="dcterms:W3CDTF">2024-10-26T20:50:00Z</dcterms:created>
  <dcterms:modified xsi:type="dcterms:W3CDTF">2024-10-26T21:25:00Z</dcterms:modified>
</cp:coreProperties>
</file>