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w:t>
      </w:r>
      <w:r w:rsidR="00461B7E">
        <w:t xml:space="preserve"> 97-219</w:t>
      </w:r>
      <w:r w:rsidR="00461B7E">
        <w:t xml:space="preserve">)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w:t>
      </w:r>
      <w:bookmarkStart w:id="0" w:name="_GoBack"/>
      <w:bookmarkEnd w:id="0"/>
      <w:r w:rsidR="000C4D7D">
        <w:t xml:space="preserve">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w:t>
      </w:r>
      <w:r w:rsidR="0091579A">
        <w:t>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25617E" w:rsidP="00B67333">
      <w:pPr>
        <w:spacing w:after="120"/>
      </w:pPr>
      <w:r>
        <w:t>TBD</w:t>
      </w:r>
    </w:p>
    <w:p w:rsidR="0025617E" w:rsidRDefault="0025617E" w:rsidP="00B67333">
      <w:pPr>
        <w:spacing w:after="120"/>
      </w:pPr>
    </w:p>
    <w:sectPr w:rsidR="00256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AF1BC4">
      <w:rPr>
        <w:b/>
        <w:noProof/>
      </w:rPr>
      <w:t>10</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AF1BC4">
      <w:rPr>
        <w:b/>
        <w:noProof/>
      </w:rPr>
      <w:t>10</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7C80"/>
    <w:rsid w:val="00100093"/>
    <w:rsid w:val="00134C03"/>
    <w:rsid w:val="00141109"/>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D184E"/>
    <w:rsid w:val="004D6D1E"/>
    <w:rsid w:val="004D7F82"/>
    <w:rsid w:val="004F3853"/>
    <w:rsid w:val="005318D1"/>
    <w:rsid w:val="0054221F"/>
    <w:rsid w:val="00612FAB"/>
    <w:rsid w:val="0067544F"/>
    <w:rsid w:val="006B0C4E"/>
    <w:rsid w:val="006B4A35"/>
    <w:rsid w:val="006B5ED7"/>
    <w:rsid w:val="00732559"/>
    <w:rsid w:val="00757CA5"/>
    <w:rsid w:val="00760C10"/>
    <w:rsid w:val="0077728B"/>
    <w:rsid w:val="007D553E"/>
    <w:rsid w:val="007F022B"/>
    <w:rsid w:val="007F7EF8"/>
    <w:rsid w:val="008042AE"/>
    <w:rsid w:val="0081388E"/>
    <w:rsid w:val="00814A3D"/>
    <w:rsid w:val="008B0902"/>
    <w:rsid w:val="008B752D"/>
    <w:rsid w:val="0091579A"/>
    <w:rsid w:val="0094146C"/>
    <w:rsid w:val="009456C1"/>
    <w:rsid w:val="00952DD2"/>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6216"/>
    <w:rsid w:val="00B67333"/>
    <w:rsid w:val="00BC291F"/>
    <w:rsid w:val="00C0115E"/>
    <w:rsid w:val="00C13796"/>
    <w:rsid w:val="00C34799"/>
    <w:rsid w:val="00C53256"/>
    <w:rsid w:val="00C55F63"/>
    <w:rsid w:val="00C62E06"/>
    <w:rsid w:val="00C77A0A"/>
    <w:rsid w:val="00CA75D2"/>
    <w:rsid w:val="00CE13AD"/>
    <w:rsid w:val="00CF4BD9"/>
    <w:rsid w:val="00D24487"/>
    <w:rsid w:val="00D54039"/>
    <w:rsid w:val="00D67262"/>
    <w:rsid w:val="00D76D9B"/>
    <w:rsid w:val="00D91D34"/>
    <w:rsid w:val="00DA76DE"/>
    <w:rsid w:val="00DB4EA4"/>
    <w:rsid w:val="00DC450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10</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70</cp:revision>
  <dcterms:created xsi:type="dcterms:W3CDTF">2019-01-15T03:56:00Z</dcterms:created>
  <dcterms:modified xsi:type="dcterms:W3CDTF">2019-03-23T14:06:00Z</dcterms:modified>
</cp:coreProperties>
</file>