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p w:rsidR="00FB5DB8" w:rsidRDefault="00FB5DB8">
      <w:r>
        <w:br w:type="page"/>
      </w:r>
    </w:p>
    <w:p w:rsidR="00FB5DB8" w:rsidRPr="00FB5DB8" w:rsidRDefault="00FB5DB8" w:rsidP="00303529">
      <w:pPr>
        <w:spacing w:after="120"/>
        <w:rPr>
          <w:u w:val="single"/>
        </w:rPr>
      </w:pPr>
      <w:r w:rsidRPr="00FB5DB8">
        <w:rPr>
          <w:u w:val="single"/>
        </w:rPr>
        <w:lastRenderedPageBreak/>
        <w:t>Journal Post 07 for class on April 8, 2019</w:t>
      </w:r>
    </w:p>
    <w:p w:rsidR="00FB5DB8" w:rsidRPr="00FB5DB8" w:rsidRDefault="00FB5DB8" w:rsidP="00FB5DB8">
      <w:pPr>
        <w:spacing w:after="120"/>
        <w:rPr>
          <w:b/>
        </w:rPr>
      </w:pPr>
      <w:r w:rsidRPr="00FB5DB8">
        <w:rPr>
          <w:b/>
        </w:rPr>
        <w:t>Suggesting that our policy/politics are in a state of churn is a bit of an understatement.   Considering your policy domain and the specific policy you are focusing on, give examples of the following:</w:t>
      </w:r>
    </w:p>
    <w:p w:rsidR="00FB5DB8" w:rsidRPr="00FB5DB8" w:rsidRDefault="00C917D8" w:rsidP="00FB5DB8">
      <w:pPr>
        <w:numPr>
          <w:ilvl w:val="0"/>
          <w:numId w:val="11"/>
        </w:numPr>
        <w:spacing w:after="120"/>
        <w:rPr>
          <w:b/>
        </w:rPr>
      </w:pPr>
      <w:r>
        <w:rPr>
          <w:b/>
        </w:rPr>
        <w:t>The contested arguments that</w:t>
      </w:r>
      <w:r w:rsidR="00FB5DB8" w:rsidRPr="00FB5DB8">
        <w:rPr>
          <w:b/>
        </w:rPr>
        <w:t> rely on different interpretations of the rights involved</w:t>
      </w:r>
    </w:p>
    <w:p w:rsidR="00FB5DB8" w:rsidRPr="00FB5DB8" w:rsidRDefault="00FB5DB8" w:rsidP="00FB5DB8">
      <w:pPr>
        <w:numPr>
          <w:ilvl w:val="0"/>
          <w:numId w:val="11"/>
        </w:numPr>
        <w:spacing w:after="120"/>
        <w:rPr>
          <w:b/>
        </w:rPr>
      </w:pPr>
      <w:r w:rsidRPr="00FB5DB8">
        <w:rPr>
          <w:b/>
        </w:rPr>
        <w:t>The contested arguments that rely on different definitions of rights (positive – negative)</w:t>
      </w:r>
    </w:p>
    <w:p w:rsidR="00FB5DB8" w:rsidRPr="00FB5DB8" w:rsidRDefault="00FB5DB8" w:rsidP="00FB5DB8">
      <w:pPr>
        <w:numPr>
          <w:ilvl w:val="0"/>
          <w:numId w:val="11"/>
        </w:numPr>
        <w:spacing w:after="120"/>
        <w:rPr>
          <w:b/>
        </w:rPr>
      </w:pPr>
      <w:r w:rsidRPr="00FB5DB8">
        <w:rPr>
          <w:b/>
        </w:rPr>
        <w:t>The power dynamics employed to change the course of the policy</w:t>
      </w:r>
    </w:p>
    <w:p w:rsidR="00FB5DB8" w:rsidRPr="00FB5DB8" w:rsidRDefault="00FB5DB8" w:rsidP="00FB5DB8">
      <w:pPr>
        <w:spacing w:after="120"/>
      </w:pPr>
    </w:p>
    <w:p w:rsidR="00FB5DB8" w:rsidRDefault="00C36954" w:rsidP="00303529">
      <w:pPr>
        <w:spacing w:after="120"/>
      </w:pPr>
      <w:proofErr w:type="spellStart"/>
      <w:r>
        <w:t>Pub.L</w:t>
      </w:r>
      <w:proofErr w:type="spellEnd"/>
      <w:r>
        <w:t>. 97-219 The Small Business Innovation Act of 1982 established a minimum set-aside that federal agenc</w:t>
      </w:r>
      <w:r w:rsidR="000A2962">
        <w:t>ies</w:t>
      </w:r>
      <w:r>
        <w:t xml:space="preserve"> with extramural research and development</w:t>
      </w:r>
      <w:r w:rsidR="000A2962">
        <w:t xml:space="preserve"> (R&amp;D)</w:t>
      </w:r>
      <w:r>
        <w:t xml:space="preserve"> budgets in excess of a certain amount were to direct to small businesses.</w:t>
      </w:r>
    </w:p>
    <w:p w:rsidR="00F65D10" w:rsidRDefault="00C36954" w:rsidP="005D4C83">
      <w:pPr>
        <w:pStyle w:val="ListParagraph"/>
        <w:numPr>
          <w:ilvl w:val="0"/>
          <w:numId w:val="12"/>
        </w:numPr>
        <w:spacing w:after="120"/>
        <w:contextualSpacing w:val="0"/>
      </w:pPr>
      <w:r>
        <w:t>Proponents of the policy framed their arguments in terms</w:t>
      </w:r>
      <w:r w:rsidR="000A2962">
        <w:t xml:space="preserve"> </w:t>
      </w:r>
      <w:r>
        <w:t xml:space="preserve">small businesses having normative rights based on the expectation that the government would provide equal consideration for federal R&amp;D funding.  Opponents framed their arguments in terms of researchers at larger institutions having normative rights based on the moral principle </w:t>
      </w:r>
      <w:r w:rsidR="00F65D10">
        <w:t>of the same rules applying to everyone.</w:t>
      </w:r>
    </w:p>
    <w:p w:rsidR="00F65D10" w:rsidRDefault="00F65D10" w:rsidP="005D4C83">
      <w:pPr>
        <w:pStyle w:val="ListParagraph"/>
        <w:numPr>
          <w:ilvl w:val="0"/>
          <w:numId w:val="12"/>
        </w:numPr>
        <w:spacing w:after="120"/>
        <w:contextualSpacing w:val="0"/>
      </w:pPr>
      <w:r>
        <w:t xml:space="preserve">The policy created a positive substantive right for small businesses that entitled them to receive a minimum percentage of federal </w:t>
      </w:r>
      <w:proofErr w:type="gramStart"/>
      <w:r>
        <w:t>R&amp;D</w:t>
      </w:r>
      <w:proofErr w:type="gramEnd"/>
      <w:r>
        <w:t xml:space="preserve"> funding as a class.</w:t>
      </w:r>
    </w:p>
    <w:p w:rsidR="0029146F" w:rsidRDefault="00144A23" w:rsidP="005D4C83">
      <w:pPr>
        <w:pStyle w:val="ListParagraph"/>
        <w:numPr>
          <w:ilvl w:val="0"/>
          <w:numId w:val="12"/>
        </w:numPr>
        <w:spacing w:after="120"/>
        <w:contextualSpacing w:val="0"/>
      </w:pPr>
      <w:r>
        <w:t>The p</w:t>
      </w:r>
      <w:r w:rsidR="00F65D10">
        <w:t xml:space="preserve">ower dynamics </w:t>
      </w:r>
      <w:r>
        <w:t>surrounding the policymaking process for</w:t>
      </w:r>
      <w:r w:rsidR="00F65D10">
        <w:t xml:space="preserve"> </w:t>
      </w:r>
      <w:proofErr w:type="spellStart"/>
      <w:r w:rsidR="00F65D10">
        <w:t>Pub.L</w:t>
      </w:r>
      <w:proofErr w:type="spellEnd"/>
      <w:r w:rsidR="00F65D10">
        <w:t>.</w:t>
      </w:r>
      <w:r>
        <w:t xml:space="preserve"> 97-219 seem to highlight the advantages of centralization.  Without centralization of power, national officials likely would not have been able to address the issues of broad national interests that were the focus of the policy or effect the redistribution of resources that </w:t>
      </w:r>
      <w:r w:rsidR="0029146F">
        <w:t>was necessary to promote equality</w:t>
      </w:r>
      <w:r w:rsidR="00D74D75">
        <w:t xml:space="preserve"> in federal R&amp;D funding.</w:t>
      </w:r>
    </w:p>
    <w:p w:rsidR="006A56A8" w:rsidRDefault="00144A23" w:rsidP="0029146F">
      <w:pPr>
        <w:spacing w:after="120"/>
      </w:pPr>
      <w:r>
        <w:t xml:space="preserve"> </w:t>
      </w:r>
      <w:r w:rsidR="006A56A8">
        <w:br w:type="page"/>
      </w:r>
    </w:p>
    <w:p w:rsidR="00C36954" w:rsidRPr="006A56A8" w:rsidRDefault="006A56A8" w:rsidP="0029146F">
      <w:pPr>
        <w:spacing w:after="120"/>
        <w:rPr>
          <w:u w:val="single"/>
        </w:rPr>
      </w:pPr>
      <w:r w:rsidRPr="006A56A8">
        <w:rPr>
          <w:u w:val="single"/>
        </w:rPr>
        <w:lastRenderedPageBreak/>
        <w:t>Journal Post 08 for class on April 15, 2019</w:t>
      </w:r>
    </w:p>
    <w:p w:rsidR="006A56A8" w:rsidRPr="006A56A8" w:rsidRDefault="006A56A8" w:rsidP="0029146F">
      <w:pPr>
        <w:spacing w:after="120"/>
        <w:rPr>
          <w:b/>
        </w:rPr>
      </w:pPr>
      <w:r w:rsidRPr="006A56A8">
        <w:rPr>
          <w:b/>
        </w:rPr>
        <w:t>A short paragraph describing the new directions in policy research articulated by Smith and Larimer (i.e. incorporation of brain science) that seem promising in understanding what is happening in your policy domain.</w:t>
      </w:r>
    </w:p>
    <w:p w:rsidR="00662B18" w:rsidRDefault="008C3C00" w:rsidP="0029146F">
      <w:pPr>
        <w:spacing w:after="120"/>
      </w:pPr>
      <w:r>
        <w:t>The new directi</w:t>
      </w:r>
      <w:r w:rsidR="00662B18">
        <w:t>on in policy research discussed</w:t>
      </w:r>
      <w:r w:rsidR="00411457">
        <w:t xml:space="preserve"> by Smith &amp; Larimer (2017</w:t>
      </w:r>
      <w:r>
        <w:t>) seems promising in understanding decision making in the technology transfer policy domain.  For example, the theories derived from evolutionary psychology can provide new insights into why the Small Business Innovation Act of 1982 (</w:t>
      </w:r>
      <w:proofErr w:type="spellStart"/>
      <w:r>
        <w:t>Pub.L</w:t>
      </w:r>
      <w:proofErr w:type="spellEnd"/>
      <w:r>
        <w:t xml:space="preserve">. 97-219) received such overwhelming support.  The </w:t>
      </w:r>
      <w:r w:rsidR="00411457">
        <w:t xml:space="preserve">idea </w:t>
      </w:r>
      <w:r>
        <w:t>that people tend to con</w:t>
      </w:r>
      <w:r w:rsidR="00411457">
        <w:t>form to the majority opinion as well as</w:t>
      </w:r>
      <w:r>
        <w:t xml:space="preserve"> evidence demonstrating that social exclusion produces neurological responses similar to those produced by physical pain</w:t>
      </w:r>
      <w:r w:rsidR="00662B18">
        <w:t xml:space="preserve"> helps </w:t>
      </w:r>
      <w:r w:rsidR="00CD36F5">
        <w:t>explain for</w:t>
      </w:r>
      <w:r w:rsidR="00662B18">
        <w:t xml:space="preserve"> why 85 of 100 U.S. Senators signed on as sponsors of </w:t>
      </w:r>
      <w:proofErr w:type="spellStart"/>
      <w:r w:rsidR="00662B18">
        <w:t>Pub.L</w:t>
      </w:r>
      <w:proofErr w:type="spellEnd"/>
      <w:r w:rsidR="00662B18">
        <w:t xml:space="preserve">. </w:t>
      </w:r>
      <w:proofErr w:type="gramStart"/>
      <w:r w:rsidR="00662B18">
        <w:t>97-219 during its consideratio</w:t>
      </w:r>
      <w:bookmarkStart w:id="0" w:name="_GoBack"/>
      <w:bookmarkEnd w:id="0"/>
      <w:r w:rsidR="00662B18">
        <w:t>n</w:t>
      </w:r>
      <w:r w:rsidR="00CD36F5">
        <w:t xml:space="preserve"> and debate</w:t>
      </w:r>
      <w:r w:rsidR="00662B18">
        <w:t>.</w:t>
      </w:r>
      <w:proofErr w:type="gramEnd"/>
      <w:r w:rsidR="00662B18">
        <w:t xml:space="preserve">  Proponents of the policy framed opposition to it as violating the social norms of fairness</w:t>
      </w:r>
      <w:r w:rsidR="00CD36F5">
        <w:t xml:space="preserve"> towards </w:t>
      </w:r>
      <w:r w:rsidR="00411457">
        <w:t>small businesses competing for federal research and development (R&amp;D) funding</w:t>
      </w:r>
      <w:r w:rsidR="00662B18">
        <w:t>.  News articles and the strategic selection of witnesses for Congressional hearings gave the impression of mass support for the policy and may have caused policymakers who were indifferent or only tentatively supportive of the policy to back it because doing so would increase their reputational utility with minimal impact to their expressive utility.</w:t>
      </w:r>
    </w:p>
    <w:p w:rsidR="006A56A8" w:rsidRDefault="006A56A8" w:rsidP="0029146F">
      <w:pPr>
        <w:spacing w:after="120"/>
      </w:pPr>
    </w:p>
    <w:sectPr w:rsidR="006A56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411457">
      <w:rPr>
        <w:b/>
        <w:noProof/>
      </w:rPr>
      <w:t>8</w:t>
    </w:r>
    <w:r>
      <w:rPr>
        <w:b/>
      </w:rPr>
      <w:fldChar w:fldCharType="end"/>
    </w:r>
    <w:r>
      <w:t xml:space="preserve"> of </w:t>
    </w:r>
    <w:r>
      <w:rPr>
        <w:b/>
      </w:rPr>
      <w:fldChar w:fldCharType="begin"/>
    </w:r>
    <w:r>
      <w:rPr>
        <w:b/>
      </w:rPr>
      <w:instrText xml:space="preserve"> NUMPAGES  \* Arabic  \* MERGEFORMAT </w:instrText>
    </w:r>
    <w:r>
      <w:rPr>
        <w:b/>
      </w:rPr>
      <w:fldChar w:fldCharType="separate"/>
    </w:r>
    <w:r w:rsidR="00411457">
      <w:rPr>
        <w:b/>
        <w:noProof/>
      </w:rPr>
      <w:t>8</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E1599"/>
    <w:multiLevelType w:val="multilevel"/>
    <w:tmpl w:val="9AD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7C7B05"/>
    <w:multiLevelType w:val="hybridMultilevel"/>
    <w:tmpl w:val="93D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2962"/>
    <w:rsid w:val="000A70AD"/>
    <w:rsid w:val="001210C4"/>
    <w:rsid w:val="001419FC"/>
    <w:rsid w:val="0014465C"/>
    <w:rsid w:val="00144A23"/>
    <w:rsid w:val="0015210A"/>
    <w:rsid w:val="00177F47"/>
    <w:rsid w:val="001A6759"/>
    <w:rsid w:val="00206970"/>
    <w:rsid w:val="002070AF"/>
    <w:rsid w:val="00227547"/>
    <w:rsid w:val="0027299B"/>
    <w:rsid w:val="0029146F"/>
    <w:rsid w:val="002B4346"/>
    <w:rsid w:val="00301365"/>
    <w:rsid w:val="00303529"/>
    <w:rsid w:val="00356F9A"/>
    <w:rsid w:val="00362FC7"/>
    <w:rsid w:val="003B1483"/>
    <w:rsid w:val="003D38C9"/>
    <w:rsid w:val="003D57BC"/>
    <w:rsid w:val="003F4F30"/>
    <w:rsid w:val="00411457"/>
    <w:rsid w:val="00437864"/>
    <w:rsid w:val="004B0254"/>
    <w:rsid w:val="004B1D37"/>
    <w:rsid w:val="004D07E5"/>
    <w:rsid w:val="004E22E8"/>
    <w:rsid w:val="00505BB1"/>
    <w:rsid w:val="00564233"/>
    <w:rsid w:val="005D4C83"/>
    <w:rsid w:val="00607A03"/>
    <w:rsid w:val="00623815"/>
    <w:rsid w:val="00662B18"/>
    <w:rsid w:val="006A56A8"/>
    <w:rsid w:val="006F027D"/>
    <w:rsid w:val="00713ACA"/>
    <w:rsid w:val="0074702A"/>
    <w:rsid w:val="00755D8D"/>
    <w:rsid w:val="007900A1"/>
    <w:rsid w:val="007B5711"/>
    <w:rsid w:val="007B663B"/>
    <w:rsid w:val="007D596D"/>
    <w:rsid w:val="00817589"/>
    <w:rsid w:val="00821DBD"/>
    <w:rsid w:val="00844C7B"/>
    <w:rsid w:val="008C3C00"/>
    <w:rsid w:val="00932F68"/>
    <w:rsid w:val="00940BD0"/>
    <w:rsid w:val="0096145C"/>
    <w:rsid w:val="00963CE3"/>
    <w:rsid w:val="0097780C"/>
    <w:rsid w:val="00977EFA"/>
    <w:rsid w:val="009D3BE2"/>
    <w:rsid w:val="009F667A"/>
    <w:rsid w:val="00A321D3"/>
    <w:rsid w:val="00A83945"/>
    <w:rsid w:val="00AB6CA8"/>
    <w:rsid w:val="00BD0F6D"/>
    <w:rsid w:val="00C1233B"/>
    <w:rsid w:val="00C36954"/>
    <w:rsid w:val="00C55F63"/>
    <w:rsid w:val="00C63F95"/>
    <w:rsid w:val="00C67438"/>
    <w:rsid w:val="00C917D8"/>
    <w:rsid w:val="00CC0541"/>
    <w:rsid w:val="00CD36F5"/>
    <w:rsid w:val="00D21A1B"/>
    <w:rsid w:val="00D475E7"/>
    <w:rsid w:val="00D74D75"/>
    <w:rsid w:val="00DB4EA4"/>
    <w:rsid w:val="00DD324B"/>
    <w:rsid w:val="00DD4ED9"/>
    <w:rsid w:val="00DE4207"/>
    <w:rsid w:val="00E00CC1"/>
    <w:rsid w:val="00E04BC1"/>
    <w:rsid w:val="00E37FA7"/>
    <w:rsid w:val="00EA76CF"/>
    <w:rsid w:val="00EC3265"/>
    <w:rsid w:val="00EC4552"/>
    <w:rsid w:val="00F321A5"/>
    <w:rsid w:val="00F65D10"/>
    <w:rsid w:val="00F8031B"/>
    <w:rsid w:val="00F85CB8"/>
    <w:rsid w:val="00F951E7"/>
    <w:rsid w:val="00FB5D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6065">
      <w:bodyDiv w:val="1"/>
      <w:marLeft w:val="0"/>
      <w:marRight w:val="0"/>
      <w:marTop w:val="0"/>
      <w:marBottom w:val="0"/>
      <w:divBdr>
        <w:top w:val="none" w:sz="0" w:space="0" w:color="auto"/>
        <w:left w:val="none" w:sz="0" w:space="0" w:color="auto"/>
        <w:bottom w:val="none" w:sz="0" w:space="0" w:color="auto"/>
        <w:right w:val="none" w:sz="0" w:space="0" w:color="auto"/>
      </w:divBdr>
    </w:div>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71</cp:revision>
  <dcterms:created xsi:type="dcterms:W3CDTF">2019-01-15T03:51:00Z</dcterms:created>
  <dcterms:modified xsi:type="dcterms:W3CDTF">2019-04-13T18:07:00Z</dcterms:modified>
</cp:coreProperties>
</file>