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bookmarkStart w:id="0" w:name="_GoBack"/>
      <w:bookmarkEnd w:id="0"/>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 xml:space="preserve">It is redistributive and regulatory in nature.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 xml:space="preserve">In 1982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a gradually set-aside that would settle at</w:t>
      </w:r>
      <w:r w:rsidR="00A82397" w:rsidRPr="0081685A">
        <w:rPr>
          <w:rFonts w:ascii="Times New Roman" w:hAnsi="Times New Roman" w:cs="Times New Roman"/>
          <w:sz w:val="24"/>
          <w:szCs w:val="24"/>
        </w:rPr>
        <w:t xml:space="preserve"> 0.3%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H.R.2772 -  SBIR and STTR Enhancement Act - 111th Congress (2009-2010)</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award levels.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Technology and Innovation,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the policy to urgent issues that the nation was facing at the time, </w:t>
      </w:r>
      <w:r w:rsidR="005C654D">
        <w:rPr>
          <w:rFonts w:ascii="Times New Roman" w:hAnsi="Times New Roman" w:cs="Times New Roman"/>
          <w:sz w:val="24"/>
          <w:szCs w:val="24"/>
        </w:rPr>
        <w:lastRenderedPageBreak/>
        <w:t xml:space="preserve">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 xml:space="preserve">made the issue thematic rather than episodic and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Mob at the Gates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 research and development funding in a way that</w:t>
      </w:r>
      <w:r w:rsidR="00272346">
        <w:rPr>
          <w:rFonts w:ascii="Times New Roman" w:hAnsi="Times New Roman" w:cs="Times New Roman"/>
          <w:sz w:val="24"/>
          <w:szCs w:val="24"/>
        </w:rPr>
        <w:t xml:space="preserve"> was efficient for them </w:t>
      </w:r>
      <w:r w:rsidR="005C654D">
        <w:rPr>
          <w:rFonts w:ascii="Times New Roman" w:hAnsi="Times New Roman" w:cs="Times New Roman"/>
          <w:sz w:val="24"/>
          <w:szCs w:val="24"/>
        </w:rPr>
        <w:t>but in doing so they discriminated against small businesses</w:t>
      </w:r>
      <w:r w:rsidR="00102ECF">
        <w:rPr>
          <w:rFonts w:ascii="Times New Roman" w:hAnsi="Times New Roman" w:cs="Times New Roman"/>
          <w:sz w:val="24"/>
          <w:szCs w:val="24"/>
        </w:rPr>
        <w:t xml:space="preserve">.  In addition to alluding to the Rot at the Top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also a prelude to what would eventually be described by policy researchers as administrative evil.</w:t>
      </w:r>
      <w:r w:rsidR="00272346">
        <w:rPr>
          <w:rFonts w:ascii="Times New Roman" w:hAnsi="Times New Roman" w:cs="Times New Roman"/>
          <w:sz w:val="24"/>
          <w:szCs w:val="24"/>
        </w:rPr>
        <w:t xml:space="preserve">  </w:t>
      </w:r>
      <w:r w:rsidR="003E06FD">
        <w:rPr>
          <w:rFonts w:ascii="Times New Roman" w:hAnsi="Times New Roman" w:cs="Times New Roman"/>
          <w:sz w:val="24"/>
          <w:szCs w:val="24"/>
        </w:rPr>
        <w:t xml:space="preserve">According to proponents of the policy,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research and development 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 xml:space="preserve">which essentially intimates the Benevolent Community morality tale.  According to opponents of the policy, it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research and development 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 xml:space="preserve">others in the research and development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3C0E03" w:rsidRDefault="003C0E03" w:rsidP="007A5E88">
      <w:pPr>
        <w:spacing w:line="276" w:lineRule="auto"/>
        <w:rPr>
          <w:rFonts w:ascii="Times New Roman" w:hAnsi="Times New Roman" w:cs="Times New Roman"/>
          <w:sz w:val="24"/>
          <w:szCs w:val="24"/>
        </w:rPr>
      </w:pPr>
    </w:p>
    <w:p w:rsidR="003107E2" w:rsidRDefault="003B4ADA" w:rsidP="007A5E8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w:t>
      </w:r>
      <w:r w:rsidR="003107E2">
        <w:rPr>
          <w:rFonts w:ascii="Times New Roman" w:hAnsi="Times New Roman" w:cs="Times New Roman"/>
          <w:sz w:val="24"/>
          <w:szCs w:val="24"/>
        </w:rPr>
        <w:t xml:space="preserve">of </w:t>
      </w:r>
      <w:proofErr w:type="spellStart"/>
      <w:r w:rsidR="003107E2">
        <w:rPr>
          <w:rFonts w:ascii="Times New Roman" w:hAnsi="Times New Roman" w:cs="Times New Roman"/>
          <w:sz w:val="24"/>
          <w:szCs w:val="24"/>
        </w:rPr>
        <w:t>Pub.L</w:t>
      </w:r>
      <w:proofErr w:type="spellEnd"/>
      <w:r w:rsidR="003107E2">
        <w:rPr>
          <w:rFonts w:ascii="Times New Roman" w:hAnsi="Times New Roman" w:cs="Times New Roman"/>
          <w:sz w:val="24"/>
          <w:szCs w:val="24"/>
        </w:rPr>
        <w:t>.</w:t>
      </w:r>
      <w:proofErr w:type="gramEnd"/>
      <w:r w:rsidR="003107E2">
        <w:rPr>
          <w:rFonts w:ascii="Times New Roman" w:hAnsi="Times New Roman" w:cs="Times New Roman"/>
          <w:sz w:val="24"/>
          <w:szCs w:val="24"/>
        </w:rPr>
        <w:t xml:space="preserve"> 97-219 appeared</w:t>
      </w:r>
      <w:r>
        <w:rPr>
          <w:rFonts w:ascii="Times New Roman" w:hAnsi="Times New Roman" w:cs="Times New Roman"/>
          <w:sz w:val="24"/>
          <w:szCs w:val="24"/>
        </w:rPr>
        <w:t xml:space="preserve"> to take advantage of source amnesia regarding the role</w:t>
      </w:r>
      <w:r w:rsidR="003107E2">
        <w:rPr>
          <w:rFonts w:ascii="Times New Roman" w:hAnsi="Times New Roman" w:cs="Times New Roman"/>
          <w:sz w:val="24"/>
          <w:szCs w:val="24"/>
        </w:rPr>
        <w:t>s that</w:t>
      </w:r>
      <w:r>
        <w:rPr>
          <w:rFonts w:ascii="Times New Roman" w:hAnsi="Times New Roman" w:cs="Times New Roman"/>
          <w:sz w:val="24"/>
          <w:szCs w:val="24"/>
        </w:rPr>
        <w:t xml:space="preserve"> </w:t>
      </w:r>
      <w:r w:rsidR="003107E2">
        <w:rPr>
          <w:rFonts w:ascii="Times New Roman" w:hAnsi="Times New Roman" w:cs="Times New Roman"/>
          <w:sz w:val="24"/>
          <w:szCs w:val="24"/>
        </w:rPr>
        <w:t xml:space="preserve">the basic business cycle and monetary policy play in economic growth and </w:t>
      </w:r>
      <w:r>
        <w:rPr>
          <w:rFonts w:ascii="Times New Roman" w:hAnsi="Times New Roman" w:cs="Times New Roman"/>
          <w:sz w:val="24"/>
          <w:szCs w:val="24"/>
        </w:rPr>
        <w:t>inflation</w:t>
      </w:r>
      <w:r w:rsidR="003107E2">
        <w:rPr>
          <w:rFonts w:ascii="Times New Roman" w:hAnsi="Times New Roman" w:cs="Times New Roman"/>
          <w:sz w:val="24"/>
          <w:szCs w:val="24"/>
        </w:rPr>
        <w:t xml:space="preserve">.  Opponents did not take advantage of context to frame their arguments.  </w:t>
      </w:r>
    </w:p>
    <w:p w:rsidR="003107E2" w:rsidRDefault="003107E2" w:rsidP="007A5E88">
      <w:pPr>
        <w:spacing w:line="276" w:lineRule="auto"/>
        <w:rPr>
          <w:rFonts w:ascii="Times New Roman" w:hAnsi="Times New Roman" w:cs="Times New Roman"/>
          <w:sz w:val="24"/>
          <w:szCs w:val="24"/>
        </w:rPr>
      </w:pPr>
    </w:p>
    <w:p w:rsidR="003B4ADA" w:rsidRDefault="003107E2" w:rsidP="007A5E88">
      <w:pPr>
        <w:spacing w:line="276" w:lineRule="auto"/>
        <w:rPr>
          <w:rFonts w:ascii="Times New Roman" w:hAnsi="Times New Roman" w:cs="Times New Roman"/>
          <w:sz w:val="24"/>
          <w:szCs w:val="24"/>
        </w:rPr>
      </w:pPr>
      <w:r>
        <w:rPr>
          <w:rFonts w:ascii="Times New Roman" w:hAnsi="Times New Roman" w:cs="Times New Roman"/>
          <w:sz w:val="24"/>
          <w:szCs w:val="24"/>
        </w:rPr>
        <w:t>The facts relevant to the issue fit the argument framing used by proponents of the policy very well.  Research demonstrating that independent innovators and small businesses produced most of the “significant” technological innovations that drove America’s rise to power in the late 19</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coupled with analyses indicating that small businesses consistently received less</w:t>
      </w:r>
      <w:r w:rsidR="009F47DD">
        <w:rPr>
          <w:rFonts w:ascii="Times New Roman" w:hAnsi="Times New Roman" w:cs="Times New Roman"/>
          <w:sz w:val="24"/>
          <w:szCs w:val="24"/>
        </w:rPr>
        <w:t xml:space="preserve"> than 4 percent of federal research and development funding provide credibility to the arguments that proponents were advancing in support of the legislation.</w:t>
      </w:r>
      <w:r w:rsidR="000E758C">
        <w:rPr>
          <w:rFonts w:ascii="Times New Roman" w:hAnsi="Times New Roman" w:cs="Times New Roman"/>
          <w:sz w:val="24"/>
          <w:szCs w:val="24"/>
        </w:rPr>
        <w:t xml:space="preserve">  However, they never placed these numbers in a social context to provide additional meaning to those stakeholders whom they hoped to influence.  Opponents of the policy did not assemble any statistics to support their arguments.</w:t>
      </w:r>
    </w:p>
    <w:p w:rsidR="007E62F3" w:rsidRDefault="007E62F3" w:rsidP="007A5E88">
      <w:pPr>
        <w:spacing w:line="276" w:lineRule="auto"/>
        <w:rPr>
          <w:rFonts w:ascii="Times New Roman" w:hAnsi="Times New Roman" w:cs="Times New Roman"/>
          <w:sz w:val="24"/>
          <w:szCs w:val="24"/>
        </w:rPr>
      </w:pPr>
    </w:p>
    <w:p w:rsidR="000E758C" w:rsidRDefault="000E758C" w:rsidP="000E758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of the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97-19 made effective use of messengers in advocating for the policy.  Key messengers included p</w:t>
      </w:r>
      <w:r w:rsidRPr="000E758C">
        <w:rPr>
          <w:rFonts w:ascii="Times New Roman" w:hAnsi="Times New Roman" w:cs="Times New Roman"/>
          <w:sz w:val="24"/>
          <w:szCs w:val="24"/>
        </w:rPr>
        <w:t xml:space="preserve">rominent U.S. Senators who seemed to be viewed as being above the </w:t>
      </w:r>
      <w:r w:rsidRPr="000E758C">
        <w:rPr>
          <w:rFonts w:ascii="Times New Roman" w:hAnsi="Times New Roman" w:cs="Times New Roman"/>
          <w:sz w:val="24"/>
          <w:szCs w:val="24"/>
        </w:rPr>
        <w:lastRenderedPageBreak/>
        <w:t>fray and primarily concerned with the well-being of the nation rather than any particular interest group.</w:t>
      </w:r>
      <w:r>
        <w:rPr>
          <w:rFonts w:ascii="Times New Roman" w:hAnsi="Times New Roman" w:cs="Times New Roman"/>
          <w:sz w:val="24"/>
          <w:szCs w:val="24"/>
        </w:rPr>
        <w:t xml:space="preserve">  Additionally, leaders</w:t>
      </w:r>
      <w:r w:rsidRPr="000E758C">
        <w:rPr>
          <w:rFonts w:ascii="Times New Roman" w:hAnsi="Times New Roman" w:cs="Times New Roman"/>
          <w:sz w:val="24"/>
          <w:szCs w:val="24"/>
        </w:rPr>
        <w:t xml:space="preserve"> of </w:t>
      </w:r>
      <w:r>
        <w:rPr>
          <w:rFonts w:ascii="Times New Roman" w:hAnsi="Times New Roman" w:cs="Times New Roman"/>
          <w:sz w:val="24"/>
          <w:szCs w:val="24"/>
        </w:rPr>
        <w:t xml:space="preserve">large businesses </w:t>
      </w:r>
      <w:r w:rsidRPr="000E758C">
        <w:rPr>
          <w:rFonts w:ascii="Times New Roman" w:hAnsi="Times New Roman" w:cs="Times New Roman"/>
          <w:sz w:val="24"/>
          <w:szCs w:val="24"/>
        </w:rPr>
        <w:t>who would not directly benefit f</w:t>
      </w:r>
      <w:r>
        <w:rPr>
          <w:rFonts w:ascii="Times New Roman" w:hAnsi="Times New Roman" w:cs="Times New Roman"/>
          <w:sz w:val="24"/>
          <w:szCs w:val="24"/>
        </w:rPr>
        <w:t xml:space="preserve">rom the policy were also effective messengers of the arguments in support of the legislation.  </w:t>
      </w:r>
      <w:r w:rsidR="00644594">
        <w:rPr>
          <w:rFonts w:ascii="Times New Roman" w:hAnsi="Times New Roman" w:cs="Times New Roman"/>
          <w:sz w:val="24"/>
          <w:szCs w:val="24"/>
        </w:rPr>
        <w:t>Opponents did not assemble</w:t>
      </w:r>
      <w:r w:rsidR="00B85BB5">
        <w:rPr>
          <w:rFonts w:ascii="Times New Roman" w:hAnsi="Times New Roman" w:cs="Times New Roman"/>
          <w:sz w:val="24"/>
          <w:szCs w:val="24"/>
        </w:rPr>
        <w:t xml:space="preserve"> any messengers who could effectively deliver their arguments against the legislation without coming across as self-serving.</w:t>
      </w:r>
    </w:p>
    <w:p w:rsidR="000E758C" w:rsidRDefault="000E758C" w:rsidP="000E758C">
      <w:pPr>
        <w:spacing w:line="276" w:lineRule="auto"/>
        <w:rPr>
          <w:rFonts w:ascii="Times New Roman" w:hAnsi="Times New Roman" w:cs="Times New Roman"/>
          <w:sz w:val="24"/>
          <w:szCs w:val="24"/>
        </w:rPr>
      </w:pPr>
    </w:p>
    <w:p w:rsidR="00484B36" w:rsidRDefault="00B85BB5" w:rsidP="00B85BB5">
      <w:pPr>
        <w:spacing w:line="276" w:lineRule="auto"/>
        <w:rPr>
          <w:rFonts w:ascii="Times New Roman" w:hAnsi="Times New Roman" w:cs="Times New Roman"/>
          <w:sz w:val="24"/>
          <w:szCs w:val="24"/>
        </w:rPr>
      </w:pPr>
      <w:r>
        <w:rPr>
          <w:rFonts w:ascii="Times New Roman" w:hAnsi="Times New Roman" w:cs="Times New Roman"/>
          <w:sz w:val="24"/>
          <w:szCs w:val="24"/>
        </w:rPr>
        <w:t>The legislation exemplified the branch approach to policymaking.  It was initially piloted in the NSF before being expanded to all federal agencies with extramural research and development budgets.  Moreover, t</w:t>
      </w:r>
      <w:r w:rsidR="00484B36" w:rsidRPr="00B85BB5">
        <w:rPr>
          <w:rFonts w:ascii="Times New Roman" w:hAnsi="Times New Roman" w:cs="Times New Roman"/>
          <w:sz w:val="24"/>
          <w:szCs w:val="24"/>
        </w:rPr>
        <w:t xml:space="preserve">he policy did not radically change the process </w:t>
      </w:r>
      <w:r w:rsidR="00C15777" w:rsidRPr="00B85BB5">
        <w:rPr>
          <w:rFonts w:ascii="Times New Roman" w:hAnsi="Times New Roman" w:cs="Times New Roman"/>
          <w:sz w:val="24"/>
          <w:szCs w:val="24"/>
        </w:rPr>
        <w:t xml:space="preserve">and mechanisms </w:t>
      </w:r>
      <w:r w:rsidR="00484B36" w:rsidRPr="00B85BB5">
        <w:rPr>
          <w:rFonts w:ascii="Times New Roman" w:hAnsi="Times New Roman" w:cs="Times New Roman"/>
          <w:sz w:val="24"/>
          <w:szCs w:val="24"/>
        </w:rPr>
        <w:t>for dis</w:t>
      </w:r>
      <w:r>
        <w:rPr>
          <w:rFonts w:ascii="Times New Roman" w:hAnsi="Times New Roman" w:cs="Times New Roman"/>
          <w:sz w:val="24"/>
          <w:szCs w:val="24"/>
        </w:rPr>
        <w:t>tributing</w:t>
      </w:r>
      <w:r w:rsidR="00484B36" w:rsidRPr="00B85BB5">
        <w:rPr>
          <w:rFonts w:ascii="Times New Roman" w:hAnsi="Times New Roman" w:cs="Times New Roman"/>
          <w:sz w:val="24"/>
          <w:szCs w:val="24"/>
        </w:rPr>
        <w:t xml:space="preserve"> research and development funding.</w:t>
      </w:r>
      <w:r>
        <w:rPr>
          <w:rFonts w:ascii="Times New Roman" w:hAnsi="Times New Roman" w:cs="Times New Roman"/>
          <w:sz w:val="24"/>
          <w:szCs w:val="24"/>
        </w:rPr>
        <w:t xml:space="preserve">  Additionally, the set-aside itself was a very small percentage of agency research and development budgets.</w:t>
      </w:r>
    </w:p>
    <w:p w:rsidR="00EC3469" w:rsidRDefault="00EC3469" w:rsidP="00B85BB5">
      <w:pPr>
        <w:spacing w:line="276" w:lineRule="auto"/>
        <w:rPr>
          <w:rFonts w:ascii="Times New Roman" w:hAnsi="Times New Roman" w:cs="Times New Roman"/>
          <w:sz w:val="24"/>
          <w:szCs w:val="24"/>
        </w:rPr>
      </w:pPr>
    </w:p>
    <w:p w:rsidR="00EC3469" w:rsidRPr="00EC3469" w:rsidRDefault="00EC3469" w:rsidP="00B85BB5">
      <w:pPr>
        <w:spacing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EC3469" w:rsidRPr="00B85BB5" w:rsidRDefault="00937541" w:rsidP="00B85BB5">
      <w:pPr>
        <w:spacing w:line="276" w:lineRule="auto"/>
        <w:rPr>
          <w:rFonts w:ascii="Times New Roman" w:hAnsi="Times New Roman" w:cs="Times New Roman"/>
          <w:sz w:val="24"/>
          <w:szCs w:val="24"/>
        </w:rPr>
      </w:pPr>
      <w:r w:rsidRPr="00937541">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937541">
        <w:rPr>
          <w:rFonts w:ascii="Times New Roman" w:hAnsi="Times New Roman" w:cs="Times New Roman"/>
          <w:sz w:val="24"/>
          <w:szCs w:val="24"/>
        </w:rPr>
        <w:t>provide</w:t>
      </w:r>
      <w:r>
        <w:rPr>
          <w:rFonts w:ascii="Times New Roman" w:hAnsi="Times New Roman" w:cs="Times New Roman"/>
          <w:sz w:val="24"/>
          <w:szCs w:val="24"/>
        </w:rPr>
        <w:t>d</w:t>
      </w:r>
      <w:r w:rsidRPr="00937541">
        <w:rPr>
          <w:rFonts w:ascii="Times New Roman" w:hAnsi="Times New Roman" w:cs="Times New Roman"/>
          <w:sz w:val="24"/>
          <w:szCs w:val="24"/>
        </w:rPr>
        <w:t xml:space="preserve"> an analysis of issue framing in the po</w:t>
      </w:r>
      <w:r>
        <w:rPr>
          <w:rFonts w:ascii="Times New Roman" w:hAnsi="Times New Roman" w:cs="Times New Roman"/>
          <w:sz w:val="24"/>
          <w:szCs w:val="24"/>
        </w:rPr>
        <w:t xml:space="preserve">licy debate about </w:t>
      </w:r>
      <w:r>
        <w:rPr>
          <w:rFonts w:ascii="Times New Roman" w:hAnsi="Times New Roman" w:cs="Times New Roman"/>
          <w:sz w:val="24"/>
          <w:szCs w:val="24"/>
        </w:rPr>
        <w:br/>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Pr>
          <w:rFonts w:ascii="Times New Roman" w:hAnsi="Times New Roman" w:cs="Times New Roman"/>
          <w:sz w:val="24"/>
          <w:szCs w:val="24"/>
        </w:rPr>
        <w:t xml:space="preserve"> </w:t>
      </w:r>
      <w:r w:rsidRPr="00937541">
        <w:rPr>
          <w:rFonts w:ascii="Times New Roman" w:hAnsi="Times New Roman" w:cs="Times New Roman"/>
          <w:sz w:val="24"/>
          <w:szCs w:val="24"/>
        </w:rPr>
        <w:t>The Small Business Innovatio</w:t>
      </w:r>
      <w:r>
        <w:rPr>
          <w:rFonts w:ascii="Times New Roman" w:hAnsi="Times New Roman" w:cs="Times New Roman"/>
          <w:sz w:val="24"/>
          <w:szCs w:val="24"/>
        </w:rPr>
        <w:t>n Act of 1982.  The analysis included details about the problem the policy was intended to address, the importance of the problem, legislative history of the policy, the various stakeholders who were focused on the issues being addressed, and the framing arguments used by the various stakeholders to advance their positions.  Proponents of the policy were able to more effectively assemble the elements of policy framing than opponents.</w:t>
      </w:r>
    </w:p>
    <w:p w:rsidR="00F75D23" w:rsidRDefault="00F75D23" w:rsidP="00F75D23">
      <w:pPr>
        <w:spacing w:after="120" w:line="276" w:lineRule="auto"/>
        <w:rPr>
          <w:rFonts w:ascii="Times New Roman" w:hAnsi="Times New Roman" w:cs="Times New Roman"/>
          <w:sz w:val="24"/>
          <w:szCs w:val="24"/>
        </w:rPr>
      </w:pPr>
    </w:p>
    <w:p w:rsidR="00F75D23" w:rsidRDefault="00F75D23" w:rsidP="00F75D23">
      <w:pPr>
        <w:spacing w:after="120" w:line="276" w:lineRule="auto"/>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75D23" w:rsidRDefault="00F75D23" w:rsidP="00F75D23">
      <w:pPr>
        <w:spacing w:line="276" w:lineRule="auto"/>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proofErr w:type="gramStart"/>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w:t>
      </w:r>
      <w:proofErr w:type="gramEnd"/>
      <w:r w:rsidR="00C60830">
        <w:rPr>
          <w:rFonts w:ascii="Times New Roman" w:hAnsi="Times New Roman" w:cs="Times New Roman"/>
          <w:sz w:val="24"/>
          <w:szCs w:val="24"/>
        </w:rPr>
        <w:t xml:space="preserve">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 xml:space="preserve">Small Business Development Act of 1981, Pub. </w:t>
      </w:r>
      <w:proofErr w:type="gramStart"/>
      <w:r w:rsidRPr="00C60830">
        <w:rPr>
          <w:rFonts w:ascii="Times New Roman" w:hAnsi="Times New Roman" w:cs="Times New Roman"/>
          <w:sz w:val="24"/>
          <w:szCs w:val="24"/>
        </w:rPr>
        <w:t>L. No. 97-219, 96 Stat. 217 (1982).</w:t>
      </w:r>
      <w:proofErr w:type="gramEnd"/>
      <w:r w:rsidR="00DB1168">
        <w:rPr>
          <w:rFonts w:ascii="Times New Roman" w:hAnsi="Times New Roman" w:cs="Times New Roman"/>
          <w:sz w:val="24"/>
          <w:szCs w:val="24"/>
        </w:rPr>
        <w:t xml:space="preserve"> 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 xml:space="preserve">Small Business Innovation Development Amendment Act of 1992, Pub. </w:t>
      </w:r>
      <w:proofErr w:type="gramStart"/>
      <w:r w:rsidRPr="00C60830">
        <w:rPr>
          <w:rFonts w:ascii="Times New Roman" w:hAnsi="Times New Roman" w:cs="Times New Roman"/>
          <w:sz w:val="24"/>
          <w:szCs w:val="24"/>
        </w:rPr>
        <w:t>L. No. 102-564, 106 Stat. 4269 (1992).</w:t>
      </w:r>
      <w:proofErr w:type="gramEnd"/>
      <w:r w:rsidR="00DB1168">
        <w:rPr>
          <w:rFonts w:ascii="Times New Roman" w:hAnsi="Times New Roman" w:cs="Times New Roman"/>
          <w:sz w:val="24"/>
          <w:szCs w:val="24"/>
        </w:rPr>
        <w:t xml:space="preserve"> </w:t>
      </w:r>
      <w:r w:rsidR="00DB1168" w:rsidRPr="00DB1168">
        <w:rPr>
          <w:rFonts w:ascii="Times New Roman" w:hAnsi="Times New Roman" w:cs="Times New Roman"/>
          <w:sz w:val="24"/>
          <w:szCs w:val="24"/>
        </w:rPr>
        <w:t>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i/>
          <w:sz w:val="24"/>
          <w:szCs w:val="24"/>
        </w:rPr>
        <w:t>The Small Business Innovation Research Act of 1981</w:t>
      </w:r>
      <w:r w:rsidRPr="00C60830">
        <w:rPr>
          <w:rFonts w:ascii="Times New Roman" w:hAnsi="Times New Roman" w:cs="Times New Roman"/>
          <w:sz w:val="24"/>
          <w:szCs w:val="24"/>
        </w:rPr>
        <w:t xml:space="preserve">: </w:t>
      </w:r>
      <w:r w:rsidRPr="00C60830">
        <w:rPr>
          <w:rFonts w:ascii="Times New Roman" w:hAnsi="Times New Roman" w:cs="Times New Roman"/>
          <w:i/>
          <w:sz w:val="24"/>
          <w:szCs w:val="24"/>
        </w:rPr>
        <w:t>Hearings before the Subcommittee on Innovation and Technology of the Senate Committee on Small Business</w:t>
      </w:r>
      <w:r w:rsidRPr="00C60830">
        <w:rPr>
          <w:rFonts w:ascii="Times New Roman" w:hAnsi="Times New Roman" w:cs="Times New Roman"/>
          <w:sz w:val="24"/>
          <w:szCs w:val="24"/>
        </w:rPr>
        <w:t>, 97th Cong. 1-4 (1981) (statement of Senator Warren Rudman).</w:t>
      </w:r>
      <w:r w:rsidR="00DB1168">
        <w:rPr>
          <w:rFonts w:ascii="Times New Roman" w:hAnsi="Times New Roman" w:cs="Times New Roman"/>
          <w:sz w:val="24"/>
          <w:szCs w:val="24"/>
        </w:rPr>
        <w:t xml:space="preserve"> </w:t>
      </w:r>
      <w:r w:rsidR="00DB1168" w:rsidRPr="00DB1168">
        <w:rPr>
          <w:rFonts w:ascii="Times New Roman" w:hAnsi="Times New Roman" w:cs="Times New Roman"/>
          <w:sz w:val="24"/>
          <w:szCs w:val="24"/>
        </w:rPr>
        <w:t>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A761E5"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i/>
          <w:sz w:val="24"/>
          <w:szCs w:val="24"/>
        </w:rPr>
        <w:t>The Small Business Innovation Research Act of 1981: Hearings before the Subcommittee on Innovation and Technology of the Senate Committee on Small Business</w:t>
      </w:r>
      <w:r w:rsidRPr="00C60830">
        <w:rPr>
          <w:rFonts w:ascii="Times New Roman" w:hAnsi="Times New Roman" w:cs="Times New Roman"/>
          <w:sz w:val="24"/>
          <w:szCs w:val="24"/>
        </w:rPr>
        <w:t>, 97th Cong. 5-9 (1981) (statement of Senator Paul Tsongas).</w:t>
      </w:r>
      <w:r w:rsidR="00DB1168" w:rsidRPr="00DB1168">
        <w:rPr>
          <w:rFonts w:ascii="Times New Roman" w:hAnsi="Times New Roman" w:cs="Times New Roman"/>
          <w:sz w:val="24"/>
          <w:szCs w:val="24"/>
        </w:rPr>
        <w:t xml:space="preserve"> Retrieved from https://www.govinfo.gov</w:t>
      </w:r>
    </w:p>
    <w:p w:rsidR="00DB1168" w:rsidRPr="00F75D23" w:rsidRDefault="00DB1168" w:rsidP="00C60830">
      <w:pPr>
        <w:spacing w:line="276" w:lineRule="auto"/>
        <w:ind w:left="720" w:hanging="720"/>
        <w:rPr>
          <w:rFonts w:ascii="Times New Roman" w:hAnsi="Times New Roman" w:cs="Times New Roman"/>
          <w:sz w:val="24"/>
          <w:szCs w:val="24"/>
        </w:rPr>
      </w:pPr>
    </w:p>
    <w:sectPr w:rsidR="00DB1168" w:rsidRPr="00F75D23"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937541">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937541">
      <w:rPr>
        <w:rFonts w:ascii="Times New Roman" w:hAnsi="Times New Roman" w:cs="Times New Roman"/>
        <w:b/>
        <w:noProof/>
        <w:sz w:val="18"/>
      </w:rPr>
      <w:t>7</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937541">
      <w:rPr>
        <w:rFonts w:ascii="Times New Roman" w:hAnsi="Times New Roman" w:cs="Times New Roman"/>
        <w:b/>
        <w:noProof/>
        <w:sz w:val="18"/>
      </w:rPr>
      <w:t>2</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937541">
      <w:rPr>
        <w:rFonts w:ascii="Times New Roman" w:hAnsi="Times New Roman" w:cs="Times New Roman"/>
        <w:b/>
        <w:noProof/>
        <w:sz w:val="18"/>
      </w:rPr>
      <w:t>7</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34F40"/>
    <w:rsid w:val="000429BE"/>
    <w:rsid w:val="00092F7A"/>
    <w:rsid w:val="000E206A"/>
    <w:rsid w:val="000E758C"/>
    <w:rsid w:val="00102ECF"/>
    <w:rsid w:val="00133D43"/>
    <w:rsid w:val="001803D4"/>
    <w:rsid w:val="00187162"/>
    <w:rsid w:val="001B4E9E"/>
    <w:rsid w:val="001C74E7"/>
    <w:rsid w:val="002222A8"/>
    <w:rsid w:val="00272346"/>
    <w:rsid w:val="002B6DEA"/>
    <w:rsid w:val="002E193C"/>
    <w:rsid w:val="003107E2"/>
    <w:rsid w:val="00323F71"/>
    <w:rsid w:val="0033084E"/>
    <w:rsid w:val="003450A2"/>
    <w:rsid w:val="00386A68"/>
    <w:rsid w:val="003B4ADA"/>
    <w:rsid w:val="003C0E03"/>
    <w:rsid w:val="003E06FD"/>
    <w:rsid w:val="00405E43"/>
    <w:rsid w:val="0044255C"/>
    <w:rsid w:val="00445692"/>
    <w:rsid w:val="0047543F"/>
    <w:rsid w:val="0048274F"/>
    <w:rsid w:val="00482BC4"/>
    <w:rsid w:val="00484B36"/>
    <w:rsid w:val="004875C9"/>
    <w:rsid w:val="004903D7"/>
    <w:rsid w:val="004A4E08"/>
    <w:rsid w:val="004B5AB0"/>
    <w:rsid w:val="004F7357"/>
    <w:rsid w:val="00503BC1"/>
    <w:rsid w:val="00564A1E"/>
    <w:rsid w:val="00566CCA"/>
    <w:rsid w:val="005725B5"/>
    <w:rsid w:val="005C654D"/>
    <w:rsid w:val="00617695"/>
    <w:rsid w:val="00617AAD"/>
    <w:rsid w:val="00627DBC"/>
    <w:rsid w:val="006406C6"/>
    <w:rsid w:val="00644594"/>
    <w:rsid w:val="00666E08"/>
    <w:rsid w:val="00671BB4"/>
    <w:rsid w:val="00697FC5"/>
    <w:rsid w:val="006E3A21"/>
    <w:rsid w:val="0072372D"/>
    <w:rsid w:val="00735743"/>
    <w:rsid w:val="007812EE"/>
    <w:rsid w:val="0079748C"/>
    <w:rsid w:val="007A3794"/>
    <w:rsid w:val="007A5E88"/>
    <w:rsid w:val="007E5C1F"/>
    <w:rsid w:val="007E62F3"/>
    <w:rsid w:val="00800497"/>
    <w:rsid w:val="00815296"/>
    <w:rsid w:val="0081685A"/>
    <w:rsid w:val="0083131A"/>
    <w:rsid w:val="00833C62"/>
    <w:rsid w:val="008515F3"/>
    <w:rsid w:val="0085492A"/>
    <w:rsid w:val="008710EC"/>
    <w:rsid w:val="00882514"/>
    <w:rsid w:val="008D2CFD"/>
    <w:rsid w:val="00902BCD"/>
    <w:rsid w:val="009171BD"/>
    <w:rsid w:val="00937541"/>
    <w:rsid w:val="0095243B"/>
    <w:rsid w:val="009A73CC"/>
    <w:rsid w:val="009C3F0E"/>
    <w:rsid w:val="009E3D3A"/>
    <w:rsid w:val="009F47DD"/>
    <w:rsid w:val="009F498A"/>
    <w:rsid w:val="009F535D"/>
    <w:rsid w:val="00A07137"/>
    <w:rsid w:val="00A761E5"/>
    <w:rsid w:val="00A82397"/>
    <w:rsid w:val="00AA1B7A"/>
    <w:rsid w:val="00AA710A"/>
    <w:rsid w:val="00AC5FD1"/>
    <w:rsid w:val="00AC611B"/>
    <w:rsid w:val="00AE2369"/>
    <w:rsid w:val="00AF4794"/>
    <w:rsid w:val="00B139A4"/>
    <w:rsid w:val="00B149AF"/>
    <w:rsid w:val="00B348B7"/>
    <w:rsid w:val="00B63054"/>
    <w:rsid w:val="00B804EE"/>
    <w:rsid w:val="00B85BB5"/>
    <w:rsid w:val="00BB4057"/>
    <w:rsid w:val="00BC5B36"/>
    <w:rsid w:val="00BD40A5"/>
    <w:rsid w:val="00BF2D40"/>
    <w:rsid w:val="00BF4E77"/>
    <w:rsid w:val="00C125DC"/>
    <w:rsid w:val="00C15777"/>
    <w:rsid w:val="00C60830"/>
    <w:rsid w:val="00C75898"/>
    <w:rsid w:val="00CB1810"/>
    <w:rsid w:val="00CB7E51"/>
    <w:rsid w:val="00D13706"/>
    <w:rsid w:val="00D22257"/>
    <w:rsid w:val="00D548DF"/>
    <w:rsid w:val="00D5627F"/>
    <w:rsid w:val="00D5649E"/>
    <w:rsid w:val="00DB1168"/>
    <w:rsid w:val="00DB4EA4"/>
    <w:rsid w:val="00DC1813"/>
    <w:rsid w:val="00E24DDC"/>
    <w:rsid w:val="00E37583"/>
    <w:rsid w:val="00E45B16"/>
    <w:rsid w:val="00E576E4"/>
    <w:rsid w:val="00EC3469"/>
    <w:rsid w:val="00F26D67"/>
    <w:rsid w:val="00F27A1D"/>
    <w:rsid w:val="00F32531"/>
    <w:rsid w:val="00F347D8"/>
    <w:rsid w:val="00F54F31"/>
    <w:rsid w:val="00F57425"/>
    <w:rsid w:val="00F75D23"/>
    <w:rsid w:val="00F81E44"/>
    <w:rsid w:val="00F85041"/>
    <w:rsid w:val="00F875A2"/>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116</cp:revision>
  <cp:lastPrinted>2019-02-25T18:01:00Z</cp:lastPrinted>
  <dcterms:created xsi:type="dcterms:W3CDTF">2019-02-20T21:26:00Z</dcterms:created>
  <dcterms:modified xsi:type="dcterms:W3CDTF">2019-03-03T00:08:00Z</dcterms:modified>
</cp:coreProperties>
</file>