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 xml:space="preserve">In 1982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lastRenderedPageBreak/>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a gradually set-aside that would settle at</w:t>
      </w:r>
      <w:r w:rsidR="00A82397" w:rsidRPr="0081685A">
        <w:rPr>
          <w:rFonts w:ascii="Times New Roman" w:hAnsi="Times New Roman" w:cs="Times New Roman"/>
          <w:sz w:val="24"/>
          <w:szCs w:val="24"/>
        </w:rPr>
        <w:t xml:space="preserve"> 0.3%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Increases award levels.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Technology and Innovation,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3C0E03"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Opponents of the legislation primarily framed their arguments around their fundamental opposition to using set-asides as a method for distributing federal research and development funding.  They argued </w:t>
      </w:r>
      <w:r w:rsidRPr="00833C62">
        <w:rPr>
          <w:rFonts w:ascii="Times New Roman" w:hAnsi="Times New Roman" w:cs="Times New Roman"/>
          <w:sz w:val="24"/>
          <w:szCs w:val="24"/>
        </w:rPr>
        <w:t xml:space="preserve">that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others in the research and development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which is the foundation of 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bookmarkStart w:id="0" w:name="_GoBack"/>
      <w:bookmarkEnd w:id="0"/>
      <w:r w:rsidRPr="00833C62">
        <w:rPr>
          <w:rFonts w:ascii="Times New Roman" w:hAnsi="Times New Roman" w:cs="Times New Roman"/>
          <w:sz w:val="24"/>
          <w:szCs w:val="24"/>
        </w:rPr>
        <w:t>Argued it changed the selection criteria away from research excellence and would result in the funding of sub-par research and development.</w:t>
      </w:r>
    </w:p>
    <w:p w:rsidR="003C0E03" w:rsidRDefault="003C0E03" w:rsidP="007A5E88">
      <w:pPr>
        <w:spacing w:line="276" w:lineRule="auto"/>
        <w:rPr>
          <w:rFonts w:ascii="Times New Roman" w:hAnsi="Times New Roman" w:cs="Times New Roman"/>
          <w:sz w:val="24"/>
          <w:szCs w:val="24"/>
        </w:rPr>
      </w:pPr>
    </w:p>
    <w:p w:rsidR="00DB4EA4"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sz w:val="24"/>
          <w:szCs w:val="24"/>
        </w:rPr>
        <w:t>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Pr="008710EC" w:rsidRDefault="00386A68" w:rsidP="003C0E03">
      <w:pPr>
        <w:spacing w:line="276" w:lineRule="auto"/>
        <w:rPr>
          <w:rFonts w:ascii="Times New Roman" w:hAnsi="Times New Roman" w:cs="Times New Roman"/>
          <w:sz w:val="24"/>
          <w:szCs w:val="24"/>
        </w:rPr>
      </w:pPr>
    </w:p>
    <w:p w:rsidR="00815296" w:rsidRPr="008710EC" w:rsidRDefault="00815296" w:rsidP="00815296">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815296" w:rsidRPr="008710EC" w:rsidRDefault="00815296" w:rsidP="00815296">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Alignment wi</w:t>
      </w:r>
      <w:r>
        <w:rPr>
          <w:rFonts w:ascii="Times New Roman" w:hAnsi="Times New Roman" w:cs="Times New Roman"/>
          <w:sz w:val="24"/>
          <w:szCs w:val="24"/>
        </w:rPr>
        <w:t>th Frameworks Institute rubrics.</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Issue type (episodic or thematic):</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BD40A5" w:rsidRPr="008710EC" w:rsidRDefault="00BD40A5"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Thematic in nature.</w:t>
      </w:r>
    </w:p>
    <w:p w:rsidR="00CB7E51" w:rsidRPr="008710EC" w:rsidRDefault="00CB7E5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Issue discussed in context of economic stagnation and loss of global competitiveness if current trends persist.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Policy category:</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Redistributive</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Regulatory</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Morality tale:</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Mob at the Gate</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Rot at the Top</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Benevolent Community</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Triumphant Individual</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Context:</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C15777"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Economic stagnation that began in</w:t>
      </w:r>
      <w:r w:rsidR="00F85041" w:rsidRPr="008710EC">
        <w:rPr>
          <w:rFonts w:ascii="Times New Roman" w:hAnsi="Times New Roman" w:cs="Times New Roman"/>
          <w:sz w:val="24"/>
          <w:szCs w:val="24"/>
        </w:rPr>
        <w:t xml:space="preserve"> the late 1970s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Loss of global competitiveness</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4B5AB0" w:rsidRPr="008710EC" w:rsidRDefault="004B5AB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Did not seem to establish a social context for their argument.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Numbers:</w:t>
      </w:r>
    </w:p>
    <w:p w:rsidR="00627DBC" w:rsidRPr="008710EC" w:rsidRDefault="00627DBC"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The facts seemed to fit the frame</w:t>
      </w:r>
      <w:r w:rsidR="002222A8" w:rsidRPr="008710EC">
        <w:rPr>
          <w:rFonts w:ascii="Times New Roman" w:hAnsi="Times New Roman" w:cs="Times New Roman"/>
          <w:sz w:val="24"/>
          <w:szCs w:val="24"/>
        </w:rPr>
        <w:t xml:space="preserve"> of proponents</w:t>
      </w:r>
      <w:r w:rsidRPr="008710EC">
        <w:rPr>
          <w:rFonts w:ascii="Times New Roman" w:hAnsi="Times New Roman" w:cs="Times New Roman"/>
          <w:sz w:val="24"/>
          <w:szCs w:val="24"/>
        </w:rPr>
        <w:t>.</w:t>
      </w:r>
    </w:p>
    <w:p w:rsidR="00627DBC"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Neither side seemed to discuss numbers</w:t>
      </w:r>
      <w:r w:rsidR="00627DBC" w:rsidRPr="008710EC">
        <w:rPr>
          <w:rFonts w:ascii="Times New Roman" w:hAnsi="Times New Roman" w:cs="Times New Roman"/>
          <w:sz w:val="24"/>
          <w:szCs w:val="24"/>
        </w:rPr>
        <w:t xml:space="preserve"> in a social context to provide meaning and enhance comprehension.</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Messengers:</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133D43" w:rsidRPr="008710EC" w:rsidRDefault="00133D43"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Prominent U.S. Senators </w:t>
      </w:r>
      <w:r w:rsidR="00034F40" w:rsidRPr="008710EC">
        <w:rPr>
          <w:rFonts w:ascii="Times New Roman" w:hAnsi="Times New Roman" w:cs="Times New Roman"/>
          <w:sz w:val="24"/>
          <w:szCs w:val="24"/>
        </w:rPr>
        <w:t xml:space="preserve">who supported the policy </w:t>
      </w:r>
      <w:r w:rsidRPr="008710EC">
        <w:rPr>
          <w:rFonts w:ascii="Times New Roman" w:hAnsi="Times New Roman" w:cs="Times New Roman"/>
          <w:sz w:val="24"/>
          <w:szCs w:val="24"/>
        </w:rPr>
        <w:t>seemed to be viewed as being above the fray and primarily concerned with the well-being of the nation rather than any particular interest group.</w:t>
      </w:r>
    </w:p>
    <w:p w:rsidR="00034F40" w:rsidRPr="008710EC" w:rsidRDefault="00034F4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Presidents of businesses with more than 1,000 employees who would not directly benefit from the policy advocated for it.</w:t>
      </w:r>
    </w:p>
    <w:p w:rsidR="00A07137" w:rsidRPr="008710EC" w:rsidRDefault="00A07137"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Approach (branch or root):</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Branch approach</w:t>
      </w:r>
    </w:p>
    <w:p w:rsidR="00FC09CF" w:rsidRPr="008710EC" w:rsidRDefault="00FC09CF"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Originally began as a pilot program only within the National Science Foundation.</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The policy did not radically change the process </w:t>
      </w:r>
      <w:r w:rsidR="00C15777" w:rsidRPr="008710EC">
        <w:rPr>
          <w:rFonts w:ascii="Times New Roman" w:hAnsi="Times New Roman" w:cs="Times New Roman"/>
          <w:sz w:val="24"/>
          <w:szCs w:val="24"/>
        </w:rPr>
        <w:t xml:space="preserve">and mechanisms </w:t>
      </w:r>
      <w:r w:rsidRPr="008710EC">
        <w:rPr>
          <w:rFonts w:ascii="Times New Roman" w:hAnsi="Times New Roman" w:cs="Times New Roman"/>
          <w:sz w:val="24"/>
          <w:szCs w:val="24"/>
        </w:rPr>
        <w:t>for disbursing research and development funding.</w:t>
      </w:r>
    </w:p>
    <w:sectPr w:rsidR="00484B36" w:rsidRPr="008710EC"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833C62">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833C62">
      <w:rPr>
        <w:rFonts w:ascii="Times New Roman" w:hAnsi="Times New Roman" w:cs="Times New Roman"/>
        <w:b/>
        <w:noProof/>
        <w:sz w:val="18"/>
      </w:rPr>
      <w:t>5</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2E193C">
      <w:rPr>
        <w:rFonts w:ascii="Times New Roman" w:hAnsi="Times New Roman" w:cs="Times New Roman"/>
        <w:b/>
        <w:noProof/>
        <w:sz w:val="18"/>
      </w:rPr>
      <w:t>5</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2E193C">
      <w:rPr>
        <w:rFonts w:ascii="Times New Roman" w:hAnsi="Times New Roman" w:cs="Times New Roman"/>
        <w:b/>
        <w:noProof/>
        <w:sz w:val="18"/>
      </w:rPr>
      <w:t>6</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34F40"/>
    <w:rsid w:val="000429BE"/>
    <w:rsid w:val="00092F7A"/>
    <w:rsid w:val="000E206A"/>
    <w:rsid w:val="00133D43"/>
    <w:rsid w:val="001803D4"/>
    <w:rsid w:val="00187162"/>
    <w:rsid w:val="001B4E9E"/>
    <w:rsid w:val="001C74E7"/>
    <w:rsid w:val="002222A8"/>
    <w:rsid w:val="002B6DEA"/>
    <w:rsid w:val="002E193C"/>
    <w:rsid w:val="00323F71"/>
    <w:rsid w:val="0033084E"/>
    <w:rsid w:val="003450A2"/>
    <w:rsid w:val="00386A68"/>
    <w:rsid w:val="003C0E03"/>
    <w:rsid w:val="00405E43"/>
    <w:rsid w:val="0044255C"/>
    <w:rsid w:val="00445692"/>
    <w:rsid w:val="0048274F"/>
    <w:rsid w:val="00482BC4"/>
    <w:rsid w:val="00484B36"/>
    <w:rsid w:val="004875C9"/>
    <w:rsid w:val="004A4E08"/>
    <w:rsid w:val="004B5AB0"/>
    <w:rsid w:val="004F7357"/>
    <w:rsid w:val="00503BC1"/>
    <w:rsid w:val="00564A1E"/>
    <w:rsid w:val="00566CCA"/>
    <w:rsid w:val="005725B5"/>
    <w:rsid w:val="00617695"/>
    <w:rsid w:val="00617AAD"/>
    <w:rsid w:val="00627DBC"/>
    <w:rsid w:val="006406C6"/>
    <w:rsid w:val="00666E08"/>
    <w:rsid w:val="00671BB4"/>
    <w:rsid w:val="00697FC5"/>
    <w:rsid w:val="006E3A21"/>
    <w:rsid w:val="0072372D"/>
    <w:rsid w:val="00735743"/>
    <w:rsid w:val="007812EE"/>
    <w:rsid w:val="0079748C"/>
    <w:rsid w:val="007A5E88"/>
    <w:rsid w:val="007E5C1F"/>
    <w:rsid w:val="00800497"/>
    <w:rsid w:val="00815296"/>
    <w:rsid w:val="0081685A"/>
    <w:rsid w:val="0083131A"/>
    <w:rsid w:val="00833C62"/>
    <w:rsid w:val="0085492A"/>
    <w:rsid w:val="008710EC"/>
    <w:rsid w:val="00882514"/>
    <w:rsid w:val="008D2CFD"/>
    <w:rsid w:val="00902BCD"/>
    <w:rsid w:val="009171BD"/>
    <w:rsid w:val="0095243B"/>
    <w:rsid w:val="009A73CC"/>
    <w:rsid w:val="009C3F0E"/>
    <w:rsid w:val="009E3D3A"/>
    <w:rsid w:val="009F535D"/>
    <w:rsid w:val="00A07137"/>
    <w:rsid w:val="00A82397"/>
    <w:rsid w:val="00AA1B7A"/>
    <w:rsid w:val="00AA710A"/>
    <w:rsid w:val="00AC5FD1"/>
    <w:rsid w:val="00AC611B"/>
    <w:rsid w:val="00AE2369"/>
    <w:rsid w:val="00B139A4"/>
    <w:rsid w:val="00B149AF"/>
    <w:rsid w:val="00B348B7"/>
    <w:rsid w:val="00B63054"/>
    <w:rsid w:val="00B804EE"/>
    <w:rsid w:val="00BB4057"/>
    <w:rsid w:val="00BC5B36"/>
    <w:rsid w:val="00BD40A5"/>
    <w:rsid w:val="00BF2D40"/>
    <w:rsid w:val="00BF4E77"/>
    <w:rsid w:val="00C125DC"/>
    <w:rsid w:val="00C15777"/>
    <w:rsid w:val="00C75898"/>
    <w:rsid w:val="00CB1810"/>
    <w:rsid w:val="00CB7E51"/>
    <w:rsid w:val="00D13706"/>
    <w:rsid w:val="00D22257"/>
    <w:rsid w:val="00D548DF"/>
    <w:rsid w:val="00D5627F"/>
    <w:rsid w:val="00D5649E"/>
    <w:rsid w:val="00DB4EA4"/>
    <w:rsid w:val="00E24DDC"/>
    <w:rsid w:val="00E37583"/>
    <w:rsid w:val="00E576E4"/>
    <w:rsid w:val="00F26D67"/>
    <w:rsid w:val="00F27A1D"/>
    <w:rsid w:val="00F32531"/>
    <w:rsid w:val="00F347D8"/>
    <w:rsid w:val="00F54F31"/>
    <w:rsid w:val="00F57425"/>
    <w:rsid w:val="00F81E44"/>
    <w:rsid w:val="00F85041"/>
    <w:rsid w:val="00F875A2"/>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93</cp:revision>
  <cp:lastPrinted>2019-02-25T18:01:00Z</cp:lastPrinted>
  <dcterms:created xsi:type="dcterms:W3CDTF">2019-02-20T21:26:00Z</dcterms:created>
  <dcterms:modified xsi:type="dcterms:W3CDTF">2019-03-02T19:48:00Z</dcterms:modified>
</cp:coreProperties>
</file>