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</w:t>
      </w:r>
      <w:r>
        <w:t>ciate problems with something they’ve experienced</w:t>
      </w:r>
      <w:r>
        <w:t xml:space="preserve">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  <w:bookmarkStart w:id="0" w:name="_GoBack"/>
      <w:bookmarkEnd w:id="0"/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sectPr w:rsidR="003013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55D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D55DD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3013F2"/>
    <w:rsid w:val="003D55DD"/>
    <w:rsid w:val="0075303E"/>
    <w:rsid w:val="007857FB"/>
    <w:rsid w:val="007C13AD"/>
    <w:rsid w:val="009D308F"/>
    <w:rsid w:val="00DB4EA4"/>
    <w:rsid w:val="00EA049B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</cp:revision>
  <dcterms:created xsi:type="dcterms:W3CDTF">2019-01-14T18:32:00Z</dcterms:created>
  <dcterms:modified xsi:type="dcterms:W3CDTF">2019-01-17T16:48:00Z</dcterms:modified>
</cp:coreProperties>
</file>