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1 </w:t>
      </w:r>
    </w:p>
    <w:p w:rsidR="00D777B3" w:rsidRPr="00D777B3" w:rsidRDefault="00D777B3" w:rsidP="002A3CCB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>The first fundamental theorem of welfare economics states: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7407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06" type="#_x0000_t75" style="width:20.25pt;height:17.25pt" o:ole="">
                  <v:imagedata r:id="rId5" o:title=""/>
                </v:shape>
                <w:control r:id="rId6" w:name="DefaultOcxName" w:shapeid="_x0000_i1106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Pareto improvements lead to increased competition.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09" type="#_x0000_t75" style="width:20.25pt;height:17.25pt" o:ole="">
                  <v:imagedata r:id="rId7" o:title=""/>
                </v:shape>
                <w:control r:id="rId8" w:name="DefaultOcxName1" w:shapeid="_x0000_i1109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Competitiv</w:t>
            </w:r>
            <w:r w:rsidR="002A3CCB">
              <w:rPr>
                <w:rFonts w:ascii="Times New Roman" w:eastAsia="Times New Roman" w:hAnsi="Times New Roman" w:cs="Times New Roman"/>
                <w:sz w:val="25"/>
                <w:szCs w:val="25"/>
              </w:rPr>
              <w:t>e markets lead to a Pareto effi</w:t>
            </w: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cient allocation.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12" type="#_x0000_t75" style="width:20.25pt;height:17.25pt" o:ole="">
                  <v:imagedata r:id="rId5" o:title=""/>
                </v:shape>
                <w:control r:id="rId9" w:name="DefaultOcxName2" w:shapeid="_x0000_i1112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No one can be made better off without someone is being made worse off.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15" type="#_x0000_t75" style="width:20.25pt;height:17.25pt" o:ole="">
                  <v:imagedata r:id="rId5" o:title=""/>
                </v:shape>
                <w:control r:id="rId10" w:name="DefaultOcxName3" w:shapeid="_x0000_i1115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Competitive markets lead to externalities and information problems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2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>The marginal rate of substitution is the slope of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3207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18" type="#_x0000_t75" style="width:20.25pt;height:17.25pt" o:ole="">
                  <v:imagedata r:id="rId5" o:title=""/>
                </v:shape>
                <w:control r:id="rId11" w:name="DefaultOcxName4" w:shapeid="_x0000_i1118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a budget line.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21" type="#_x0000_t75" style="width:20.25pt;height:17.25pt" o:ole="">
                  <v:imagedata r:id="rId5" o:title=""/>
                </v:shape>
                <w:control r:id="rId12" w:name="DefaultOcxName11" w:shapeid="_x0000_i1121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a utility possibilities curve.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24" type="#_x0000_t75" style="width:20.25pt;height:17.25pt" o:ole="">
                  <v:imagedata r:id="rId7" o:title=""/>
                </v:shape>
                <w:control r:id="rId13" w:name="DefaultOcxName21" w:shapeid="_x0000_i1124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an indifference curve.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27" type="#_x0000_t75" style="width:20.25pt;height:17.25pt" o:ole="">
                  <v:imagedata r:id="rId5" o:title=""/>
                </v:shape>
                <w:control r:id="rId14" w:name="DefaultOcxName31" w:shapeid="_x0000_i1127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a production possibilities curve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3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>Efficiency requires that, in equilibrium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8094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30" type="#_x0000_t75" style="width:20.25pt;height:17.25pt" o:ole="">
                  <v:imagedata r:id="rId5" o:title=""/>
                </v:shape>
                <w:control r:id="rId15" w:name="DefaultOcxName5" w:shapeid="_x0000_i1130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everyone chooses to work.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33" type="#_x0000_t75" style="width:20.25pt;height:17.25pt" o:ole="">
                  <v:imagedata r:id="rId5" o:title=""/>
                </v:shape>
                <w:control r:id="rId16" w:name="DefaultOcxName12" w:shapeid="_x0000_i1133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for every person, the marginal rate of substitution between two goods equals his or her marginal ability to transform one into the other.</w:t>
            </w:r>
          </w:p>
        </w:tc>
      </w:tr>
      <w:bookmarkStart w:id="0" w:name="_GoBack"/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44" type="#_x0000_t75" style="width:20.25pt;height:17.25pt" o:ole="">
                  <v:imagedata r:id="rId7" o:title=""/>
                </v:shape>
                <w:control r:id="rId17" w:name="DefaultOcxName22" w:shapeid="_x0000_i1244"/>
              </w:object>
            </w:r>
            <w:bookmarkEnd w:id="0"/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for any two goods, the marginal rate of substitution equals the marginal rate of transformation.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42" type="#_x0000_t75" style="width:20.25pt;height:17.25pt" o:ole="">
                  <v:imagedata r:id="rId5" o:title=""/>
                </v:shape>
                <w:control r:id="rId18" w:name="DefaultOcxName32" w:shapeid="_x0000_i1242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markets are competitive.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4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>Which is not a basic condition for Pareto efficiency?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2387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42" type="#_x0000_t75" style="width:20.25pt;height:17.25pt" o:ole="">
                  <v:imagedata r:id="rId5" o:title=""/>
                </v:shape>
                <w:control r:id="rId19" w:name="DefaultOcxName6" w:shapeid="_x0000_i1142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Product mix efficiency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45" type="#_x0000_t75" style="width:20.25pt;height:17.25pt" o:ole="">
                  <v:imagedata r:id="rId7" o:title=""/>
                </v:shape>
                <w:control r:id="rId20" w:name="DefaultOcxName13" w:shapeid="_x0000_i1145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Government efficiency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48" type="#_x0000_t75" style="width:20.25pt;height:17.25pt" o:ole="">
                  <v:imagedata r:id="rId5" o:title=""/>
                </v:shape>
                <w:control r:id="rId21" w:name="DefaultOcxName23" w:shapeid="_x0000_i1148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Exchange efficiency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51" type="#_x0000_t75" style="width:20.25pt;height:17.25pt" o:ole="">
                  <v:imagedata r:id="rId5" o:title=""/>
                </v:shape>
                <w:control r:id="rId22" w:name="DefaultOcxName33" w:shapeid="_x0000_i1151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Production efficiency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 xml:space="preserve">Question 5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Increasing returns to scale or declining average cost cause market failure because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6198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54" type="#_x0000_t75" style="width:20.25pt;height:17.25pt" o:ole="">
                  <v:imagedata r:id="rId5" o:title=""/>
                </v:shape>
                <w:control r:id="rId23" w:name="DefaultOcxName7" w:shapeid="_x0000_i1154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one firm makes infinite profit.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57" type="#_x0000_t75" style="width:20.25pt;height:17.25pt" o:ole="">
                  <v:imagedata r:id="rId5" o:title=""/>
                </v:shape>
                <w:control r:id="rId24" w:name="DefaultOcxName14" w:shapeid="_x0000_i1157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there is no such thing as a big enough firm.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60" type="#_x0000_t75" style="width:20.25pt;height:17.25pt" o:ole="">
                  <v:imagedata r:id="rId7" o:title=""/>
                </v:shape>
                <w:control r:id="rId25" w:name="DefaultOcxName24" w:shapeid="_x0000_i1160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there is a tendency for such markets to become monopolized.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63" type="#_x0000_t75" style="width:20.25pt;height:17.25pt" o:ole="">
                  <v:imagedata r:id="rId5" o:title=""/>
                </v:shape>
                <w:control r:id="rId26" w:name="DefaultOcxName34" w:shapeid="_x0000_i1163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marginal rates of transformation tend toward zero.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6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Which is not necessarily true of a public good?  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6144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66" type="#_x0000_t75" style="width:20.25pt;height:17.25pt" o:ole="">
                  <v:imagedata r:id="rId5" o:title=""/>
                </v:shape>
                <w:control r:id="rId27" w:name="DefaultOcxName8" w:shapeid="_x0000_i1166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It costs nothing to let an additional person consume it.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69" type="#_x0000_t75" style="width:20.25pt;height:17.25pt" o:ole="">
                  <v:imagedata r:id="rId5" o:title=""/>
                </v:shape>
                <w:control r:id="rId28" w:name="DefaultOcxName15" w:shapeid="_x0000_i1169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It costs a lot to keep an additional person from consuming it.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72" type="#_x0000_t75" style="width:20.25pt;height:17.25pt" o:ole="">
                  <v:imagedata r:id="rId7" o:title=""/>
                </v:shape>
                <w:control r:id="rId29" w:name="DefaultOcxName25" w:shapeid="_x0000_i1172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It is supplied by the public sector.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75" type="#_x0000_t75" style="width:20.25pt;height:17.25pt" o:ole="">
                  <v:imagedata r:id="rId5" o:title=""/>
                </v:shape>
                <w:control r:id="rId30" w:name="DefaultOcxName35" w:shapeid="_x0000_i1175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It can be a negative thing, that is, a “public bad.”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7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Charging a toll on a crowded bridge can  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8094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78" type="#_x0000_t75" style="width:20.25pt;height:17.25pt" o:ole="">
                  <v:imagedata r:id="rId7" o:title=""/>
                </v:shape>
                <w:control r:id="rId31" w:name="DefaultOcxName9" w:shapeid="_x0000_i1178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help to correct a negative externality.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81" type="#_x0000_t75" style="width:20.25pt;height:17.25pt" o:ole="">
                  <v:imagedata r:id="rId5" o:title=""/>
                </v:shape>
                <w:control r:id="rId32" w:name="DefaultOcxName16" w:shapeid="_x0000_i1181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be a positive externality, because people do not wait so long once there is a toll.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84" type="#_x0000_t75" style="width:20.25pt;height:17.25pt" o:ole="">
                  <v:imagedata r:id="rId5" o:title=""/>
                </v:shape>
                <w:control r:id="rId33" w:name="DefaultOcxName26" w:shapeid="_x0000_i1184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interfere with competitive efficiency.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87" type="#_x0000_t75" style="width:20.25pt;height:17.25pt" o:ole="">
                  <v:imagedata r:id="rId5" o:title=""/>
                </v:shape>
                <w:control r:id="rId34" w:name="DefaultOcxName36" w:shapeid="_x0000_i1187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be a public good, since my paying the toll does not keep you from paying the toll as well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8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Adverse selection is the phenomenon where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8094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90" type="#_x0000_t75" style="width:20.25pt;height:17.25pt" o:ole="">
                  <v:imagedata r:id="rId5" o:title=""/>
                </v:shape>
                <w:control r:id="rId35" w:name="DefaultOcxName10" w:shapeid="_x0000_i1190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people select the wrong indifference curve.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33" type="#_x0000_t75" style="width:20.25pt;height:17.25pt" o:ole="">
                  <v:imagedata r:id="rId7" o:title=""/>
                </v:shape>
                <w:control r:id="rId36" w:name="DefaultOcxName17" w:shapeid="_x0000_i1233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charging a higher insurance premium to cover the costs of risk actually leads to the situation in which only the most risky buy the insurance, and this causes that market to fail.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31" type="#_x0000_t75" style="width:20.25pt;height:17.25pt" o:ole="">
                  <v:imagedata r:id="rId5" o:title=""/>
                </v:shape>
                <w:control r:id="rId37" w:name="DefaultOcxName27" w:shapeid="_x0000_i1231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information is withheld from the government so it cannot make the necessary selection of the correct amount of public good to produce.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object w:dxaOrig="225" w:dyaOrig="225">
                <v:shape id="_x0000_i1199" type="#_x0000_t75" style="width:20.25pt;height:17.25pt" o:ole="">
                  <v:imagedata r:id="rId5" o:title=""/>
                </v:shape>
                <w:control r:id="rId38" w:name="DefaultOcxName37" w:shapeid="_x0000_i1199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it is not possible to have a Pareto improvement, no matter how the government selects the initial distribution of income.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9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A strictly positive approach to economic analysis would  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6857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02" type="#_x0000_t75" style="width:20.25pt;height:17.25pt" o:ole="">
                  <v:imagedata r:id="rId7" o:title=""/>
                </v:shape>
                <w:control r:id="rId39" w:name="DefaultOcxName19" w:shapeid="_x0000_i1202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describe the likely consequences of government policy.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05" type="#_x0000_t75" style="width:20.25pt;height:17.25pt" o:ole="">
                  <v:imagedata r:id="rId5" o:title=""/>
                </v:shape>
                <w:control r:id="rId40" w:name="DefaultOcxName18" w:shapeid="_x0000_i1205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accept only social welfare functions that weighed everyone equally.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08" type="#_x0000_t75" style="width:20.25pt;height:17.25pt" o:ole="">
                  <v:imagedata r:id="rId5" o:title=""/>
                </v:shape>
                <w:control r:id="rId41" w:name="DefaultOcxName28" w:shapeid="_x0000_i1208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fail to capture the effects of providing merit goods.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11" type="#_x0000_t75" style="width:20.25pt;height:17.25pt" o:ole="">
                  <v:imagedata r:id="rId5" o:title=""/>
                </v:shape>
                <w:control r:id="rId42" w:name="DefaultOcxName38" w:shapeid="_x0000_i1211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overlook negative externalities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10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Examples of government intervention to correct the imperfect information market failure do not include   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5651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14" type="#_x0000_t75" style="width:20.25pt;height:17.25pt" o:ole="">
                  <v:imagedata r:id="rId5" o:title=""/>
                </v:shape>
                <w:control r:id="rId43" w:name="DefaultOcxName20" w:shapeid="_x0000_i1214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requiring disclosure of information about food labeling.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17" type="#_x0000_t75" style="width:20.25pt;height:17.25pt" o:ole="">
                  <v:imagedata r:id="rId5" o:title=""/>
                </v:shape>
                <w:control r:id="rId44" w:name="DefaultOcxName110" w:shapeid="_x0000_i1217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providing information about weather.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20" type="#_x0000_t75" style="width:20.25pt;height:17.25pt" o:ole="">
                  <v:imagedata r:id="rId7" o:title=""/>
                </v:shape>
                <w:control r:id="rId45" w:name="DefaultOcxName29" w:shapeid="_x0000_i1220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revealing demand curves in competitive markets.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23" type="#_x0000_t75" style="width:20.25pt;height:17.25pt" o:ole="">
                  <v:imagedata r:id="rId5" o:title=""/>
                </v:shape>
                <w:control r:id="rId46" w:name="DefaultOcxName39" w:shapeid="_x0000_i1223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financing research and development.</w:t>
            </w:r>
          </w:p>
        </w:tc>
      </w:tr>
    </w:tbl>
    <w:p w:rsidR="00013391" w:rsidRDefault="00F908A4"/>
    <w:sectPr w:rsidR="000133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54A02"/>
    <w:multiLevelType w:val="multilevel"/>
    <w:tmpl w:val="06CAD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D60DBB"/>
    <w:multiLevelType w:val="multilevel"/>
    <w:tmpl w:val="024ED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C1683"/>
    <w:multiLevelType w:val="multilevel"/>
    <w:tmpl w:val="8F4A9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223F66"/>
    <w:multiLevelType w:val="multilevel"/>
    <w:tmpl w:val="CEFAC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DC6365"/>
    <w:multiLevelType w:val="multilevel"/>
    <w:tmpl w:val="EB68B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754CC6"/>
    <w:multiLevelType w:val="multilevel"/>
    <w:tmpl w:val="F55EA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D63185"/>
    <w:multiLevelType w:val="multilevel"/>
    <w:tmpl w:val="FAEA9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642BF8"/>
    <w:multiLevelType w:val="multilevel"/>
    <w:tmpl w:val="EB302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4443A0"/>
    <w:multiLevelType w:val="multilevel"/>
    <w:tmpl w:val="49327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9A6AA5"/>
    <w:multiLevelType w:val="multilevel"/>
    <w:tmpl w:val="366AD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9"/>
  </w:num>
  <w:num w:numId="5">
    <w:abstractNumId w:val="1"/>
  </w:num>
  <w:num w:numId="6">
    <w:abstractNumId w:val="6"/>
  </w:num>
  <w:num w:numId="7">
    <w:abstractNumId w:val="3"/>
  </w:num>
  <w:num w:numId="8">
    <w:abstractNumId w:val="5"/>
  </w:num>
  <w:num w:numId="9">
    <w:abstractNumId w:val="8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77B3"/>
    <w:rsid w:val="00283C8F"/>
    <w:rsid w:val="002A3CCB"/>
    <w:rsid w:val="003318A1"/>
    <w:rsid w:val="003E4215"/>
    <w:rsid w:val="00575E20"/>
    <w:rsid w:val="00600A88"/>
    <w:rsid w:val="00616A8F"/>
    <w:rsid w:val="009B0E42"/>
    <w:rsid w:val="00B220A4"/>
    <w:rsid w:val="00C07856"/>
    <w:rsid w:val="00CA03F3"/>
    <w:rsid w:val="00D777B3"/>
    <w:rsid w:val="00F908A4"/>
    <w:rsid w:val="00FF5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6"/>
    <o:shapelayout v:ext="edit">
      <o:idmap v:ext="edit" data="1"/>
    </o:shapelayout>
  </w:shapeDefaults>
  <w:decimalSymbol w:val="."/>
  <w:listSeparator w:val=","/>
  <w15:chartTrackingRefBased/>
  <w15:docId w15:val="{31F2C033-73CE-4E66-9BCD-5E2A5E442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2A3CCB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2A3CCB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2A3CCB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2A3CCB"/>
    <w:rPr>
      <w:rFonts w:ascii="Arial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523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1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9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07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168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265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832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36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16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3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11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24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54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317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1378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16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7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67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8098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4026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32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061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91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6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27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140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152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19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4095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13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33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476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93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9722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647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956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4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9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564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7057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05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80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619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519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17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76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734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574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707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895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5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05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315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762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634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4043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4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2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69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696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774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404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5896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52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68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8088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196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2072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88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2.xml"/><Relationship Id="rId13" Type="http://schemas.openxmlformats.org/officeDocument/2006/relationships/control" Target="activeX/activeX7.xml"/><Relationship Id="rId18" Type="http://schemas.openxmlformats.org/officeDocument/2006/relationships/control" Target="activeX/activeX12.xml"/><Relationship Id="rId26" Type="http://schemas.openxmlformats.org/officeDocument/2006/relationships/control" Target="activeX/activeX20.xml"/><Relationship Id="rId39" Type="http://schemas.openxmlformats.org/officeDocument/2006/relationships/control" Target="activeX/activeX33.xml"/><Relationship Id="rId3" Type="http://schemas.openxmlformats.org/officeDocument/2006/relationships/settings" Target="settings.xml"/><Relationship Id="rId21" Type="http://schemas.openxmlformats.org/officeDocument/2006/relationships/control" Target="activeX/activeX15.xml"/><Relationship Id="rId34" Type="http://schemas.openxmlformats.org/officeDocument/2006/relationships/control" Target="activeX/activeX28.xml"/><Relationship Id="rId42" Type="http://schemas.openxmlformats.org/officeDocument/2006/relationships/control" Target="activeX/activeX36.xml"/><Relationship Id="rId47" Type="http://schemas.openxmlformats.org/officeDocument/2006/relationships/fontTable" Target="fontTable.xml"/><Relationship Id="rId7" Type="http://schemas.openxmlformats.org/officeDocument/2006/relationships/image" Target="media/image2.wmf"/><Relationship Id="rId12" Type="http://schemas.openxmlformats.org/officeDocument/2006/relationships/control" Target="activeX/activeX6.xml"/><Relationship Id="rId17" Type="http://schemas.openxmlformats.org/officeDocument/2006/relationships/control" Target="activeX/activeX11.xml"/><Relationship Id="rId25" Type="http://schemas.openxmlformats.org/officeDocument/2006/relationships/control" Target="activeX/activeX19.xml"/><Relationship Id="rId33" Type="http://schemas.openxmlformats.org/officeDocument/2006/relationships/control" Target="activeX/activeX27.xml"/><Relationship Id="rId38" Type="http://schemas.openxmlformats.org/officeDocument/2006/relationships/control" Target="activeX/activeX32.xml"/><Relationship Id="rId46" Type="http://schemas.openxmlformats.org/officeDocument/2006/relationships/control" Target="activeX/activeX40.xml"/><Relationship Id="rId2" Type="http://schemas.openxmlformats.org/officeDocument/2006/relationships/styles" Target="styles.xml"/><Relationship Id="rId16" Type="http://schemas.openxmlformats.org/officeDocument/2006/relationships/control" Target="activeX/activeX10.xml"/><Relationship Id="rId20" Type="http://schemas.openxmlformats.org/officeDocument/2006/relationships/control" Target="activeX/activeX14.xml"/><Relationship Id="rId29" Type="http://schemas.openxmlformats.org/officeDocument/2006/relationships/control" Target="activeX/activeX23.xml"/><Relationship Id="rId41" Type="http://schemas.openxmlformats.org/officeDocument/2006/relationships/control" Target="activeX/activeX35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control" Target="activeX/activeX5.xml"/><Relationship Id="rId24" Type="http://schemas.openxmlformats.org/officeDocument/2006/relationships/control" Target="activeX/activeX18.xml"/><Relationship Id="rId32" Type="http://schemas.openxmlformats.org/officeDocument/2006/relationships/control" Target="activeX/activeX26.xml"/><Relationship Id="rId37" Type="http://schemas.openxmlformats.org/officeDocument/2006/relationships/control" Target="activeX/activeX31.xml"/><Relationship Id="rId40" Type="http://schemas.openxmlformats.org/officeDocument/2006/relationships/control" Target="activeX/activeX34.xml"/><Relationship Id="rId45" Type="http://schemas.openxmlformats.org/officeDocument/2006/relationships/control" Target="activeX/activeX39.xml"/><Relationship Id="rId5" Type="http://schemas.openxmlformats.org/officeDocument/2006/relationships/image" Target="media/image1.wmf"/><Relationship Id="rId15" Type="http://schemas.openxmlformats.org/officeDocument/2006/relationships/control" Target="activeX/activeX9.xml"/><Relationship Id="rId23" Type="http://schemas.openxmlformats.org/officeDocument/2006/relationships/control" Target="activeX/activeX17.xml"/><Relationship Id="rId28" Type="http://schemas.openxmlformats.org/officeDocument/2006/relationships/control" Target="activeX/activeX22.xml"/><Relationship Id="rId36" Type="http://schemas.openxmlformats.org/officeDocument/2006/relationships/control" Target="activeX/activeX30.xml"/><Relationship Id="rId10" Type="http://schemas.openxmlformats.org/officeDocument/2006/relationships/control" Target="activeX/activeX4.xml"/><Relationship Id="rId19" Type="http://schemas.openxmlformats.org/officeDocument/2006/relationships/control" Target="activeX/activeX13.xml"/><Relationship Id="rId31" Type="http://schemas.openxmlformats.org/officeDocument/2006/relationships/control" Target="activeX/activeX25.xml"/><Relationship Id="rId44" Type="http://schemas.openxmlformats.org/officeDocument/2006/relationships/control" Target="activeX/activeX38.xml"/><Relationship Id="rId4" Type="http://schemas.openxmlformats.org/officeDocument/2006/relationships/webSettings" Target="webSettings.xml"/><Relationship Id="rId9" Type="http://schemas.openxmlformats.org/officeDocument/2006/relationships/control" Target="activeX/activeX3.xml"/><Relationship Id="rId14" Type="http://schemas.openxmlformats.org/officeDocument/2006/relationships/control" Target="activeX/activeX8.xml"/><Relationship Id="rId22" Type="http://schemas.openxmlformats.org/officeDocument/2006/relationships/control" Target="activeX/activeX16.xml"/><Relationship Id="rId27" Type="http://schemas.openxmlformats.org/officeDocument/2006/relationships/control" Target="activeX/activeX21.xml"/><Relationship Id="rId30" Type="http://schemas.openxmlformats.org/officeDocument/2006/relationships/control" Target="activeX/activeX24.xml"/><Relationship Id="rId35" Type="http://schemas.openxmlformats.org/officeDocument/2006/relationships/control" Target="activeX/activeX29.xml"/><Relationship Id="rId43" Type="http://schemas.openxmlformats.org/officeDocument/2006/relationships/control" Target="activeX/activeX37.xml"/><Relationship Id="rId48" Type="http://schemas.openxmlformats.org/officeDocument/2006/relationships/theme" Target="theme/theme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activeX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680</Words>
  <Characters>3881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9</cp:revision>
  <dcterms:created xsi:type="dcterms:W3CDTF">2020-02-05T16:45:00Z</dcterms:created>
  <dcterms:modified xsi:type="dcterms:W3CDTF">2020-02-05T22:59:00Z</dcterms:modified>
</cp:coreProperties>
</file>