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 </w:t>
      </w:r>
    </w:p>
    <w:p w:rsidR="00D777B3" w:rsidRPr="00D777B3" w:rsidRDefault="00D777B3" w:rsidP="002A3CCB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first fundamental theorem of welfare economics states: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74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6" type="#_x0000_t75" style="width:20.1pt;height:17.6pt" o:ole="">
                  <v:imagedata r:id="rId5" o:title=""/>
                </v:shape>
                <w:control r:id="rId6" w:name="DefaultOcxName" w:shapeid="_x0000_i110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Pareto improvements lead to increased competition.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09" type="#_x0000_t75" style="width:20.1pt;height:17.6pt" o:ole="">
                  <v:imagedata r:id="rId7" o:title=""/>
                </v:shape>
                <w:control r:id="rId8" w:name="DefaultOcxName1" w:shapeid="_x0000_i110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</w:t>
            </w:r>
            <w:r w:rsidR="002A3CCB">
              <w:rPr>
                <w:rFonts w:ascii="Times New Roman" w:eastAsia="Times New Roman" w:hAnsi="Times New Roman" w:cs="Times New Roman"/>
                <w:sz w:val="25"/>
                <w:szCs w:val="25"/>
              </w:rPr>
              <w:t>e markets lead to a Pareto effi</w:t>
            </w: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cient allocation.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2" type="#_x0000_t75" style="width:20.1pt;height:17.6pt" o:ole="">
                  <v:imagedata r:id="rId5" o:title=""/>
                </v:shape>
                <w:control r:id="rId9" w:name="DefaultOcxName2" w:shapeid="_x0000_i111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No one can be made better off without someone is being made worse off.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5" type="#_x0000_t75" style="width:20.1pt;height:17.6pt" o:ole="">
                  <v:imagedata r:id="rId5" o:title=""/>
                </v:shape>
                <w:control r:id="rId10" w:name="DefaultOcxName3" w:shapeid="_x0000_i111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Competitive markets lead to externalities and information problems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2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marginal rate of substitution is the slope of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32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8" type="#_x0000_t75" style="width:20.1pt;height:17.6pt" o:ole="">
                  <v:imagedata r:id="rId5" o:title=""/>
                </v:shape>
                <w:control r:id="rId11" w:name="DefaultOcxName4" w:shapeid="_x0000_i111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budget line.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1" type="#_x0000_t75" style="width:20.1pt;height:17.6pt" o:ole="">
                  <v:imagedata r:id="rId5" o:title=""/>
                </v:shape>
                <w:control r:id="rId12" w:name="DefaultOcxName11" w:shapeid="_x0000_i112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utility possibilities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4" type="#_x0000_t75" style="width:20.1pt;height:17.6pt" o:ole="">
                  <v:imagedata r:id="rId7" o:title=""/>
                </v:shape>
                <w:control r:id="rId13" w:name="DefaultOcxName21" w:shapeid="_x0000_i112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an indifference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7" type="#_x0000_t75" style="width:20.1pt;height:17.6pt" o:ole="">
                  <v:imagedata r:id="rId5" o:title=""/>
                </v:shape>
                <w:control r:id="rId14" w:name="DefaultOcxName31" w:shapeid="_x0000_i112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production possibilities curve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3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Efficiency requires that, in equilibrium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0" type="#_x0000_t75" style="width:20.1pt;height:17.6pt" o:ole="">
                  <v:imagedata r:id="rId5" o:title=""/>
                </v:shape>
                <w:control r:id="rId15" w:name="DefaultOcxName5" w:shapeid="_x0000_i113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everyone chooses to work.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3" type="#_x0000_t75" style="width:20.1pt;height:17.6pt" o:ole="">
                  <v:imagedata r:id="rId5" o:title=""/>
                </v:shape>
                <w:control r:id="rId16" w:name="DefaultOcxName12" w:shapeid="_x0000_i113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every person, the marginal rate of substitution between two goods equals his or her marginal ability to transform one into the other.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6" type="#_x0000_t75" style="width:20.1pt;height:17.6pt" o:ole="">
                  <v:imagedata r:id="rId7" o:title=""/>
                </v:shape>
                <w:control r:id="rId17" w:name="DefaultOcxName22" w:shapeid="_x0000_i113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any two goods, the marginal rate of substitution equals the marginal rate of transformation.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9" type="#_x0000_t75" style="width:20.1pt;height:17.6pt" o:ole="">
                  <v:imagedata r:id="rId5" o:title=""/>
                </v:shape>
                <w:control r:id="rId18" w:name="DefaultOcxName32" w:shapeid="_x0000_i113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markets are competitive.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4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Which is not a basic condition for Pareto efficiency?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238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2" type="#_x0000_t75" style="width:20.1pt;height:17.6pt" o:ole="">
                  <v:imagedata r:id="rId5" o:title=""/>
                </v:shape>
                <w:control r:id="rId19" w:name="DefaultOcxName6" w:shapeid="_x0000_i114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 mix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5" type="#_x0000_t75" style="width:20.1pt;height:17.6pt" o:ole="">
                  <v:imagedata r:id="rId7" o:title=""/>
                </v:shape>
                <w:control r:id="rId20" w:name="DefaultOcxName13" w:shapeid="_x0000_i114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Government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8" type="#_x0000_t75" style="width:20.1pt;height:17.6pt" o:ole="">
                  <v:imagedata r:id="rId5" o:title=""/>
                </v:shape>
                <w:control r:id="rId21" w:name="DefaultOcxName23" w:shapeid="_x0000_i114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Exchange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1" type="#_x0000_t75" style="width:20.1pt;height:17.6pt" o:ole="">
                  <v:imagedata r:id="rId5" o:title=""/>
                </v:shape>
                <w:control r:id="rId22" w:name="DefaultOcxName33" w:shapeid="_x0000_i115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Production efficiency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Question 5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Increasing returns to scale or declining average cost cause market failure because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98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4" type="#_x0000_t75" style="width:20.1pt;height:17.6pt" o:ole="">
                  <v:imagedata r:id="rId5" o:title=""/>
                </v:shape>
                <w:control r:id="rId23" w:name="DefaultOcxName7" w:shapeid="_x0000_i115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one firm makes infinite profit.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7" type="#_x0000_t75" style="width:20.1pt;height:17.6pt" o:ole="">
                  <v:imagedata r:id="rId5" o:title=""/>
                </v:shape>
                <w:control r:id="rId24" w:name="DefaultOcxName14" w:shapeid="_x0000_i115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there is no such thing as a big enough firm.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0" type="#_x0000_t75" style="width:20.1pt;height:17.6pt" o:ole="">
                  <v:imagedata r:id="rId7" o:title=""/>
                </v:shape>
                <w:control r:id="rId25" w:name="DefaultOcxName24" w:shapeid="_x0000_i116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there is a tendency for such markets to become monopolized.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3" type="#_x0000_t75" style="width:20.1pt;height:17.6pt" o:ole="">
                  <v:imagedata r:id="rId5" o:title=""/>
                </v:shape>
                <w:control r:id="rId26" w:name="DefaultOcxName34" w:shapeid="_x0000_i116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marginal rates of transformation tend toward zero.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6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Which is not necessarily true of a public good?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4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6" type="#_x0000_t75" style="width:20.1pt;height:17.6pt" o:ole="">
                  <v:imagedata r:id="rId5" o:title=""/>
                </v:shape>
                <w:control r:id="rId27" w:name="DefaultOcxName8" w:shapeid="_x0000_i116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costs nothing to let an additional person consume 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9" type="#_x0000_t75" style="width:20.1pt;height:17.6pt" o:ole="">
                  <v:imagedata r:id="rId5" o:title=""/>
                </v:shape>
                <w:control r:id="rId28" w:name="DefaultOcxName15" w:shapeid="_x0000_i116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It costs a lot to keep an additional person from consuming it.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2" type="#_x0000_t75" style="width:20.1pt;height:17.6pt" o:ole="">
                  <v:imagedata r:id="rId7" o:title=""/>
                </v:shape>
                <w:control r:id="rId29" w:name="DefaultOcxName25" w:shapeid="_x0000_i117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supplied by the public sector.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5" type="#_x0000_t75" style="width:20.1pt;height:17.6pt" o:ole="">
                  <v:imagedata r:id="rId5" o:title=""/>
                </v:shape>
                <w:control r:id="rId30" w:name="DefaultOcxName35" w:shapeid="_x0000_i117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can be a negative thing, that is, a “public bad.”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7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Charging a toll on a crowded bridge can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8" type="#_x0000_t75" style="width:20.1pt;height:17.6pt" o:ole="">
                  <v:imagedata r:id="rId7" o:title=""/>
                </v:shape>
                <w:control r:id="rId31" w:name="DefaultOcxName9" w:shapeid="_x0000_i117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help to correct a negative externality.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1" type="#_x0000_t75" style="width:20.1pt;height:17.6pt" o:ole="">
                  <v:imagedata r:id="rId5" o:title=""/>
                </v:shape>
                <w:control r:id="rId32" w:name="DefaultOcxName16" w:shapeid="_x0000_i118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positive externality, because people do not wait so long once there is a toll.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4" type="#_x0000_t75" style="width:20.1pt;height:17.6pt" o:ole="">
                  <v:imagedata r:id="rId5" o:title=""/>
                </v:shape>
                <w:control r:id="rId33" w:name="DefaultOcxName26" w:shapeid="_x0000_i118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interfere with competitive efficiency.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7" type="#_x0000_t75" style="width:20.1pt;height:17.6pt" o:ole="">
                  <v:imagedata r:id="rId5" o:title=""/>
                </v:shape>
                <w:control r:id="rId34" w:name="DefaultOcxName36" w:shapeid="_x0000_i118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public good, since my paying the toll does not keep you from paying the toll as well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8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Adverse selection is the phenomenon where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0" type="#_x0000_t75" style="width:20.1pt;height:17.6pt" o:ole="">
                  <v:imagedata r:id="rId5" o:title=""/>
                </v:shape>
                <w:control r:id="rId35" w:name="DefaultOcxName10" w:shapeid="_x0000_i119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people select the wrong indifference curve.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3" type="#_x0000_t75" style="width:20.1pt;height:17.6pt" o:ole="">
                  <v:imagedata r:id="rId7" o:title=""/>
                </v:shape>
                <w:control r:id="rId36" w:name="DefaultOcxName17" w:shapeid="_x0000_i119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charging a higher insurance premium to cover the costs of risk actually leads to the situation in which only the </w:t>
            </w:r>
            <w:proofErr w:type="gramStart"/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most risky</w:t>
            </w:r>
            <w:proofErr w:type="gramEnd"/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 buy the insurance, and this causes that market to fail.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6" type="#_x0000_t75" style="width:20.1pt;height:17.6pt" o:ole="">
                  <v:imagedata r:id="rId5" o:title=""/>
                </v:shape>
                <w:control r:id="rId37" w:name="DefaultOcxName27" w:shapeid="_x0000_i119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information is withheld from the government so it cannot make the necessary selection of the correct amount of public good to produce.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object w:dxaOrig="225" w:dyaOrig="225">
                <v:shape id="_x0000_i1199" type="#_x0000_t75" style="width:20.1pt;height:17.6pt" o:ole="">
                  <v:imagedata r:id="rId5" o:title=""/>
                </v:shape>
                <w:control r:id="rId38" w:name="DefaultOcxName37" w:shapeid="_x0000_i119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not possible to have a Pareto improvement, no matter how the government selects the initial distribution of income.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9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 strictly positive approach to economic analysis would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85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2" type="#_x0000_t75" style="width:20.1pt;height:17.6pt" o:ole="">
                  <v:imagedata r:id="rId7" o:title=""/>
                </v:shape>
                <w:control r:id="rId39" w:name="DefaultOcxName19" w:shapeid="_x0000_i120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describe the likely consequences of government policy.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5" type="#_x0000_t75" style="width:20.1pt;height:17.6pt" o:ole="">
                  <v:imagedata r:id="rId5" o:title=""/>
                </v:shape>
                <w:control r:id="rId40" w:name="DefaultOcxName18" w:shapeid="_x0000_i120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accept only social welfare functions that weighed everyone equally.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8" type="#_x0000_t75" style="width:20.1pt;height:17.6pt" o:ole="">
                  <v:imagedata r:id="rId5" o:title=""/>
                </v:shape>
                <w:control r:id="rId41" w:name="DefaultOcxName28" w:shapeid="_x0000_i120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fail to capture the effects of providing merit goods.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1" type="#_x0000_t75" style="width:20.1pt;height:17.6pt" o:ole="">
                  <v:imagedata r:id="rId5" o:title=""/>
                </v:shape>
                <w:control r:id="rId42" w:name="DefaultOcxName38" w:shapeid="_x0000_i121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overlook negative externalities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10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Examples of government intervention to correct the imperfect information market failure do not include 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5651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4" type="#_x0000_t75" style="width:20.1pt;height:17.6pt" o:ole="">
                  <v:imagedata r:id="rId5" o:title=""/>
                </v:shape>
                <w:control r:id="rId43" w:name="DefaultOcxName20" w:shapeid="_x0000_i121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requiring disclosure of information about food labeling.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7" type="#_x0000_t75" style="width:20.1pt;height:17.6pt" o:ole="">
                  <v:imagedata r:id="rId5" o:title=""/>
                </v:shape>
                <w:control r:id="rId44" w:name="DefaultOcxName110" w:shapeid="_x0000_i121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providing information about weather.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0" type="#_x0000_t75" style="width:20.1pt;height:17.6pt" o:ole="">
                  <v:imagedata r:id="rId7" o:title=""/>
                </v:shape>
                <w:control r:id="rId45" w:name="DefaultOcxName29" w:shapeid="_x0000_i122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revealing demand curves in competitive markets.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3" type="#_x0000_t75" style="width:20.1pt;height:17.6pt" o:ole="">
                  <v:imagedata r:id="rId5" o:title=""/>
                </v:shape>
                <w:control r:id="rId46" w:name="DefaultOcxName39" w:shapeid="_x0000_i122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financing research and development.</w:t>
            </w:r>
          </w:p>
        </w:tc>
      </w:tr>
    </w:tbl>
    <w:p w:rsidR="00013391" w:rsidRDefault="00636EFF"/>
    <w:sectPr w:rsidR="000133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54A02"/>
    <w:multiLevelType w:val="multilevel"/>
    <w:tmpl w:val="06CAD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60DBB"/>
    <w:multiLevelType w:val="multilevel"/>
    <w:tmpl w:val="024ED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C1683"/>
    <w:multiLevelType w:val="multilevel"/>
    <w:tmpl w:val="8F4A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223F66"/>
    <w:multiLevelType w:val="multilevel"/>
    <w:tmpl w:val="CEFA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C6365"/>
    <w:multiLevelType w:val="multilevel"/>
    <w:tmpl w:val="EB68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54CC6"/>
    <w:multiLevelType w:val="multilevel"/>
    <w:tmpl w:val="F55EA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63185"/>
    <w:multiLevelType w:val="multilevel"/>
    <w:tmpl w:val="FAEA9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642BF8"/>
    <w:multiLevelType w:val="multilevel"/>
    <w:tmpl w:val="EB302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443A0"/>
    <w:multiLevelType w:val="multilevel"/>
    <w:tmpl w:val="49327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A6AA5"/>
    <w:multiLevelType w:val="multilevel"/>
    <w:tmpl w:val="366A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9"/>
  </w:num>
  <w:num w:numId="5">
    <w:abstractNumId w:val="1"/>
  </w:num>
  <w:num w:numId="6">
    <w:abstractNumId w:val="6"/>
  </w:num>
  <w:num w:numId="7">
    <w:abstractNumId w:val="3"/>
  </w:num>
  <w:num w:numId="8">
    <w:abstractNumId w:val="5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7B3"/>
    <w:rsid w:val="00283C8F"/>
    <w:rsid w:val="002A3CCB"/>
    <w:rsid w:val="003318A1"/>
    <w:rsid w:val="003E4215"/>
    <w:rsid w:val="00575E20"/>
    <w:rsid w:val="00600A88"/>
    <w:rsid w:val="00616A8F"/>
    <w:rsid w:val="00636EFF"/>
    <w:rsid w:val="008B57DF"/>
    <w:rsid w:val="009B0E42"/>
    <w:rsid w:val="00B220A4"/>
    <w:rsid w:val="00C07856"/>
    <w:rsid w:val="00CA03F3"/>
    <w:rsid w:val="00D777B3"/>
    <w:rsid w:val="00F908A4"/>
    <w:rsid w:val="00FF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6"/>
    <o:shapelayout v:ext="edit">
      <o:idmap v:ext="edit" data="1"/>
    </o:shapelayout>
  </w:shapeDefaults>
  <w:decimalSymbol w:val="."/>
  <w:listSeparator w:val=","/>
  <w15:chartTrackingRefBased/>
  <w15:docId w15:val="{31F2C033-73CE-4E66-9BCD-5E2A5E442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A3CCB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A3CCB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A3CCB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A3CCB"/>
    <w:rPr>
      <w:rFonts w:ascii="Arial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2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68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6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3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6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1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4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17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37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09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02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2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6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40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09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1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7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3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72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4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5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56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05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05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80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1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51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7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4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7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07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9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5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05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1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62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3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04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2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69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6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77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04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89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5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68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808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19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07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88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26" Type="http://schemas.openxmlformats.org/officeDocument/2006/relationships/control" Target="activeX/activeX20.xml"/><Relationship Id="rId39" Type="http://schemas.openxmlformats.org/officeDocument/2006/relationships/control" Target="activeX/activeX33.xml"/><Relationship Id="rId3" Type="http://schemas.openxmlformats.org/officeDocument/2006/relationships/settings" Target="settings.xml"/><Relationship Id="rId21" Type="http://schemas.openxmlformats.org/officeDocument/2006/relationships/control" Target="activeX/activeX15.xml"/><Relationship Id="rId34" Type="http://schemas.openxmlformats.org/officeDocument/2006/relationships/control" Target="activeX/activeX28.xml"/><Relationship Id="rId42" Type="http://schemas.openxmlformats.org/officeDocument/2006/relationships/control" Target="activeX/activeX36.xml"/><Relationship Id="rId47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control" Target="activeX/activeX6.xml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2" Type="http://schemas.openxmlformats.org/officeDocument/2006/relationships/styles" Target="styles.xml"/><Relationship Id="rId16" Type="http://schemas.openxmlformats.org/officeDocument/2006/relationships/control" Target="activeX/activeX10.xml"/><Relationship Id="rId20" Type="http://schemas.openxmlformats.org/officeDocument/2006/relationships/control" Target="activeX/activeX14.xml"/><Relationship Id="rId29" Type="http://schemas.openxmlformats.org/officeDocument/2006/relationships/control" Target="activeX/activeX23.xml"/><Relationship Id="rId41" Type="http://schemas.openxmlformats.org/officeDocument/2006/relationships/control" Target="activeX/activeX3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5.xml"/><Relationship Id="rId24" Type="http://schemas.openxmlformats.org/officeDocument/2006/relationships/control" Target="activeX/activeX18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5" Type="http://schemas.openxmlformats.org/officeDocument/2006/relationships/image" Target="media/image1.wmf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10" Type="http://schemas.openxmlformats.org/officeDocument/2006/relationships/control" Target="activeX/activeX4.xml"/><Relationship Id="rId19" Type="http://schemas.openxmlformats.org/officeDocument/2006/relationships/control" Target="activeX/activeX13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8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43" Type="http://schemas.openxmlformats.org/officeDocument/2006/relationships/control" Target="activeX/activeX37.xml"/><Relationship Id="rId48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11</cp:revision>
  <dcterms:created xsi:type="dcterms:W3CDTF">2020-02-05T16:45:00Z</dcterms:created>
  <dcterms:modified xsi:type="dcterms:W3CDTF">2020-03-24T20:14:00Z</dcterms:modified>
</cp:coreProperties>
</file>