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3391" w:rsidRDefault="00282889" w:rsidP="00282889">
      <w:pPr>
        <w:spacing w:line="360" w:lineRule="auto"/>
      </w:pPr>
      <w:r>
        <w:t>To: File</w:t>
      </w:r>
    </w:p>
    <w:p w:rsidR="00282889" w:rsidRDefault="00282889" w:rsidP="00282889">
      <w:pPr>
        <w:spacing w:line="360" w:lineRule="auto"/>
      </w:pPr>
      <w:r>
        <w:t>From: Malcolm Townes, Student, POLS 6330 Public Finance Theory, Saint Louis University</w:t>
      </w:r>
    </w:p>
    <w:p w:rsidR="00282889" w:rsidRDefault="00282889" w:rsidP="00282889">
      <w:pPr>
        <w:spacing w:line="360" w:lineRule="auto"/>
      </w:pPr>
      <w:r>
        <w:t>Date: May 1, 2020</w:t>
      </w:r>
    </w:p>
    <w:p w:rsidR="00282889" w:rsidRDefault="00282889" w:rsidP="00282889">
      <w:pPr>
        <w:spacing w:line="360" w:lineRule="auto"/>
      </w:pPr>
      <w:r>
        <w:t>Re: Final Examination Responses</w:t>
      </w:r>
    </w:p>
    <w:p w:rsidR="00282889" w:rsidRDefault="00282889" w:rsidP="00282889">
      <w:pPr>
        <w:pBdr>
          <w:bottom w:val="single" w:sz="4" w:space="1" w:color="auto"/>
        </w:pBdr>
      </w:pPr>
      <w:bookmarkStart w:id="0" w:name="_GoBack"/>
      <w:bookmarkEnd w:id="0"/>
    </w:p>
    <w:p w:rsidR="00282889" w:rsidRDefault="00282889"/>
    <w:p w:rsidR="007D31FF" w:rsidRDefault="00A53179" w:rsidP="002463D5">
      <w:pPr>
        <w:pStyle w:val="ListParagraph"/>
        <w:numPr>
          <w:ilvl w:val="0"/>
          <w:numId w:val="1"/>
        </w:numPr>
      </w:pPr>
      <w:r>
        <w:t>Explain how actual design features have an important effect on the consequences of government programs by using the example of the Paycheck Protection Program (PPP), recently passed by Congress to counter the effects of the pandemic on the economy. To help you answer this question, read the Forbes article on the following link:</w:t>
      </w:r>
      <w:r>
        <w:br/>
      </w:r>
      <w:hyperlink r:id="rId5" w:tgtFrame="_blank" w:history="1">
        <w:r w:rsidRPr="00A53179">
          <w:rPr>
            <w:rStyle w:val="Hyperlink"/>
          </w:rPr>
          <w:t>Paycheck Protection Program, Round 2 Can Your Business Receive Any Of This Money?.html</w:t>
        </w:r>
      </w:hyperlink>
      <w:r w:rsidRPr="00A53179">
        <w:t> </w:t>
      </w:r>
      <w:r w:rsidR="007D31FF">
        <w:br/>
      </w:r>
      <w:r w:rsidR="007D31FF">
        <w:br/>
      </w:r>
      <w:r w:rsidR="004229D8">
        <w:t>Response:</w:t>
      </w:r>
    </w:p>
    <w:p w:rsidR="004229D8" w:rsidRDefault="00C23EF4" w:rsidP="004229D8">
      <w:pPr>
        <w:pStyle w:val="ListParagraph"/>
      </w:pPr>
      <w:r>
        <w:t xml:space="preserve">Hare (2020) </w:t>
      </w:r>
      <w:r w:rsidR="002B13AC">
        <w:t xml:space="preserve">demonstrates </w:t>
      </w:r>
      <w:r>
        <w:t>the import role of design features in the implementation of government programs to achieve intended outcomes.</w:t>
      </w:r>
      <w:r w:rsidR="002B13AC">
        <w:t xml:space="preserve">  As Stiglitz and </w:t>
      </w:r>
      <w:proofErr w:type="spellStart"/>
      <w:r w:rsidR="002B13AC">
        <w:t>Rosengard</w:t>
      </w:r>
      <w:proofErr w:type="spellEnd"/>
      <w:r w:rsidR="002B13AC">
        <w:t xml:space="preserve"> (2015) explain, there are three primary challenges associated with policy design features.  These include clarity of principles, errors regarding eligibility, and behavioral changes.  The problems encountered with implementing the Paycheck Protection Program (PPP) described by Hare seem to exemplify all three challenges.</w:t>
      </w:r>
    </w:p>
    <w:p w:rsidR="002B13AC" w:rsidRDefault="002B13AC" w:rsidP="004229D8">
      <w:pPr>
        <w:pStyle w:val="ListParagraph"/>
      </w:pPr>
    </w:p>
    <w:p w:rsidR="002B13AC" w:rsidRDefault="002B13AC" w:rsidP="004229D8">
      <w:pPr>
        <w:pStyle w:val="ListParagraph"/>
      </w:pPr>
      <w:r>
        <w:t xml:space="preserve">Clarity of principles is a challenge because concepts that seem clear in principle may be difficult in practice.  As Hare describes, the intent of the PPP was to help small businesses keep their employees on the payroll.  But what exactly is a “small business”.  The government’s definition of small business does not necessarily align with the general concept of a small business held by the public.  </w:t>
      </w:r>
    </w:p>
    <w:p w:rsidR="00C17DAF" w:rsidRDefault="00C17DAF" w:rsidP="004229D8">
      <w:pPr>
        <w:pStyle w:val="ListParagraph"/>
      </w:pPr>
    </w:p>
    <w:p w:rsidR="007D31FF" w:rsidRDefault="00C17DAF" w:rsidP="007D31FF">
      <w:pPr>
        <w:pStyle w:val="ListParagraph"/>
      </w:pPr>
      <w:r>
        <w:t xml:space="preserve">Errors of eligibility are perhaps more directly felt by those impacted by a given legislation.  As Stiglitz and </w:t>
      </w:r>
      <w:proofErr w:type="spellStart"/>
      <w:r>
        <w:t>Rosengard</w:t>
      </w:r>
      <w:proofErr w:type="spellEnd"/>
      <w:r>
        <w:t xml:space="preserve"> (2015) explained, these errors manifest as either denying assistance to those who need it or </w:t>
      </w:r>
      <w:proofErr w:type="gramStart"/>
      <w:r>
        <w:t>pr</w:t>
      </w:r>
      <w:r w:rsidR="00671DB5">
        <w:t>oviding assistance to</w:t>
      </w:r>
      <w:proofErr w:type="gramEnd"/>
      <w:r w:rsidR="00671DB5">
        <w:t xml:space="preserve"> those who</w:t>
      </w:r>
      <w:r>
        <w:t xml:space="preserve"> do not need it.  As described by Hare (2020) both errors were present in the implementation of the Paycheck Protection Program.  Small businesses such as neighborhood barbershops, local restaurants, and private manufacturing firms were denied the assistance they needed because of the way the PPP was designed.  However, large publicly traded companies such as Shake Shack and Ruth’s Chris Steakhouse received assistance despite the fact they likely had assets and access to other financial resources.</w:t>
      </w:r>
    </w:p>
    <w:p w:rsidR="00C17DAF" w:rsidRDefault="00C17DAF" w:rsidP="007D31FF">
      <w:pPr>
        <w:pStyle w:val="ListParagraph"/>
      </w:pPr>
    </w:p>
    <w:p w:rsidR="00C17DAF" w:rsidRDefault="00C17DAF" w:rsidP="007D31FF">
      <w:pPr>
        <w:pStyle w:val="ListParagraph"/>
      </w:pPr>
      <w:r>
        <w:t xml:space="preserve">Finally, based on the account given by Hare (2020) it appears that business owners and managers altered their behavior in response </w:t>
      </w:r>
      <w:r w:rsidR="00326658">
        <w:t xml:space="preserve">to the legislation.  The way the PPP was designed seemed to encourage business owners and managers to horde financial resources.  Moreover, it seemed to encourage banks </w:t>
      </w:r>
      <w:r w:rsidR="00671DB5">
        <w:t xml:space="preserve">to </w:t>
      </w:r>
      <w:r w:rsidR="00326658">
        <w:t>direct funds to their larger business clients because of compensation structures and economies of scale in distributing funds.</w:t>
      </w:r>
    </w:p>
    <w:p w:rsidR="00C17DAF" w:rsidRDefault="00C17DAF" w:rsidP="007D31FF">
      <w:pPr>
        <w:pStyle w:val="ListParagraph"/>
      </w:pPr>
    </w:p>
    <w:p w:rsidR="004229D8" w:rsidRDefault="004229D8" w:rsidP="007D31FF">
      <w:pPr>
        <w:pStyle w:val="ListParagraph"/>
      </w:pPr>
      <w:r>
        <w:t>References:</w:t>
      </w:r>
    </w:p>
    <w:p w:rsidR="004229D8" w:rsidRDefault="004229D8" w:rsidP="007D31FF">
      <w:pPr>
        <w:pStyle w:val="ListParagraph"/>
      </w:pPr>
      <w:r>
        <w:t xml:space="preserve">Hare, N. (2020). Paycheck Protection Program, round 2: Can your business receive any of this </w:t>
      </w:r>
      <w:proofErr w:type="gramStart"/>
      <w:r>
        <w:t>money?.</w:t>
      </w:r>
      <w:proofErr w:type="gramEnd"/>
      <w:r>
        <w:t xml:space="preserve"> </w:t>
      </w:r>
      <w:r w:rsidRPr="00C23EF4">
        <w:rPr>
          <w:i/>
        </w:rPr>
        <w:t>Forbes</w:t>
      </w:r>
      <w:r>
        <w:t xml:space="preserve">. Retrieved May 1, 2020 from </w:t>
      </w:r>
      <w:r w:rsidR="00240DC2">
        <w:lastRenderedPageBreak/>
        <w:t>h</w:t>
      </w:r>
      <w:r w:rsidR="00240DC2" w:rsidRPr="00240DC2">
        <w:t>ttps://www.forbes.com/sites/allbusiness/2020/04/25/paycheck-protection-program-can-your-business-receive-this-money/#4a192622ce28</w:t>
      </w:r>
    </w:p>
    <w:p w:rsidR="00C23EF4" w:rsidRDefault="00C23EF4" w:rsidP="007D31FF">
      <w:pPr>
        <w:pStyle w:val="ListParagraph"/>
      </w:pPr>
    </w:p>
    <w:p w:rsidR="00C23EF4" w:rsidRDefault="00C23EF4" w:rsidP="007D31FF">
      <w:pPr>
        <w:pStyle w:val="ListParagraph"/>
      </w:pPr>
      <w:r>
        <w:t>Stiglitz, J. E.</w:t>
      </w:r>
      <w:proofErr w:type="gramStart"/>
      <w:r>
        <w:t>,  &amp;</w:t>
      </w:r>
      <w:proofErr w:type="gramEnd"/>
      <w:r>
        <w:t xml:space="preserve"> </w:t>
      </w:r>
      <w:proofErr w:type="spellStart"/>
      <w:r>
        <w:t>Rosengard</w:t>
      </w:r>
      <w:proofErr w:type="spellEnd"/>
      <w:r>
        <w:t xml:space="preserve">, J. K. (2015). </w:t>
      </w:r>
      <w:r w:rsidRPr="00C23EF4">
        <w:rPr>
          <w:i/>
        </w:rPr>
        <w:t>Economics of the public sector</w:t>
      </w:r>
      <w:r>
        <w:t xml:space="preserve"> (4th ed.). New York, NY: W. W. Norton &amp; Company. </w:t>
      </w:r>
    </w:p>
    <w:p w:rsidR="004229D8" w:rsidRDefault="004229D8" w:rsidP="007D31FF">
      <w:pPr>
        <w:pStyle w:val="ListParagraph"/>
      </w:pPr>
    </w:p>
    <w:p w:rsidR="00A53179" w:rsidRDefault="00A53179" w:rsidP="00A53179">
      <w:pPr>
        <w:pStyle w:val="ListParagraph"/>
        <w:numPr>
          <w:ilvl w:val="0"/>
          <w:numId w:val="1"/>
        </w:numPr>
      </w:pPr>
      <w:r w:rsidRPr="00A53179">
        <w:t xml:space="preserve">An important issue in the St. Louis area (also the country </w:t>
      </w:r>
      <w:proofErr w:type="gramStart"/>
      <w:r w:rsidRPr="00A53179">
        <w:t>as a whole but</w:t>
      </w:r>
      <w:proofErr w:type="gramEnd"/>
      <w:r w:rsidRPr="00A53179">
        <w:t>, in particular, this area) is environmental justice. Explain how public cost-benefit analysis can be used to address issues of environmental justice in the region. What types of techniques could be incorporated to ensure distributional consequences are addressed in the analysis?</w:t>
      </w:r>
    </w:p>
    <w:p w:rsidR="007D31FF" w:rsidRDefault="007D31FF" w:rsidP="007D31FF">
      <w:pPr>
        <w:pStyle w:val="ListParagraph"/>
      </w:pPr>
    </w:p>
    <w:p w:rsidR="00E56349" w:rsidRDefault="00E56349" w:rsidP="007D31FF">
      <w:pPr>
        <w:pStyle w:val="ListParagraph"/>
      </w:pPr>
      <w:r>
        <w:t>Response:</w:t>
      </w:r>
    </w:p>
    <w:p w:rsidR="00CB5D90" w:rsidRDefault="00CB5D90" w:rsidP="007D31FF">
      <w:pPr>
        <w:pStyle w:val="ListParagraph"/>
      </w:pPr>
      <w:r>
        <w:t>Environmental justice is an important issue in American society, including the St. Louis, Missouri area.  As defined by the United States Environm</w:t>
      </w:r>
      <w:r w:rsidR="00C53057">
        <w:t>ental Protection Agency (2020</w:t>
      </w:r>
      <w:r>
        <w:t xml:space="preserve">), environmental justice is the fair treatment and meaningful involvement of all </w:t>
      </w:r>
      <w:r w:rsidR="003A53CF">
        <w:t xml:space="preserve">affected </w:t>
      </w:r>
      <w:r>
        <w:t>people</w:t>
      </w:r>
      <w:r w:rsidR="001E59B8">
        <w:t xml:space="preserve"> in the development, implementation, and enforcement of environmental laws, regulation, and policies.</w:t>
      </w:r>
      <w:r w:rsidR="00C53057">
        <w:t xml:space="preserve"> Public cost-benefit analysis (CBA) can be used to address issues of environmental justice.</w:t>
      </w:r>
    </w:p>
    <w:p w:rsidR="00C53057" w:rsidRDefault="00C53057" w:rsidP="007D31FF">
      <w:pPr>
        <w:pStyle w:val="ListParagraph"/>
      </w:pPr>
    </w:p>
    <w:p w:rsidR="006E3130" w:rsidRDefault="00C53057" w:rsidP="007D31FF">
      <w:pPr>
        <w:pStyle w:val="ListParagraph"/>
      </w:pPr>
      <w:r>
        <w:t xml:space="preserve">As Stiglitz and </w:t>
      </w:r>
      <w:proofErr w:type="spellStart"/>
      <w:r>
        <w:t>Rosengard</w:t>
      </w:r>
      <w:proofErr w:type="spellEnd"/>
      <w:r>
        <w:t xml:space="preserve"> (2015) explain, CBA is an approach to determining which projects an organization should undertake.  It essentially entails calculating the present discounted value of all relevant costs and benefits associated with a project.  Those projects in which the present discounted value of benefits is greater than the present discounted value of costs should be undertaken.  </w:t>
      </w:r>
    </w:p>
    <w:p w:rsidR="006E3130" w:rsidRDefault="006E3130" w:rsidP="007D31FF">
      <w:pPr>
        <w:pStyle w:val="ListParagraph"/>
      </w:pPr>
    </w:p>
    <w:p w:rsidR="00C53057" w:rsidRDefault="006E3130" w:rsidP="007D31FF">
      <w:pPr>
        <w:pStyle w:val="ListParagraph"/>
      </w:pPr>
      <w:r>
        <w:t>The CBA</w:t>
      </w:r>
      <w:r w:rsidR="00C53057">
        <w:t xml:space="preserve"> approach can be applied in both the private and public </w:t>
      </w:r>
      <w:r>
        <w:t xml:space="preserve">sector but, </w:t>
      </w:r>
      <w:r>
        <w:t xml:space="preserve">as described by Stiglitz and </w:t>
      </w:r>
      <w:proofErr w:type="spellStart"/>
      <w:r>
        <w:t>Rosengard</w:t>
      </w:r>
      <w:proofErr w:type="spellEnd"/>
      <w:r>
        <w:t xml:space="preserve"> (2015)</w:t>
      </w:r>
      <w:r>
        <w:t>,</w:t>
      </w:r>
      <w:r>
        <w:t xml:space="preserve"> </w:t>
      </w:r>
      <w:r>
        <w:t>there are two primary</w:t>
      </w:r>
      <w:r w:rsidR="00C53057">
        <w:t xml:space="preserve"> differences</w:t>
      </w:r>
      <w:r>
        <w:t xml:space="preserve">.  First, the only outcomes considered in private CBA are those that impact profitability.  In public CBA, a broader set of outcomes are considered beyond those that impact financial profitability.  </w:t>
      </w:r>
      <w:r w:rsidR="00C53057">
        <w:t xml:space="preserve"> </w:t>
      </w:r>
      <w:r>
        <w:t>Second, private CBA uses market prices to calculate costs and benefits.  In public CBA, market prices may not exist for some inputs and outputs relevant to the decision.  Moreover, where market prices do exist they may not reflect the true marginal social costs or benefits because of market failure</w:t>
      </w:r>
      <w:r w:rsidR="00267766">
        <w:t>s</w:t>
      </w:r>
      <w:r>
        <w:t>.</w:t>
      </w:r>
    </w:p>
    <w:p w:rsidR="00163ED3" w:rsidRDefault="00163ED3" w:rsidP="007D31FF">
      <w:pPr>
        <w:pStyle w:val="ListParagraph"/>
      </w:pPr>
    </w:p>
    <w:p w:rsidR="00163ED3" w:rsidRDefault="00163ED3" w:rsidP="007D31FF">
      <w:pPr>
        <w:pStyle w:val="ListParagraph"/>
      </w:pPr>
      <w:r>
        <w:t>N</w:t>
      </w:r>
      <w:r>
        <w:t xml:space="preserve">egative externalities </w:t>
      </w:r>
      <w:r>
        <w:t xml:space="preserve">are often present in projects that raise issues of environment justice.  </w:t>
      </w:r>
      <w:r w:rsidR="00B12CC2">
        <w:t xml:space="preserve">In the case of negative externalities, market prices associated with project inputs and outputs do not reflect the negative impact that activities may have on the environment and those who must deal with those consequences through no fault of their own.  Public CBA can address </w:t>
      </w:r>
      <w:r w:rsidR="00267766">
        <w:t xml:space="preserve">negative </w:t>
      </w:r>
      <w:r w:rsidR="00B12CC2">
        <w:t xml:space="preserve">externalities using various techniques such as shadow prices.  Stiglitz and </w:t>
      </w:r>
      <w:proofErr w:type="spellStart"/>
      <w:r w:rsidR="00B12CC2">
        <w:t>Rosengard</w:t>
      </w:r>
      <w:proofErr w:type="spellEnd"/>
      <w:r w:rsidR="00B12CC2">
        <w:t xml:space="preserve"> (2015) explain</w:t>
      </w:r>
      <w:r w:rsidR="00267766">
        <w:t>ed</w:t>
      </w:r>
      <w:r w:rsidR="00B12CC2">
        <w:t xml:space="preserve"> that shadow prices are the social prices of goods that reflect the true marginal social costs and benefits of inputs and outputs.  By using shadow prices rather than </w:t>
      </w:r>
      <w:r w:rsidR="00267766">
        <w:t>just</w:t>
      </w:r>
      <w:r w:rsidR="00B12CC2">
        <w:t xml:space="preserve"> market prices, public CBA can factor negative externalities into the analysis to address issues of economic justice when evaluating and designing a project.</w:t>
      </w:r>
    </w:p>
    <w:p w:rsidR="00CB5D90" w:rsidRDefault="00CB5D90" w:rsidP="007D31FF">
      <w:pPr>
        <w:pStyle w:val="ListParagraph"/>
      </w:pPr>
    </w:p>
    <w:p w:rsidR="00CB5D90" w:rsidRDefault="00B12CC2" w:rsidP="007D31FF">
      <w:pPr>
        <w:pStyle w:val="ListParagraph"/>
      </w:pPr>
      <w:r>
        <w:t>References:</w:t>
      </w:r>
    </w:p>
    <w:p w:rsidR="00B12CC2" w:rsidRDefault="00B12CC2" w:rsidP="007D31FF">
      <w:pPr>
        <w:pStyle w:val="ListParagraph"/>
      </w:pPr>
      <w:r w:rsidRPr="00B12CC2">
        <w:t>Stiglitz, J. E.</w:t>
      </w:r>
      <w:proofErr w:type="gramStart"/>
      <w:r w:rsidRPr="00B12CC2">
        <w:t>,  &amp;</w:t>
      </w:r>
      <w:proofErr w:type="gramEnd"/>
      <w:r w:rsidRPr="00B12CC2">
        <w:t xml:space="preserve"> </w:t>
      </w:r>
      <w:proofErr w:type="spellStart"/>
      <w:r w:rsidRPr="00B12CC2">
        <w:t>Rosengard</w:t>
      </w:r>
      <w:proofErr w:type="spellEnd"/>
      <w:r w:rsidRPr="00B12CC2">
        <w:t>, J. K. (2015). Economics of the public sector (4th ed.). New York, NY: W. W. Norton &amp; Company.</w:t>
      </w:r>
    </w:p>
    <w:p w:rsidR="00B12CC2" w:rsidRDefault="00B12CC2" w:rsidP="007D31FF">
      <w:pPr>
        <w:pStyle w:val="ListParagraph"/>
      </w:pPr>
    </w:p>
    <w:p w:rsidR="00CB5D90" w:rsidRDefault="00CB5D90" w:rsidP="007D31FF">
      <w:pPr>
        <w:pStyle w:val="ListParagraph"/>
      </w:pPr>
      <w:r>
        <w:lastRenderedPageBreak/>
        <w:t xml:space="preserve">United States Environmental Protection Agency. (2020, April 30). Environmental Justice. Retrieved May 1, 2020 from </w:t>
      </w:r>
      <w:r w:rsidRPr="00CB5D90">
        <w:t>https://www.epa.gov/environmentaljustice</w:t>
      </w:r>
    </w:p>
    <w:p w:rsidR="007D31FF" w:rsidRDefault="007D31FF" w:rsidP="007D31FF">
      <w:pPr>
        <w:pStyle w:val="ListParagraph"/>
      </w:pPr>
    </w:p>
    <w:p w:rsidR="00A53179" w:rsidRDefault="00A53179" w:rsidP="00A53179">
      <w:pPr>
        <w:pStyle w:val="ListParagraph"/>
        <w:numPr>
          <w:ilvl w:val="0"/>
          <w:numId w:val="1"/>
        </w:numPr>
      </w:pPr>
      <w:r w:rsidRPr="00A53179">
        <w:t>Discuss the efficiency and equity concerns of giving special tax treatment for businesses harmed by the COVID-19 pandemic. In other words, what if government reduced the taxes for restaurants (to give one example) and kept those for all other businesses at the same rate?</w:t>
      </w:r>
    </w:p>
    <w:p w:rsidR="00A664C0" w:rsidRDefault="00A664C0" w:rsidP="00A664C0">
      <w:pPr>
        <w:pStyle w:val="ListParagraph"/>
      </w:pPr>
    </w:p>
    <w:p w:rsidR="00345DEC" w:rsidRDefault="00345DEC" w:rsidP="00A664C0">
      <w:pPr>
        <w:pStyle w:val="ListParagraph"/>
      </w:pPr>
      <w:r>
        <w:t>Response:</w:t>
      </w:r>
      <w:r>
        <w:br/>
        <w:t xml:space="preserve">Giving special tax treatment to businesses harmed by the Covid-19 pandemic raises certain concerns regarding </w:t>
      </w:r>
      <w:r w:rsidR="00932A4E">
        <w:t>efficiency</w:t>
      </w:r>
      <w:r w:rsidR="00932A4E">
        <w:t xml:space="preserve"> </w:t>
      </w:r>
      <w:r w:rsidR="00932A4E">
        <w:t>and</w:t>
      </w:r>
      <w:r w:rsidR="00932A4E">
        <w:t xml:space="preserve"> </w:t>
      </w:r>
      <w:r>
        <w:t>equity.  For the sake of argument, let’s consider a scenario in which the federal government reduced the taxes for restaurants but kept taxes for all other businesses at the same rate.  Such a scenario is plausible in the current environment given the amount of attention restaurants have received relative to other types of businesses affected by the pandemic</w:t>
      </w:r>
      <w:r w:rsidR="00932A4E">
        <w:t xml:space="preserve"> and highlights the issues of equity and efficiency that such action raise</w:t>
      </w:r>
      <w:r w:rsidR="006D557E">
        <w:t>s</w:t>
      </w:r>
      <w:r w:rsidR="00932A4E">
        <w:t>.</w:t>
      </w:r>
    </w:p>
    <w:p w:rsidR="00932A4E" w:rsidRDefault="00932A4E" w:rsidP="00A664C0">
      <w:pPr>
        <w:pStyle w:val="ListParagraph"/>
      </w:pPr>
    </w:p>
    <w:p w:rsidR="00932A4E" w:rsidRDefault="00932A4E" w:rsidP="00A664C0">
      <w:pPr>
        <w:pStyle w:val="ListParagraph"/>
      </w:pPr>
      <w:r>
        <w:t xml:space="preserve">The reduction in tax rates for restaurants impacts efficiency because it has distortionary effect.  It changes the </w:t>
      </w:r>
      <w:r w:rsidR="006D557E">
        <w:t>price</w:t>
      </w:r>
      <w:r>
        <w:t xml:space="preserve"> of restaurant dining relative to other forms of consumption.  This effectively rotates the budget constraint curve for people and produces a deadweight loss compared with a lump-sum tax having the same effect on utility. </w:t>
      </w:r>
    </w:p>
    <w:p w:rsidR="00932A4E" w:rsidRDefault="00932A4E" w:rsidP="00A664C0">
      <w:pPr>
        <w:pStyle w:val="ListParagraph"/>
      </w:pPr>
    </w:p>
    <w:p w:rsidR="00932A4E" w:rsidRDefault="00932A4E" w:rsidP="00A664C0">
      <w:pPr>
        <w:pStyle w:val="ListParagraph"/>
      </w:pPr>
      <w:r>
        <w:t xml:space="preserve">The reduction in tax rates for restaurants also raises issues of equity.  First, </w:t>
      </w:r>
      <w:r w:rsidR="00543337">
        <w:t xml:space="preserve">there is the issue of </w:t>
      </w:r>
      <w:r w:rsidR="00D92C54">
        <w:t xml:space="preserve">horizontal </w:t>
      </w:r>
      <w:r w:rsidR="00543337">
        <w:t>equity</w:t>
      </w:r>
      <w:r w:rsidR="006D557E">
        <w:t>,</w:t>
      </w:r>
      <w:r w:rsidR="00543337">
        <w:t xml:space="preserve"> which Stiglitz and </w:t>
      </w:r>
      <w:proofErr w:type="spellStart"/>
      <w:r w:rsidR="00543337">
        <w:t>Rosengard</w:t>
      </w:r>
      <w:proofErr w:type="spellEnd"/>
      <w:r w:rsidR="00543337">
        <w:t xml:space="preserve"> (2015) define as providing the same treatment to individuals who are the same in all relevant aspects.  O</w:t>
      </w:r>
      <w:r>
        <w:t xml:space="preserve">ther businesses similarly affected by the pandemic such as barbershops, grocery stores, and convenience stores have a legitimate argument that they </w:t>
      </w:r>
      <w:r w:rsidR="00543337">
        <w:t>are not being treated f</w:t>
      </w:r>
      <w:r w:rsidR="00D92C54">
        <w:t xml:space="preserve">airly.  </w:t>
      </w:r>
      <w:r w:rsidR="006D557E">
        <w:t>As such</w:t>
      </w:r>
      <w:r w:rsidR="00D92C54">
        <w:t>,</w:t>
      </w:r>
      <w:r w:rsidR="00543337">
        <w:t xml:space="preserve"> a decrease in tax </w:t>
      </w:r>
      <w:r w:rsidR="00D92C54">
        <w:t>rates</w:t>
      </w:r>
      <w:r w:rsidR="00543337">
        <w:t xml:space="preserve"> exclusively for restaurants is inconsistent with </w:t>
      </w:r>
      <w:r>
        <w:t>horizontal equity.</w:t>
      </w:r>
    </w:p>
    <w:p w:rsidR="00D92C54" w:rsidRDefault="00D92C54" w:rsidP="00A664C0">
      <w:pPr>
        <w:pStyle w:val="ListParagraph"/>
      </w:pPr>
    </w:p>
    <w:p w:rsidR="00D92C54" w:rsidRDefault="00D92C54" w:rsidP="00A664C0">
      <w:pPr>
        <w:pStyle w:val="ListParagraph"/>
      </w:pPr>
      <w:r>
        <w:t>There is also the issue of vertical equity</w:t>
      </w:r>
      <w:r w:rsidR="006D557E">
        <w:t>,</w:t>
      </w:r>
      <w:r>
        <w:t xml:space="preserve"> which Stiglitz and </w:t>
      </w:r>
      <w:proofErr w:type="spellStart"/>
      <w:r>
        <w:t>Rosengard</w:t>
      </w:r>
      <w:proofErr w:type="spellEnd"/>
      <w:r>
        <w:t xml:space="preserve"> (2015) define as requiring individuals who can pay higher taxes to do so.  The tax reduction in this scenario seems to violate the principle of vertical equity in at least two ways.  First, not all restaurants are the same.  Some are very profitable, have multiple sites, greater financial assets, and greater access to financial resources which suggests that they can afford the original higher tax rate.  </w:t>
      </w:r>
      <w:r w:rsidR="00A31768">
        <w:t>Second, t</w:t>
      </w:r>
      <w:r>
        <w:t xml:space="preserve">he </w:t>
      </w:r>
      <w:r w:rsidR="00A31768">
        <w:t xml:space="preserve">restaurant itself probably doesn’t bear the burden of the </w:t>
      </w:r>
      <w:r>
        <w:t xml:space="preserve">tax </w:t>
      </w:r>
      <w:r w:rsidR="00A31768">
        <w:t xml:space="preserve">because it </w:t>
      </w:r>
      <w:r>
        <w:t>is likely p</w:t>
      </w:r>
      <w:r w:rsidR="00A31768">
        <w:t xml:space="preserve">assed on to the consumer.  As such, a reduction in restaurant tax rates benefits higher income individuals who are more likely to eat at </w:t>
      </w:r>
      <w:r w:rsidR="00C235D2">
        <w:t xml:space="preserve">restaurants to begin and are more likely to dine at </w:t>
      </w:r>
      <w:r w:rsidR="00A31768">
        <w:t>more expensive, higher end restaurants rather than restaurants</w:t>
      </w:r>
      <w:r w:rsidR="006D557E">
        <w:t xml:space="preserve"> that cater to the low end of the market</w:t>
      </w:r>
      <w:r w:rsidR="00A31768">
        <w:t xml:space="preserve"> and their patrons</w:t>
      </w:r>
      <w:r w:rsidR="006D557E" w:rsidRPr="006D557E">
        <w:t xml:space="preserve"> </w:t>
      </w:r>
      <w:r w:rsidR="006D557E">
        <w:t xml:space="preserve">as well as </w:t>
      </w:r>
      <w:r w:rsidR="006D557E">
        <w:t>lower income individuals who may not eat at restaurants very often</w:t>
      </w:r>
      <w:r w:rsidR="00A31768">
        <w:t>.</w:t>
      </w:r>
    </w:p>
    <w:p w:rsidR="00A31768" w:rsidRDefault="00A31768" w:rsidP="00A664C0">
      <w:pPr>
        <w:pStyle w:val="ListParagraph"/>
      </w:pPr>
    </w:p>
    <w:p w:rsidR="00A31768" w:rsidRDefault="00A31768" w:rsidP="00A31768">
      <w:pPr>
        <w:pStyle w:val="ListParagraph"/>
      </w:pPr>
      <w:r>
        <w:t>References:</w:t>
      </w:r>
    </w:p>
    <w:p w:rsidR="00A31768" w:rsidRDefault="00A31768" w:rsidP="00A31768">
      <w:pPr>
        <w:pStyle w:val="ListParagraph"/>
      </w:pPr>
      <w:r w:rsidRPr="00B12CC2">
        <w:t>Stiglitz, J. E.</w:t>
      </w:r>
      <w:proofErr w:type="gramStart"/>
      <w:r w:rsidRPr="00B12CC2">
        <w:t>,  &amp;</w:t>
      </w:r>
      <w:proofErr w:type="gramEnd"/>
      <w:r w:rsidRPr="00B12CC2">
        <w:t xml:space="preserve"> </w:t>
      </w:r>
      <w:proofErr w:type="spellStart"/>
      <w:r w:rsidRPr="00B12CC2">
        <w:t>Rosengard</w:t>
      </w:r>
      <w:proofErr w:type="spellEnd"/>
      <w:r w:rsidRPr="00B12CC2">
        <w:t>, J. K. (2015). Economics of the public sector (4th ed.). New York, NY: W. W. Norton &amp; Company.</w:t>
      </w:r>
    </w:p>
    <w:p w:rsidR="00A31768" w:rsidRDefault="00A31768" w:rsidP="00A664C0">
      <w:pPr>
        <w:pStyle w:val="ListParagraph"/>
      </w:pPr>
    </w:p>
    <w:p w:rsidR="00A664C0" w:rsidRDefault="00A664C0" w:rsidP="00A664C0">
      <w:pPr>
        <w:pStyle w:val="ListParagraph"/>
      </w:pPr>
    </w:p>
    <w:p w:rsidR="00A53179" w:rsidRDefault="00A53179" w:rsidP="00A53179">
      <w:pPr>
        <w:pStyle w:val="ListParagraph"/>
        <w:numPr>
          <w:ilvl w:val="0"/>
          <w:numId w:val="1"/>
        </w:numPr>
      </w:pPr>
      <w:r w:rsidRPr="00A53179">
        <w:t xml:space="preserve">To answer this question read the "Higher Education in the United States" text box on p.272 of the textbook. During the Democratic </w:t>
      </w:r>
      <w:proofErr w:type="gramStart"/>
      <w:r w:rsidRPr="00A53179">
        <w:t>Party</w:t>
      </w:r>
      <w:proofErr w:type="gramEnd"/>
      <w:r w:rsidRPr="00A53179">
        <w:t xml:space="preserve"> presidential primary, some of the candidates proposed sweeping changes in the ways Americans pay for college. For example, Bernie Sanders argued for free tuition at public colleges and universities. Discuss the efficiency and equity consequences of making public higher education tuition free for students.</w:t>
      </w:r>
    </w:p>
    <w:p w:rsidR="002E0E01" w:rsidRDefault="002E0E01" w:rsidP="002E0E01">
      <w:pPr>
        <w:pStyle w:val="ListParagraph"/>
      </w:pPr>
      <w:r>
        <w:lastRenderedPageBreak/>
        <w:t>Response:</w:t>
      </w:r>
    </w:p>
    <w:p w:rsidR="002E0E01" w:rsidRDefault="004D4416" w:rsidP="002E0E01">
      <w:pPr>
        <w:pStyle w:val="ListParagraph"/>
      </w:pPr>
      <w:r>
        <w:t xml:space="preserve">During the 2020 Democratic </w:t>
      </w:r>
      <w:proofErr w:type="gramStart"/>
      <w:r>
        <w:t>P</w:t>
      </w:r>
      <w:r w:rsidR="002E0E01">
        <w:t>arty</w:t>
      </w:r>
      <w:proofErr w:type="gramEnd"/>
      <w:r w:rsidR="002E0E01">
        <w:t xml:space="preserve"> presidential primary, some candidates have proposed significant changes to the way people pay for college.  For the sake of discussion, let’s consider Bernie Sanders’ proposal to provide free tuition at public colleges and universities.  Such a change would have significant consequences for economic efficiency and equity.</w:t>
      </w:r>
    </w:p>
    <w:p w:rsidR="002E0E01" w:rsidRDefault="002E0E01" w:rsidP="002E0E01">
      <w:pPr>
        <w:pStyle w:val="ListParagraph"/>
      </w:pPr>
    </w:p>
    <w:p w:rsidR="002E0E01" w:rsidRDefault="002E0E01" w:rsidP="002E0E01">
      <w:pPr>
        <w:pStyle w:val="ListParagraph"/>
      </w:pPr>
      <w:r>
        <w:t>First, making public colleges and universities tuition free changes</w:t>
      </w:r>
      <w:r w:rsidRPr="002E0E01">
        <w:t xml:space="preserve"> the price of </w:t>
      </w:r>
      <w:r>
        <w:t>public colleges and universities</w:t>
      </w:r>
      <w:r w:rsidRPr="002E0E01">
        <w:t xml:space="preserve"> relative to </w:t>
      </w:r>
      <w:r>
        <w:t xml:space="preserve">private colleges and universities and </w:t>
      </w:r>
      <w:r w:rsidRPr="002E0E01">
        <w:t>other forms of consumption.  This effectively rotates the budget constraint curve for people and produces a deadweight loss compared with a lump-sum tax having the same effect on utility.</w:t>
      </w:r>
      <w:r>
        <w:t xml:space="preserve">  This may have the effect of significantly decreasing demand for private colleges and universities thus causing significant financial strain to </w:t>
      </w:r>
      <w:r w:rsidR="004D4416">
        <w:t>those institutions and the people they employ.</w:t>
      </w:r>
    </w:p>
    <w:p w:rsidR="002E0E01" w:rsidRDefault="002E0E01" w:rsidP="002E0E01">
      <w:pPr>
        <w:pStyle w:val="ListParagraph"/>
      </w:pPr>
    </w:p>
    <w:p w:rsidR="002E0E01" w:rsidRDefault="002E0E01" w:rsidP="002E0E01">
      <w:pPr>
        <w:pStyle w:val="ListParagraph"/>
      </w:pPr>
      <w:r>
        <w:t xml:space="preserve">There is also the issue of vertical equity.  As described by </w:t>
      </w:r>
      <w:r w:rsidRPr="002E0E01">
        <w:t xml:space="preserve">Stiglitz and </w:t>
      </w:r>
      <w:proofErr w:type="spellStart"/>
      <w:r w:rsidRPr="002E0E01">
        <w:t>Rosengard</w:t>
      </w:r>
      <w:proofErr w:type="spellEnd"/>
      <w:r w:rsidRPr="002E0E01">
        <w:t xml:space="preserve"> (2015)</w:t>
      </w:r>
      <w:r>
        <w:t xml:space="preserve">, vertical equity </w:t>
      </w:r>
      <w:r w:rsidRPr="002E0E01">
        <w:t>requir</w:t>
      </w:r>
      <w:r>
        <w:t>es that</w:t>
      </w:r>
      <w:r w:rsidRPr="002E0E01">
        <w:t xml:space="preserve"> individuals who can pay higher taxes </w:t>
      </w:r>
      <w:r w:rsidR="004D4416">
        <w:t xml:space="preserve">to </w:t>
      </w:r>
      <w:r w:rsidRPr="002E0E01">
        <w:t xml:space="preserve">do so.  </w:t>
      </w:r>
      <w:r>
        <w:t xml:space="preserve">Not everyone that attends a public college or university </w:t>
      </w:r>
      <w:r w:rsidR="004D4416">
        <w:t>is low income.  I suspect that</w:t>
      </w:r>
      <w:r>
        <w:t xml:space="preserve"> many </w:t>
      </w:r>
      <w:r w:rsidR="004D4416">
        <w:t>individuals from upper income households that can afford to pay for college also attend public colleges and universities.  These individuals would also benefit from the subsidy the government provides by making public colleges and universities tuition free, which would be inconsistent with the principle of vertical equity.</w:t>
      </w:r>
    </w:p>
    <w:p w:rsidR="00A664C0" w:rsidRDefault="00A664C0" w:rsidP="00A664C0">
      <w:pPr>
        <w:pStyle w:val="ListParagraph"/>
      </w:pPr>
    </w:p>
    <w:p w:rsidR="009762E7" w:rsidRPr="009762E7" w:rsidRDefault="009762E7" w:rsidP="009762E7">
      <w:pPr>
        <w:pStyle w:val="ListParagraph"/>
      </w:pPr>
      <w:r w:rsidRPr="009762E7">
        <w:t>References:</w:t>
      </w:r>
    </w:p>
    <w:p w:rsidR="00A31768" w:rsidRPr="009762E7" w:rsidRDefault="00A31768" w:rsidP="009762E7">
      <w:pPr>
        <w:pStyle w:val="ListParagraph"/>
      </w:pPr>
      <w:r w:rsidRPr="009762E7">
        <w:t>Stiglitz, J. E.</w:t>
      </w:r>
      <w:proofErr w:type="gramStart"/>
      <w:r w:rsidRPr="009762E7">
        <w:t>,  &amp;</w:t>
      </w:r>
      <w:proofErr w:type="gramEnd"/>
      <w:r w:rsidRPr="009762E7">
        <w:t xml:space="preserve"> </w:t>
      </w:r>
      <w:proofErr w:type="spellStart"/>
      <w:r w:rsidRPr="009762E7">
        <w:t>Rosengard</w:t>
      </w:r>
      <w:proofErr w:type="spellEnd"/>
      <w:r w:rsidRPr="009762E7">
        <w:t>, J. K. (2015). Economics of the public sector (4th ed.). New York, NY: W. W. Norton &amp; Company.</w:t>
      </w:r>
    </w:p>
    <w:p w:rsidR="009762E7" w:rsidRDefault="009762E7" w:rsidP="00A664C0">
      <w:pPr>
        <w:pStyle w:val="ListParagraph"/>
      </w:pPr>
    </w:p>
    <w:p w:rsidR="007F53A1" w:rsidRDefault="00A53179" w:rsidP="00590F78">
      <w:pPr>
        <w:pStyle w:val="NormalWeb"/>
        <w:numPr>
          <w:ilvl w:val="0"/>
          <w:numId w:val="1"/>
        </w:numPr>
        <w:spacing w:before="0" w:beforeAutospacing="0" w:after="0" w:afterAutospacing="0"/>
        <w:rPr>
          <w:rFonts w:asciiTheme="minorHAnsi" w:hAnsiTheme="minorHAnsi" w:cstheme="minorHAnsi"/>
          <w:sz w:val="22"/>
        </w:rPr>
      </w:pPr>
      <w:r w:rsidRPr="00A53179">
        <w:rPr>
          <w:rFonts w:asciiTheme="minorHAnsi" w:hAnsiTheme="minorHAnsi" w:cstheme="minorHAnsi"/>
          <w:sz w:val="22"/>
        </w:rPr>
        <w:t>Read the following before answering this question:</w:t>
      </w:r>
      <w:r w:rsidRPr="00A53179">
        <w:rPr>
          <w:rFonts w:asciiTheme="minorHAnsi" w:hAnsiTheme="minorHAnsi" w:cstheme="minorHAnsi"/>
          <w:sz w:val="22"/>
        </w:rPr>
        <w:br/>
      </w:r>
      <w:hyperlink r:id="rId6" w:tgtFrame="_blank" w:history="1">
        <w:r w:rsidRPr="00A53179">
          <w:rPr>
            <w:rStyle w:val="Hyperlink"/>
            <w:rFonts w:asciiTheme="minorHAnsi" w:hAnsiTheme="minorHAnsi" w:cstheme="minorHAnsi"/>
            <w:sz w:val="22"/>
          </w:rPr>
          <w:t>Opinion | What’s an Essential Service in a Pandemic? The Post Office.html</w:t>
        </w:r>
      </w:hyperlink>
      <w:r w:rsidRPr="00A53179">
        <w:rPr>
          <w:rFonts w:asciiTheme="minorHAnsi" w:hAnsiTheme="minorHAnsi" w:cstheme="minorHAnsi"/>
          <w:sz w:val="22"/>
        </w:rPr>
        <w:t> </w:t>
      </w:r>
      <w:r w:rsidRPr="00A53179">
        <w:rPr>
          <w:rFonts w:asciiTheme="minorHAnsi" w:hAnsiTheme="minorHAnsi" w:cstheme="minorHAnsi"/>
          <w:sz w:val="22"/>
        </w:rPr>
        <w:br/>
      </w:r>
      <w:r w:rsidRPr="00A53179">
        <w:rPr>
          <w:rFonts w:asciiTheme="minorHAnsi" w:hAnsiTheme="minorHAnsi" w:cstheme="minorHAnsi"/>
          <w:sz w:val="22"/>
        </w:rPr>
        <w:t xml:space="preserve">The Post Office is required to provide services to out-of-the-way places like rural areas but it must charge the same for mail delivery in those places as in urban areas. </w:t>
      </w:r>
      <w:proofErr w:type="gramStart"/>
      <w:r w:rsidRPr="00A53179">
        <w:rPr>
          <w:rFonts w:asciiTheme="minorHAnsi" w:hAnsiTheme="minorHAnsi" w:cstheme="minorHAnsi"/>
          <w:sz w:val="22"/>
        </w:rPr>
        <w:t>This is why</w:t>
      </w:r>
      <w:proofErr w:type="gramEnd"/>
      <w:r w:rsidRPr="00A53179">
        <w:rPr>
          <w:rFonts w:asciiTheme="minorHAnsi" w:hAnsiTheme="minorHAnsi" w:cstheme="minorHAnsi"/>
          <w:sz w:val="22"/>
        </w:rPr>
        <w:t xml:space="preserve"> it is uncompetitive with private companies. Discuss the efficiency and equity consequences of the Post Office's mission to provide low-cost mail services to all Americans.</w:t>
      </w:r>
    </w:p>
    <w:p w:rsidR="00590F78" w:rsidRDefault="00590F78" w:rsidP="00590F78">
      <w:pPr>
        <w:pStyle w:val="NormalWeb"/>
        <w:spacing w:before="0" w:beforeAutospacing="0" w:after="0" w:afterAutospacing="0"/>
        <w:ind w:left="720"/>
        <w:rPr>
          <w:rFonts w:asciiTheme="minorHAnsi" w:hAnsiTheme="minorHAnsi" w:cstheme="minorHAnsi"/>
          <w:sz w:val="22"/>
        </w:rPr>
      </w:pPr>
    </w:p>
    <w:p w:rsidR="007F53A1" w:rsidRDefault="00590F78" w:rsidP="00590F78">
      <w:pPr>
        <w:pStyle w:val="NormalWeb"/>
        <w:spacing w:before="0" w:beforeAutospacing="0" w:after="0" w:afterAutospacing="0"/>
        <w:ind w:left="720"/>
        <w:rPr>
          <w:rFonts w:asciiTheme="minorHAnsi" w:hAnsiTheme="minorHAnsi" w:cstheme="minorHAnsi"/>
          <w:sz w:val="22"/>
        </w:rPr>
      </w:pPr>
      <w:r>
        <w:rPr>
          <w:rFonts w:asciiTheme="minorHAnsi" w:hAnsiTheme="minorHAnsi" w:cstheme="minorHAnsi"/>
          <w:sz w:val="22"/>
        </w:rPr>
        <w:t>Response:</w:t>
      </w:r>
    </w:p>
    <w:p w:rsidR="004A5C64" w:rsidRDefault="00D857ED" w:rsidP="00590F78">
      <w:pPr>
        <w:pStyle w:val="NormalWeb"/>
        <w:spacing w:before="0" w:beforeAutospacing="0" w:after="0" w:afterAutospacing="0"/>
        <w:ind w:left="720"/>
        <w:rPr>
          <w:rFonts w:asciiTheme="minorHAnsi" w:hAnsiTheme="minorHAnsi" w:cstheme="minorHAnsi"/>
          <w:sz w:val="22"/>
        </w:rPr>
      </w:pPr>
      <w:r>
        <w:rPr>
          <w:rFonts w:asciiTheme="minorHAnsi" w:hAnsiTheme="minorHAnsi" w:cstheme="minorHAnsi"/>
          <w:sz w:val="22"/>
        </w:rPr>
        <w:t xml:space="preserve">The U.S. Postal Service’s mandate to provide “universal service” (New York Times Editorial Board, 2020) </w:t>
      </w:r>
      <w:r w:rsidR="00382163">
        <w:rPr>
          <w:rFonts w:asciiTheme="minorHAnsi" w:hAnsiTheme="minorHAnsi" w:cstheme="minorHAnsi"/>
          <w:sz w:val="22"/>
        </w:rPr>
        <w:t xml:space="preserve">has significant consequences for economic efficiency and equity.  </w:t>
      </w:r>
      <w:r>
        <w:rPr>
          <w:rFonts w:asciiTheme="minorHAnsi" w:hAnsiTheme="minorHAnsi" w:cstheme="minorHAnsi"/>
          <w:sz w:val="22"/>
        </w:rPr>
        <w:t xml:space="preserve"> </w:t>
      </w:r>
      <w:r w:rsidR="00240DC2">
        <w:rPr>
          <w:rFonts w:asciiTheme="minorHAnsi" w:hAnsiTheme="minorHAnsi" w:cstheme="minorHAnsi"/>
          <w:sz w:val="22"/>
        </w:rPr>
        <w:t xml:space="preserve">The requirement for the USPS to provide services to sparsely populated rural areas at the same prices charged to more densely populated urban areas prevents the agency from setting its marginal revenue to marginal cost, which </w:t>
      </w:r>
      <w:r w:rsidR="00594098">
        <w:rPr>
          <w:rFonts w:asciiTheme="minorHAnsi" w:hAnsiTheme="minorHAnsi" w:cstheme="minorHAnsi"/>
          <w:sz w:val="22"/>
        </w:rPr>
        <w:t xml:space="preserve">is necessary for market efficiency and what the USPS </w:t>
      </w:r>
      <w:r w:rsidR="00240DC2">
        <w:rPr>
          <w:rFonts w:asciiTheme="minorHAnsi" w:hAnsiTheme="minorHAnsi" w:cstheme="minorHAnsi"/>
          <w:sz w:val="22"/>
        </w:rPr>
        <w:t>would normally do as a part</w:t>
      </w:r>
      <w:r w:rsidR="00594098">
        <w:rPr>
          <w:rFonts w:asciiTheme="minorHAnsi" w:hAnsiTheme="minorHAnsi" w:cstheme="minorHAnsi"/>
          <w:sz w:val="22"/>
        </w:rPr>
        <w:t>icipant in a competitive market.  As such, the USPS is forced to operated less efficiently than it theoretically can.</w:t>
      </w:r>
    </w:p>
    <w:p w:rsidR="006E0383" w:rsidRDefault="006E0383" w:rsidP="00590F78">
      <w:pPr>
        <w:pStyle w:val="NormalWeb"/>
        <w:spacing w:before="0" w:beforeAutospacing="0" w:after="0" w:afterAutospacing="0"/>
        <w:ind w:left="720"/>
        <w:rPr>
          <w:rFonts w:asciiTheme="minorHAnsi" w:hAnsiTheme="minorHAnsi" w:cstheme="minorHAnsi"/>
          <w:sz w:val="22"/>
        </w:rPr>
      </w:pPr>
    </w:p>
    <w:p w:rsidR="006E0383" w:rsidRDefault="006E0383" w:rsidP="00590F78">
      <w:pPr>
        <w:pStyle w:val="NormalWeb"/>
        <w:spacing w:before="0" w:beforeAutospacing="0" w:after="0" w:afterAutospacing="0"/>
        <w:ind w:left="720"/>
        <w:rPr>
          <w:rFonts w:asciiTheme="minorHAnsi" w:hAnsiTheme="minorHAnsi" w:cstheme="minorHAnsi"/>
          <w:sz w:val="22"/>
        </w:rPr>
      </w:pPr>
      <w:r>
        <w:rPr>
          <w:rFonts w:asciiTheme="minorHAnsi" w:hAnsiTheme="minorHAnsi" w:cstheme="minorHAnsi"/>
          <w:sz w:val="22"/>
        </w:rPr>
        <w:t xml:space="preserve">However, there are important equity considerations.  Dependable mail service is beneficial for society.  As illustrated </w:t>
      </w:r>
      <w:r w:rsidR="001A0F22">
        <w:rPr>
          <w:rFonts w:asciiTheme="minorHAnsi" w:hAnsiTheme="minorHAnsi" w:cstheme="minorHAnsi"/>
          <w:sz w:val="22"/>
        </w:rPr>
        <w:t>by</w:t>
      </w:r>
      <w:r>
        <w:rPr>
          <w:rFonts w:asciiTheme="minorHAnsi" w:hAnsiTheme="minorHAnsi" w:cstheme="minorHAnsi"/>
          <w:sz w:val="22"/>
        </w:rPr>
        <w:t xml:space="preserve"> New York Times Editorial Board (2020), it may p</w:t>
      </w:r>
      <w:r w:rsidR="001A0F22">
        <w:rPr>
          <w:rFonts w:asciiTheme="minorHAnsi" w:hAnsiTheme="minorHAnsi" w:cstheme="minorHAnsi"/>
          <w:sz w:val="22"/>
        </w:rPr>
        <w:t>rove crucial to maintaining our</w:t>
      </w:r>
      <w:r>
        <w:rPr>
          <w:rFonts w:asciiTheme="minorHAnsi" w:hAnsiTheme="minorHAnsi" w:cstheme="minorHAnsi"/>
          <w:sz w:val="22"/>
        </w:rPr>
        <w:t xml:space="preserve"> ability to hold elect</w:t>
      </w:r>
      <w:r w:rsidR="00977958">
        <w:rPr>
          <w:rFonts w:asciiTheme="minorHAnsi" w:hAnsiTheme="minorHAnsi" w:cstheme="minorHAnsi"/>
          <w:sz w:val="22"/>
        </w:rPr>
        <w:t xml:space="preserve">ions and sustaining our democracy during the pandemic, serves as a lifeline for essential resources, and has been a significant factor in </w:t>
      </w:r>
      <w:r w:rsidR="005C7F9D">
        <w:rPr>
          <w:rFonts w:asciiTheme="minorHAnsi" w:hAnsiTheme="minorHAnsi" w:cstheme="minorHAnsi"/>
          <w:sz w:val="22"/>
        </w:rPr>
        <w:t xml:space="preserve">the </w:t>
      </w:r>
      <w:r w:rsidR="00977958">
        <w:rPr>
          <w:rFonts w:asciiTheme="minorHAnsi" w:hAnsiTheme="minorHAnsi" w:cstheme="minorHAnsi"/>
          <w:sz w:val="22"/>
        </w:rPr>
        <w:t>overall economic growth</w:t>
      </w:r>
      <w:r w:rsidR="005C7F9D">
        <w:rPr>
          <w:rFonts w:asciiTheme="minorHAnsi" w:hAnsiTheme="minorHAnsi" w:cstheme="minorHAnsi"/>
          <w:sz w:val="22"/>
        </w:rPr>
        <w:t xml:space="preserve"> of the nation</w:t>
      </w:r>
      <w:r w:rsidR="00977958">
        <w:rPr>
          <w:rFonts w:asciiTheme="minorHAnsi" w:hAnsiTheme="minorHAnsi" w:cstheme="minorHAnsi"/>
          <w:sz w:val="22"/>
        </w:rPr>
        <w:t xml:space="preserve">. </w:t>
      </w:r>
      <w:r>
        <w:rPr>
          <w:rFonts w:asciiTheme="minorHAnsi" w:hAnsiTheme="minorHAnsi" w:cstheme="minorHAnsi"/>
          <w:sz w:val="22"/>
        </w:rPr>
        <w:t xml:space="preserve"> Moreover, the mandate</w:t>
      </w:r>
      <w:r w:rsidR="005C7F9D">
        <w:rPr>
          <w:rFonts w:asciiTheme="minorHAnsi" w:hAnsiTheme="minorHAnsi" w:cstheme="minorHAnsi"/>
          <w:sz w:val="22"/>
        </w:rPr>
        <w:t xml:space="preserve"> helps attain horizontal equity.  This </w:t>
      </w:r>
      <w:r>
        <w:rPr>
          <w:rFonts w:asciiTheme="minorHAnsi" w:hAnsiTheme="minorHAnsi" w:cstheme="minorHAnsi"/>
          <w:sz w:val="22"/>
        </w:rPr>
        <w:t xml:space="preserve">is the notion that individuals who are the same in all relevant aspects should receive the same </w:t>
      </w:r>
      <w:r>
        <w:rPr>
          <w:rFonts w:asciiTheme="minorHAnsi" w:hAnsiTheme="minorHAnsi" w:cstheme="minorHAnsi"/>
          <w:sz w:val="22"/>
        </w:rPr>
        <w:lastRenderedPageBreak/>
        <w:t xml:space="preserve">treatment as </w:t>
      </w:r>
      <w:r w:rsidR="005C7F9D">
        <w:rPr>
          <w:rFonts w:asciiTheme="minorHAnsi" w:hAnsiTheme="minorHAnsi" w:cstheme="minorHAnsi"/>
          <w:sz w:val="22"/>
        </w:rPr>
        <w:t xml:space="preserve">(Stiglitz &amp; </w:t>
      </w:r>
      <w:proofErr w:type="spellStart"/>
      <w:r>
        <w:rPr>
          <w:rFonts w:asciiTheme="minorHAnsi" w:hAnsiTheme="minorHAnsi" w:cstheme="minorHAnsi"/>
          <w:sz w:val="22"/>
        </w:rPr>
        <w:t>Rosengard</w:t>
      </w:r>
      <w:proofErr w:type="spellEnd"/>
      <w:r w:rsidR="005C7F9D">
        <w:rPr>
          <w:rFonts w:asciiTheme="minorHAnsi" w:hAnsiTheme="minorHAnsi" w:cstheme="minorHAnsi"/>
          <w:sz w:val="22"/>
        </w:rPr>
        <w:t xml:space="preserve">, </w:t>
      </w:r>
      <w:r>
        <w:rPr>
          <w:rFonts w:asciiTheme="minorHAnsi" w:hAnsiTheme="minorHAnsi" w:cstheme="minorHAnsi"/>
          <w:sz w:val="22"/>
        </w:rPr>
        <w:t>2015).  Individuals should not be made to pay more for mail service simply because of where they live.</w:t>
      </w:r>
    </w:p>
    <w:p w:rsidR="00590F78" w:rsidRDefault="00590F78" w:rsidP="00590F78">
      <w:pPr>
        <w:pStyle w:val="NormalWeb"/>
        <w:spacing w:before="0" w:beforeAutospacing="0" w:after="0" w:afterAutospacing="0"/>
        <w:ind w:left="720"/>
        <w:rPr>
          <w:rFonts w:asciiTheme="minorHAnsi" w:hAnsiTheme="minorHAnsi" w:cstheme="minorHAnsi"/>
          <w:sz w:val="22"/>
        </w:rPr>
      </w:pPr>
    </w:p>
    <w:p w:rsidR="001A0F22" w:rsidRDefault="001A0F22" w:rsidP="00590F78">
      <w:pPr>
        <w:pStyle w:val="NormalWeb"/>
        <w:spacing w:before="0" w:beforeAutospacing="0" w:after="0" w:afterAutospacing="0"/>
        <w:ind w:left="720"/>
        <w:rPr>
          <w:rFonts w:asciiTheme="minorHAnsi" w:hAnsiTheme="minorHAnsi" w:cstheme="minorHAnsi"/>
          <w:sz w:val="22"/>
        </w:rPr>
      </w:pPr>
      <w:r>
        <w:rPr>
          <w:rFonts w:asciiTheme="minorHAnsi" w:hAnsiTheme="minorHAnsi" w:cstheme="minorHAnsi"/>
          <w:sz w:val="22"/>
        </w:rPr>
        <w:t>The situation with the USPS illustrates the tradeoffs between efficiency and equity that public policy must make.  As a society, the U.S. has decided that the loss in efficiency produced by the mandate for universal service imposed on the USPS is worth the overall improvement in equity that universal postal service provides.</w:t>
      </w:r>
    </w:p>
    <w:p w:rsidR="001A0F22" w:rsidRDefault="001A0F22" w:rsidP="00590F78">
      <w:pPr>
        <w:pStyle w:val="NormalWeb"/>
        <w:spacing w:before="0" w:beforeAutospacing="0" w:after="0" w:afterAutospacing="0"/>
        <w:ind w:left="720"/>
        <w:rPr>
          <w:rFonts w:asciiTheme="minorHAnsi" w:hAnsiTheme="minorHAnsi" w:cstheme="minorHAnsi"/>
          <w:sz w:val="22"/>
        </w:rPr>
      </w:pPr>
    </w:p>
    <w:p w:rsidR="00977958" w:rsidRDefault="00977958" w:rsidP="00590F78">
      <w:pPr>
        <w:pStyle w:val="NormalWeb"/>
        <w:spacing w:before="0" w:beforeAutospacing="0" w:after="0" w:afterAutospacing="0"/>
        <w:ind w:left="720"/>
        <w:rPr>
          <w:rFonts w:asciiTheme="minorHAnsi" w:hAnsiTheme="minorHAnsi" w:cstheme="minorHAnsi"/>
          <w:sz w:val="22"/>
        </w:rPr>
      </w:pPr>
      <w:r>
        <w:rPr>
          <w:rFonts w:asciiTheme="minorHAnsi" w:hAnsiTheme="minorHAnsi" w:cstheme="minorHAnsi"/>
          <w:sz w:val="22"/>
        </w:rPr>
        <w:t>References:</w:t>
      </w:r>
    </w:p>
    <w:p w:rsidR="006843BB" w:rsidRDefault="006843BB" w:rsidP="00590F78">
      <w:pPr>
        <w:pStyle w:val="NormalWeb"/>
        <w:spacing w:before="0" w:beforeAutospacing="0" w:after="0" w:afterAutospacing="0"/>
        <w:ind w:left="720"/>
        <w:rPr>
          <w:rFonts w:asciiTheme="minorHAnsi" w:hAnsiTheme="minorHAnsi" w:cstheme="minorHAnsi"/>
          <w:sz w:val="22"/>
        </w:rPr>
      </w:pPr>
      <w:r>
        <w:rPr>
          <w:rFonts w:asciiTheme="minorHAnsi" w:hAnsiTheme="minorHAnsi" w:cstheme="minorHAnsi"/>
          <w:sz w:val="22"/>
        </w:rPr>
        <w:t>New York Times Editorial Board. (2020,</w:t>
      </w:r>
      <w:r w:rsidR="00594098">
        <w:rPr>
          <w:rFonts w:asciiTheme="minorHAnsi" w:hAnsiTheme="minorHAnsi" w:cstheme="minorHAnsi"/>
          <w:sz w:val="22"/>
        </w:rPr>
        <w:t xml:space="preserve"> </w:t>
      </w:r>
      <w:r>
        <w:rPr>
          <w:rFonts w:asciiTheme="minorHAnsi" w:hAnsiTheme="minorHAnsi" w:cstheme="minorHAnsi"/>
          <w:sz w:val="22"/>
        </w:rPr>
        <w:t xml:space="preserve">April 14). Opinion: What’s an essential service in a pandemic? The Post Office. </w:t>
      </w:r>
      <w:r w:rsidR="004A5C64" w:rsidRPr="004A5C64">
        <w:rPr>
          <w:rFonts w:asciiTheme="minorHAnsi" w:hAnsiTheme="minorHAnsi" w:cstheme="minorHAnsi"/>
          <w:i/>
          <w:sz w:val="22"/>
        </w:rPr>
        <w:t>New York Times</w:t>
      </w:r>
      <w:r w:rsidR="004A5C64">
        <w:rPr>
          <w:rFonts w:asciiTheme="minorHAnsi" w:hAnsiTheme="minorHAnsi" w:cstheme="minorHAnsi"/>
          <w:sz w:val="22"/>
        </w:rPr>
        <w:t xml:space="preserve">. </w:t>
      </w:r>
      <w:r>
        <w:rPr>
          <w:rFonts w:asciiTheme="minorHAnsi" w:hAnsiTheme="minorHAnsi" w:cstheme="minorHAnsi"/>
          <w:sz w:val="22"/>
        </w:rPr>
        <w:t xml:space="preserve">Retrieved May 1, 2020 from </w:t>
      </w:r>
      <w:r w:rsidR="00382163" w:rsidRPr="00382163">
        <w:rPr>
          <w:rFonts w:asciiTheme="minorHAnsi" w:hAnsiTheme="minorHAnsi" w:cstheme="minorHAnsi"/>
          <w:sz w:val="22"/>
        </w:rPr>
        <w:t>https://www.nytimes.com/2020/04/14/opinion/usps-coronavirus.html</w:t>
      </w:r>
    </w:p>
    <w:p w:rsidR="00374DA1" w:rsidRDefault="00374DA1" w:rsidP="00374DA1">
      <w:pPr>
        <w:pStyle w:val="NormalWeb"/>
        <w:spacing w:before="0" w:beforeAutospacing="0" w:after="0" w:afterAutospacing="0"/>
        <w:ind w:left="720"/>
        <w:rPr>
          <w:rFonts w:asciiTheme="minorHAnsi" w:hAnsiTheme="minorHAnsi" w:cstheme="minorHAnsi"/>
          <w:sz w:val="22"/>
        </w:rPr>
      </w:pPr>
    </w:p>
    <w:p w:rsidR="00374DA1" w:rsidRDefault="00977958" w:rsidP="00374DA1">
      <w:pPr>
        <w:pStyle w:val="NormalWeb"/>
        <w:spacing w:before="0" w:beforeAutospacing="0" w:after="0" w:afterAutospacing="0"/>
        <w:ind w:left="720"/>
        <w:rPr>
          <w:rFonts w:asciiTheme="minorHAnsi" w:hAnsiTheme="minorHAnsi" w:cstheme="minorHAnsi"/>
          <w:sz w:val="22"/>
        </w:rPr>
      </w:pPr>
      <w:r w:rsidRPr="00977958">
        <w:rPr>
          <w:rFonts w:asciiTheme="minorHAnsi" w:hAnsiTheme="minorHAnsi" w:cstheme="minorHAnsi"/>
          <w:sz w:val="22"/>
        </w:rPr>
        <w:t>Stiglitz, J. E.</w:t>
      </w:r>
      <w:proofErr w:type="gramStart"/>
      <w:r w:rsidRPr="00977958">
        <w:rPr>
          <w:rFonts w:asciiTheme="minorHAnsi" w:hAnsiTheme="minorHAnsi" w:cstheme="minorHAnsi"/>
          <w:sz w:val="22"/>
        </w:rPr>
        <w:t>,  &amp;</w:t>
      </w:r>
      <w:proofErr w:type="gramEnd"/>
      <w:r w:rsidRPr="00977958">
        <w:rPr>
          <w:rFonts w:asciiTheme="minorHAnsi" w:hAnsiTheme="minorHAnsi" w:cstheme="minorHAnsi"/>
          <w:sz w:val="22"/>
        </w:rPr>
        <w:t xml:space="preserve"> </w:t>
      </w:r>
      <w:proofErr w:type="spellStart"/>
      <w:r w:rsidRPr="00977958">
        <w:rPr>
          <w:rFonts w:asciiTheme="minorHAnsi" w:hAnsiTheme="minorHAnsi" w:cstheme="minorHAnsi"/>
          <w:sz w:val="22"/>
        </w:rPr>
        <w:t>Rosengard</w:t>
      </w:r>
      <w:proofErr w:type="spellEnd"/>
      <w:r w:rsidRPr="00977958">
        <w:rPr>
          <w:rFonts w:asciiTheme="minorHAnsi" w:hAnsiTheme="minorHAnsi" w:cstheme="minorHAnsi"/>
          <w:sz w:val="22"/>
        </w:rPr>
        <w:t>, J. K. (2015). Economics of the public sector (4th ed.). New York, NY: W. W. Norton &amp; Company.</w:t>
      </w:r>
    </w:p>
    <w:p w:rsidR="00374DA1" w:rsidRPr="007F53A1" w:rsidRDefault="00374DA1" w:rsidP="00374DA1">
      <w:pPr>
        <w:pStyle w:val="NormalWeb"/>
        <w:spacing w:before="0" w:beforeAutospacing="0" w:after="0" w:afterAutospacing="0"/>
        <w:ind w:left="720"/>
        <w:rPr>
          <w:rFonts w:asciiTheme="minorHAnsi" w:hAnsiTheme="minorHAnsi" w:cstheme="minorHAnsi"/>
          <w:sz w:val="22"/>
        </w:rPr>
      </w:pPr>
    </w:p>
    <w:sectPr w:rsidR="00374DA1" w:rsidRPr="007F53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0E4319"/>
    <w:multiLevelType w:val="hybridMultilevel"/>
    <w:tmpl w:val="BDA4C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889"/>
    <w:rsid w:val="00163ED3"/>
    <w:rsid w:val="001A0F22"/>
    <w:rsid w:val="001E59B8"/>
    <w:rsid w:val="00240DC2"/>
    <w:rsid w:val="00267766"/>
    <w:rsid w:val="00282889"/>
    <w:rsid w:val="002B13AC"/>
    <w:rsid w:val="002E0E01"/>
    <w:rsid w:val="00326658"/>
    <w:rsid w:val="00345DEC"/>
    <w:rsid w:val="00374DA1"/>
    <w:rsid w:val="00382163"/>
    <w:rsid w:val="003A53CF"/>
    <w:rsid w:val="003C1B3E"/>
    <w:rsid w:val="003E4215"/>
    <w:rsid w:val="004229D8"/>
    <w:rsid w:val="004A5C64"/>
    <w:rsid w:val="004D4416"/>
    <w:rsid w:val="00543337"/>
    <w:rsid w:val="00590F78"/>
    <w:rsid w:val="00594098"/>
    <w:rsid w:val="005C7F9D"/>
    <w:rsid w:val="00616A8F"/>
    <w:rsid w:val="0066355C"/>
    <w:rsid w:val="00671DB5"/>
    <w:rsid w:val="006843BB"/>
    <w:rsid w:val="006D557E"/>
    <w:rsid w:val="006E0383"/>
    <w:rsid w:val="006E3130"/>
    <w:rsid w:val="007D31FF"/>
    <w:rsid w:val="007F53A1"/>
    <w:rsid w:val="00932A4E"/>
    <w:rsid w:val="009762E7"/>
    <w:rsid w:val="00977958"/>
    <w:rsid w:val="00A31768"/>
    <w:rsid w:val="00A53179"/>
    <w:rsid w:val="00A664C0"/>
    <w:rsid w:val="00B044F4"/>
    <w:rsid w:val="00B12CC2"/>
    <w:rsid w:val="00C17DAF"/>
    <w:rsid w:val="00C235D2"/>
    <w:rsid w:val="00C23EF4"/>
    <w:rsid w:val="00C53057"/>
    <w:rsid w:val="00CA03F3"/>
    <w:rsid w:val="00CB5D90"/>
    <w:rsid w:val="00D857ED"/>
    <w:rsid w:val="00D92C54"/>
    <w:rsid w:val="00E56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67380"/>
  <w15:chartTrackingRefBased/>
  <w15:docId w15:val="{D4226021-D99E-4A5A-B0C4-C7653BD4F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3179"/>
    <w:pPr>
      <w:ind w:left="720"/>
      <w:contextualSpacing/>
    </w:pPr>
  </w:style>
  <w:style w:type="paragraph" w:styleId="NormalWeb">
    <w:name w:val="Normal (Web)"/>
    <w:basedOn w:val="Normal"/>
    <w:uiPriority w:val="99"/>
    <w:unhideWhenUsed/>
    <w:rsid w:val="00A53179"/>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531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9679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ackboard.slu.edu/bbcswebdav/pid-3768990-dt-content-rid-17567707_1/xid-17567707_1" TargetMode="External"/><Relationship Id="rId5" Type="http://schemas.openxmlformats.org/officeDocument/2006/relationships/hyperlink" Target="https://blackboard.slu.edu/bbcswebdav/pid-3768990-dt-content-rid-17567991_1/xid-17567991_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5</Pages>
  <Words>2042</Words>
  <Characters>11644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Townes</dc:creator>
  <cp:keywords/>
  <dc:description/>
  <cp:lastModifiedBy>Malcolm Townes</cp:lastModifiedBy>
  <cp:revision>30</cp:revision>
  <dcterms:created xsi:type="dcterms:W3CDTF">2020-05-01T15:05:00Z</dcterms:created>
  <dcterms:modified xsi:type="dcterms:W3CDTF">2020-05-01T18:40:00Z</dcterms:modified>
</cp:coreProperties>
</file>