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bookmarkStart w:id="0" w:name="_GoBack"/>
      <w:bookmarkEnd w:id="0"/>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Cairney,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E03FC5" w:rsidRDefault="00E03FC5" w:rsidP="0035263C">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in particular, is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p>
    <w:p w:rsidR="002753EB"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It will </w:t>
      </w:r>
      <w:r w:rsidR="002753EB">
        <w:rPr>
          <w:rFonts w:ascii="Times New Roman" w:hAnsi="Times New Roman" w:cs="Times New Roman"/>
          <w:sz w:val="24"/>
          <w:szCs w:val="24"/>
        </w:rPr>
        <w:t>be helpful if I</w:t>
      </w:r>
      <w:r>
        <w:rPr>
          <w:rFonts w:ascii="Times New Roman" w:hAnsi="Times New Roman" w:cs="Times New Roman"/>
          <w:sz w:val="24"/>
          <w:szCs w:val="24"/>
        </w:rPr>
        <w:t xml:space="preserve"> briefly define technology and </w:t>
      </w:r>
      <w:r w:rsidR="002753EB">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before proceeding further in the discussion.  </w:t>
      </w:r>
      <w:r w:rsidR="002753EB">
        <w:rPr>
          <w:rFonts w:ascii="Times New Roman" w:hAnsi="Times New Roman" w:cs="Times New Roman"/>
          <w:sz w:val="24"/>
          <w:szCs w:val="24"/>
        </w:rPr>
        <w:t xml:space="preserve">In defining these terms, I draw upon the literature on technology, technology transfer, and information sciences.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2753EB"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begin, t</w:t>
      </w:r>
      <w:r w:rsidR="004E6565" w:rsidRPr="00A22400">
        <w:rPr>
          <w:rFonts w:ascii="Times New Roman" w:hAnsi="Times New Roman" w:cs="Times New Roman"/>
          <w:sz w:val="24"/>
          <w:szCs w:val="24"/>
        </w:rPr>
        <w:t>here is no universally accepted definition</w:t>
      </w:r>
      <w:r>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Pr>
          <w:rFonts w:ascii="Times New Roman" w:hAnsi="Times New Roman" w:cs="Times New Roman"/>
          <w:sz w:val="24"/>
          <w:szCs w:val="24"/>
        </w:rPr>
        <w:t>B</w:t>
      </w:r>
      <w:r w:rsidR="004E6565">
        <w:rPr>
          <w:rFonts w:ascii="Times New Roman" w:hAnsi="Times New Roman" w:cs="Times New Roman"/>
          <w:sz w:val="24"/>
          <w:szCs w:val="24"/>
        </w:rPr>
        <w:t xml:space="preserve">ased on </w:t>
      </w:r>
      <w:r>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Pr>
          <w:rFonts w:ascii="Times New Roman" w:hAnsi="Times New Roman" w:cs="Times New Roman"/>
          <w:sz w:val="24"/>
          <w:szCs w:val="24"/>
        </w:rPr>
        <w:t>.</w:t>
      </w:r>
    </w:p>
    <w:p w:rsidR="00A5675E"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For the purposes of the proposed study, I conceptualize technology as culturally-influenced informa</w:t>
      </w:r>
      <w:r w:rsidR="00A84246">
        <w:rPr>
          <w:rFonts w:ascii="Times New Roman" w:hAnsi="Times New Roman" w:cs="Times New Roman"/>
          <w:sz w:val="24"/>
          <w:szCs w:val="24"/>
        </w:rPr>
        <w:t>tion that social actors (primarily</w:t>
      </w:r>
      <w:r>
        <w:rPr>
          <w:rFonts w:ascii="Times New Roman" w:hAnsi="Times New Roman" w:cs="Times New Roman"/>
          <w:sz w:val="24"/>
          <w:szCs w:val="24"/>
        </w:rPr>
        <w:t xml:space="preserve"> organizations) 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is embodied in such a manner to enable, hinder, or otherwise 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w:t>
      </w:r>
      <w:r w:rsidR="00D727AB">
        <w:rPr>
          <w:rFonts w:ascii="Times New Roman" w:hAnsi="Times New Roman" w:cs="Times New Roman"/>
          <w:sz w:val="24"/>
          <w:szCs w:val="24"/>
        </w:rPr>
        <w:t xml:space="preserve">This is consistent with the observation by Lall (2001) that technology must be embodied in specific items.  </w:t>
      </w:r>
    </w:p>
    <w:p w:rsidR="001B1337" w:rsidRDefault="00A5675E"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conceptualization of technology has important implications.  </w:t>
      </w:r>
      <w:r>
        <w:rPr>
          <w:rFonts w:ascii="Times New Roman" w:hAnsi="Times New Roman" w:cs="Times New Roman"/>
          <w:sz w:val="24"/>
          <w:szCs w:val="24"/>
        </w:rPr>
        <w:t xml:space="preserve">For example, a journal article is simply information about a scientific phenomenon that is embodied in a periodical format to facilitate is dissemination and accessibility.  </w:t>
      </w:r>
      <w:r w:rsidR="001B1337">
        <w:rPr>
          <w:rFonts w:ascii="Times New Roman" w:hAnsi="Times New Roman" w:cs="Times New Roman"/>
          <w:sz w:val="24"/>
          <w:szCs w:val="24"/>
        </w:rPr>
        <w:t>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As a construct, it seems that technology is “a bastard child of uncertain parentage” (Schatzberg,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r w:rsidRPr="00850D63">
        <w:rPr>
          <w:rFonts w:ascii="Times New Roman" w:hAnsi="Times New Roman" w:cs="Times New Roman"/>
          <w:i/>
          <w:sz w:val="24"/>
          <w:szCs w:val="24"/>
        </w:rPr>
        <w:t>techne</w:t>
      </w:r>
      <w:r>
        <w:rPr>
          <w:rFonts w:ascii="Times New Roman" w:hAnsi="Times New Roman" w:cs="Times New Roman"/>
          <w:sz w:val="24"/>
          <w:szCs w:val="24"/>
        </w:rPr>
        <w:t xml:space="preserve">, which is its oldest cognate.  As Schatzberg explained, </w:t>
      </w:r>
      <w:r w:rsidRPr="00850D63">
        <w:rPr>
          <w:rFonts w:ascii="Times New Roman" w:hAnsi="Times New Roman" w:cs="Times New Roman"/>
          <w:i/>
          <w:sz w:val="24"/>
          <w:szCs w:val="24"/>
        </w:rPr>
        <w:t>Techne</w:t>
      </w:r>
      <w:r>
        <w:rPr>
          <w:rFonts w:ascii="Times New Roman" w:hAnsi="Times New Roman" w:cs="Times New Roman"/>
          <w:sz w:val="24"/>
          <w:szCs w:val="24"/>
        </w:rPr>
        <w:t xml:space="preserve"> </w:t>
      </w:r>
      <w:r w:rsidRPr="00850D63">
        <w:rPr>
          <w:rFonts w:ascii="Times New Roman" w:hAnsi="Times New Roman" w:cs="Times New Roman"/>
          <w:sz w:val="24"/>
          <w:szCs w:val="24"/>
        </w:rPr>
        <w:t xml:space="preserve">referred to the science (i.e., principles and </w:t>
      </w:r>
      <w:r w:rsidRPr="00850D63">
        <w:rPr>
          <w:rFonts w:ascii="Times New Roman" w:hAnsi="Times New Roman" w:cs="Times New Roman"/>
          <w:sz w:val="24"/>
          <w:szCs w:val="24"/>
        </w:rPr>
        <w:lastRenderedPageBreak/>
        <w:t>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which was derived from the concept of </w:t>
      </w:r>
      <w:r w:rsidRPr="007B4C19">
        <w:rPr>
          <w:rFonts w:ascii="Times New Roman" w:hAnsi="Times New Roman" w:cs="Times New Roman"/>
          <w:i/>
          <w:sz w:val="24"/>
          <w:szCs w:val="24"/>
        </w:rPr>
        <w:t>techne</w:t>
      </w:r>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B6373">
        <w:rPr>
          <w:rFonts w:ascii="Times New Roman" w:hAnsi="Times New Roman" w:cs="Times New Roman"/>
          <w:i/>
          <w:sz w:val="24"/>
          <w:szCs w:val="24"/>
        </w:rPr>
        <w:t>Technik</w:t>
      </w:r>
      <w:r>
        <w:rPr>
          <w:rFonts w:ascii="Times New Roman" w:hAnsi="Times New Roman" w:cs="Times New Roman"/>
          <w:sz w:val="24"/>
          <w:szCs w:val="24"/>
        </w:rPr>
        <w:t xml:space="preserve"> was distinct from the German term </w:t>
      </w:r>
      <w:r w:rsidRPr="00590D27">
        <w:rPr>
          <w:rFonts w:ascii="Times New Roman" w:hAnsi="Times New Roman" w:cs="Times New Roman"/>
          <w:i/>
          <w:sz w:val="24"/>
          <w:szCs w:val="24"/>
        </w:rPr>
        <w:t>Technologie</w:t>
      </w:r>
      <w:r>
        <w:rPr>
          <w:rFonts w:ascii="Times New Roman" w:hAnsi="Times New Roman" w:cs="Times New Roman"/>
          <w:sz w:val="24"/>
          <w:szCs w:val="24"/>
        </w:rPr>
        <w:t xml:space="preserve">, both of which were associated with craft production.  </w:t>
      </w:r>
      <w:r w:rsidRPr="00B36ADD">
        <w:rPr>
          <w:rFonts w:ascii="Times New Roman" w:hAnsi="Times New Roman" w:cs="Times New Roman"/>
          <w:i/>
          <w:sz w:val="24"/>
          <w:szCs w:val="24"/>
        </w:rPr>
        <w:t>Technik</w:t>
      </w:r>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r w:rsidRPr="00590D27">
        <w:rPr>
          <w:rFonts w:ascii="Times New Roman" w:hAnsi="Times New Roman" w:cs="Times New Roman"/>
          <w:i/>
          <w:sz w:val="24"/>
          <w:szCs w:val="24"/>
        </w:rPr>
        <w:t>Technik</w:t>
      </w:r>
      <w:r>
        <w:rPr>
          <w:rFonts w:ascii="Times New Roman" w:hAnsi="Times New Roman" w:cs="Times New Roman"/>
          <w:sz w:val="24"/>
          <w:szCs w:val="24"/>
        </w:rPr>
        <w:t xml:space="preserve"> eventually shaped the modern concept of technology in the English language in an unfortunate way.  English language scholars mistranslated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whose meaning in the German language varied depending on context.  Mistranslation of </w:t>
      </w:r>
      <w:r w:rsidRPr="00DA761B">
        <w:rPr>
          <w:rFonts w:ascii="Times New Roman" w:hAnsi="Times New Roman" w:cs="Times New Roman"/>
          <w:i/>
          <w:sz w:val="24"/>
          <w:szCs w:val="24"/>
        </w:rPr>
        <w:t>Technik</w:t>
      </w:r>
      <w:r>
        <w:rPr>
          <w:rFonts w:ascii="Times New Roman" w:hAnsi="Times New Roman" w:cs="Times New Roman"/>
          <w:sz w:val="24"/>
          <w:szCs w:val="24"/>
        </w:rPr>
        <w:t xml:space="preserve"> contributed significantly to the current confusion in the meaning of technology in the English language (Schatzberg).</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Throughout history, spokespeople for various fields used the concept of technology as a handy foil to define the boundaries and elevate the status of their respective disciplines, which further muddled the meaning of technology (Schatzberg, 2018).  These individuals, from Aristotle to Vennevar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Currently there are two primary schools of thought among English-speaking scholars regarding the definition of technology (Schatzberg,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(Schatzberg, p. 3).  Scholars in this camp point to the influence that human culture and agency has in shaping technological change.  Both these viewpoints seem to touch on fundamental truths about the nature of technology (Schatzberg)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(Schatzberg,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According to Schatzberg, these meanings are incompatible with one another.  I would also argue that they are somewhat arbitrary categorizations derived from social machinations.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Feibleman (1961) exemplifies the quandary of conceptualizing technology.  Feibleman attempted to distinguish between pure science, applied science, technology, and engineering.  His approach essentially places these constructs on a continuum with each one building on the previous one.  Feibleman argued that pure science was systematic theoretical and experimental efforts to describe nature and discover laws with no concern for potential application.  Applied science was the application of pure science for improving human means and ends.  Fiebleman </w:t>
      </w:r>
      <w:r>
        <w:rPr>
          <w:rFonts w:ascii="Times New Roman" w:hAnsi="Times New Roman" w:cs="Times New Roman"/>
          <w:sz w:val="24"/>
          <w:szCs w:val="24"/>
        </w:rPr>
        <w:lastRenderedPageBreak/>
        <w:t>defined technology as improvements of instruments used to extend applied science.  This definition conforms to the instrumental reason conceptualization of technology.  Fiebleman argued that engineering was technology applied to specific situations.</w:t>
      </w:r>
      <w:r w:rsidRPr="00114F32">
        <w:rPr>
          <w:rFonts w:ascii="Times New Roman" w:hAnsi="Times New Roman" w:cs="Times New Roman"/>
          <w:sz w:val="24"/>
          <w:szCs w:val="24"/>
        </w:rPr>
        <w:t xml:space="preserve"> </w:t>
      </w:r>
      <w:r>
        <w:rPr>
          <w:rFonts w:ascii="Times New Roman" w:hAnsi="Times New Roman" w:cs="Times New Roman"/>
          <w:sz w:val="24"/>
          <w:szCs w:val="24"/>
        </w:rPr>
        <w:t xml:space="preserve"> Fiebleman did note that scientific pursuits are not entirely pure science or applied science.  Moreover, he observed that 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 when operationalizing the concept.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Markman, Gianiodis &amp; Phan, 2005; CITATION NEEDED; and CITATION NEEDED are representative of studies that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to a university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w:t>
      </w:r>
      <w:r>
        <w:rPr>
          <w:rFonts w:ascii="Times New Roman" w:hAnsi="Times New Roman" w:cs="Times New Roman"/>
          <w:sz w:val="24"/>
          <w:szCs w:val="24"/>
        </w:rPr>
        <w:lastRenderedPageBreak/>
        <w:t>method as technology.  However, if the L.E.A.P. method were patentable subject matter and patented accordingly, society would likely recognize it as technology.  This seems rather arbitrary and demonstrates a further narrowing of the meaning of technology from applied 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technology as “information that is put to use” (p. 13).  Leonard-Barton (1990) expanded on this by offering that technology was knowledge embodied in an artifact that facilitates the completion of some task.  Leonard-Barton further stipulated that such knowledge is technology only when captured in a form that is communicable.  Herschbach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r w:rsidR="00B26836" w:rsidRPr="00B26836">
        <w:t xml:space="preserve"> </w:t>
      </w:r>
      <w:r w:rsidR="00B26836">
        <w:t xml:space="preserve"> </w:t>
      </w:r>
      <w:r w:rsidR="00B26836" w:rsidRPr="00B26836">
        <w:rPr>
          <w:rFonts w:ascii="Times New Roman" w:hAnsi="Times New Roman" w:cs="Times New Roman"/>
          <w:sz w:val="24"/>
          <w:szCs w:val="24"/>
        </w:rPr>
        <w:t xml:space="preserve">Stoneman </w:t>
      </w:r>
      <w:r w:rsidR="00B26836">
        <w:rPr>
          <w:rFonts w:ascii="Times New Roman" w:hAnsi="Times New Roman" w:cs="Times New Roman"/>
          <w:sz w:val="24"/>
          <w:szCs w:val="24"/>
        </w:rPr>
        <w:t xml:space="preserve">(2002) </w:t>
      </w:r>
      <w:r w:rsidR="00B26836" w:rsidRPr="00B26836">
        <w:rPr>
          <w:rFonts w:ascii="Times New Roman" w:hAnsi="Times New Roman" w:cs="Times New Roman"/>
          <w:sz w:val="24"/>
          <w:szCs w:val="24"/>
        </w:rPr>
        <w:t xml:space="preserve">also pointed out that technology has been defined as information or knowledge within the literature, which has </w:t>
      </w:r>
      <w:r w:rsidR="00B26836">
        <w:rPr>
          <w:rFonts w:ascii="Times New Roman" w:hAnsi="Times New Roman" w:cs="Times New Roman"/>
          <w:sz w:val="24"/>
          <w:szCs w:val="24"/>
        </w:rPr>
        <w:t>certain analytical advantages.</w:t>
      </w:r>
    </w:p>
    <w:p w:rsidR="003E5991" w:rsidRPr="00791159" w:rsidRDefault="004E6565" w:rsidP="003E5991">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The information sciences literature provides the foundation for conceptualizing technology in terms of information.  The DIKW (data, information, knowledge, wisdom) hierarchy is the primary paradigm used in information science and knowledge management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2019).  </w:t>
      </w:r>
      <w:r w:rsidR="003E5991">
        <w:rPr>
          <w:rFonts w:ascii="Times New Roman" w:eastAsia="Calibri" w:hAnsi="Times New Roman" w:cs="Times New Roman"/>
          <w:sz w:val="24"/>
          <w:szCs w:val="24"/>
        </w:rPr>
        <w:t xml:space="preserve">Conceptualizing technology in terms of information as described in the </w:t>
      </w:r>
      <w:r w:rsidR="003E5991">
        <w:rPr>
          <w:rFonts w:ascii="Times New Roman" w:eastAsia="Calibri" w:hAnsi="Times New Roman" w:cs="Times New Roman"/>
          <w:sz w:val="24"/>
          <w:szCs w:val="24"/>
        </w:rPr>
        <w:t xml:space="preserve">DIKW </w:t>
      </w:r>
      <w:r w:rsidR="003E5991">
        <w:rPr>
          <w:rFonts w:ascii="Times New Roman" w:eastAsia="Calibri" w:hAnsi="Times New Roman" w:cs="Times New Roman"/>
          <w:sz w:val="24"/>
          <w:szCs w:val="24"/>
        </w:rPr>
        <w:lastRenderedPageBreak/>
        <w:t>hierarchy has at least one</w:t>
      </w:r>
      <w:r w:rsidR="003E5991">
        <w:rPr>
          <w:rFonts w:ascii="Times New Roman" w:eastAsia="Calibri" w:hAnsi="Times New Roman" w:cs="Times New Roman"/>
          <w:sz w:val="24"/>
          <w:szCs w:val="24"/>
        </w:rPr>
        <w:t xml:space="preserve"> advantage.  </w:t>
      </w:r>
      <w:r w:rsidR="003E5991">
        <w:rPr>
          <w:rFonts w:ascii="Times New Roman" w:eastAsia="Calibri" w:hAnsi="Times New Roman" w:cs="Times New Roman"/>
          <w:sz w:val="24"/>
          <w:szCs w:val="24"/>
        </w:rPr>
        <w:t>T</w:t>
      </w:r>
      <w:r w:rsidR="003E5991">
        <w:rPr>
          <w:rFonts w:ascii="Times New Roman" w:eastAsia="Calibri" w:hAnsi="Times New Roman" w:cs="Times New Roman"/>
          <w:sz w:val="24"/>
          <w:szCs w:val="24"/>
        </w:rPr>
        <w:t>here i</w:t>
      </w:r>
      <w:r w:rsidR="003E5991" w:rsidRPr="003E5991">
        <w:rPr>
          <w:rFonts w:ascii="Times New Roman" w:eastAsia="Calibri" w:hAnsi="Times New Roman" w:cs="Times New Roman"/>
          <w:sz w:val="24"/>
          <w:szCs w:val="24"/>
        </w:rPr>
        <w:t>s general agreement about the elements of the hierarchy, their definitions, and their ordering</w:t>
      </w:r>
      <w:r w:rsidR="003E5991" w:rsidRPr="003E5991">
        <w:rPr>
          <w:rFonts w:ascii="Times New Roman" w:eastAsia="Calibri" w:hAnsi="Times New Roman" w:cs="Times New Roman"/>
          <w:sz w:val="24"/>
          <w:szCs w:val="24"/>
        </w:rPr>
        <w:t xml:space="preserve"> </w:t>
      </w:r>
      <w:r w:rsidR="003E5991">
        <w:rPr>
          <w:rFonts w:ascii="Times New Roman" w:eastAsia="Calibri" w:hAnsi="Times New Roman" w:cs="Times New Roman"/>
          <w:sz w:val="24"/>
          <w:szCs w:val="24"/>
        </w:rPr>
        <w:t xml:space="preserve">(Rowley, </w:t>
      </w:r>
      <w:r w:rsidR="003E5991">
        <w:rPr>
          <w:rFonts w:ascii="Times New Roman" w:eastAsia="Calibri" w:hAnsi="Times New Roman" w:cs="Times New Roman"/>
          <w:sz w:val="24"/>
          <w:szCs w:val="24"/>
        </w:rPr>
        <w:t>2007).</w:t>
      </w:r>
    </w:p>
    <w:p w:rsidR="004E6565" w:rsidRDefault="004E6565" w:rsidP="004E6565">
      <w:pPr>
        <w:spacing w:after="0"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explained, each category in the DIKW hieararchy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By definition,</w:t>
      </w:r>
      <w:r w:rsidRPr="00791159">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isdom is knowledge that is applied to achieve an end.</w:t>
      </w:r>
      <w:r>
        <w:rPr>
          <w:rFonts w:ascii="Times New Roman" w:eastAsia="Calibri" w:hAnsi="Times New Roman" w:cs="Times New Roman"/>
          <w:sz w:val="24"/>
          <w:szCs w:val="24"/>
        </w:rPr>
        <w:t xml:space="preserve">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Leonard-Barton (1990) that knowledge must be captured in communicable form to be considered technology.  Frick</w:t>
      </w:r>
      <w:r w:rsidRPr="00E562EE">
        <w:rPr>
          <w:rFonts w:ascii="Times New Roman" w:eastAsia="Calibri" w:hAnsi="Times New Roman" w:cs="Times New Roman"/>
          <w:sz w:val="24"/>
          <w:szCs w:val="24"/>
        </w:rPr>
        <w:t>é</w:t>
      </w:r>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(Gonzalez-Pernia, Kuechle</w:t>
      </w:r>
      <w:r>
        <w:rPr>
          <w:rFonts w:ascii="Times New Roman" w:hAnsi="Times New Roman" w:cs="Times New Roman"/>
          <w:sz w:val="24"/>
          <w:szCs w:val="24"/>
        </w:rPr>
        <w:t>,</w:t>
      </w:r>
      <w:r w:rsidRPr="00A22400">
        <w:rPr>
          <w:rFonts w:ascii="Times New Roman" w:hAnsi="Times New Roman" w:cs="Times New Roman"/>
          <w:sz w:val="24"/>
          <w:szCs w:val="24"/>
        </w:rPr>
        <w:t xml:space="preserve"> &amp; Pena-Legazkue,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 of the DIKW (data, information, knowledge, wisdom) hierarchy, information is data that has been processed to answer a query whereas knowledge is information that has been transformed into instructions to enable control of a system (Frické, 2019).  In the DIKW hierarchy, each category includes the categories below it (Frické).  As such, knowledge can </w:t>
      </w:r>
      <w:r>
        <w:rPr>
          <w:rFonts w:ascii="Times New Roman" w:hAnsi="Times New Roman" w:cs="Times New Roman"/>
          <w:sz w:val="24"/>
          <w:szCs w:val="24"/>
        </w:rPr>
        <w:lastRenderedPageBreak/>
        <w:t>consist of technology (i.e., information) but technology is not knowledge.  Technology is used to create knowledge but it is not itself knowledge.  However, knowledge is an output of the technology transfer process.</w:t>
      </w:r>
    </w:p>
    <w:p w:rsidR="005F2BAE" w:rsidRDefault="005F2BAE"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w:t>
      </w:r>
      <w:r w:rsidR="00E8568B">
        <w:rPr>
          <w:rFonts w:ascii="Times New Roman" w:hAnsi="Times New Roman" w:cs="Times New Roman"/>
          <w:sz w:val="24"/>
          <w:szCs w:val="24"/>
        </w:rPr>
        <w:t xml:space="preserve">Lall </w:t>
      </w:r>
      <w:r w:rsidR="007368A1">
        <w:rPr>
          <w:rFonts w:ascii="Times New Roman" w:hAnsi="Times New Roman" w:cs="Times New Roman"/>
          <w:sz w:val="24"/>
          <w:szCs w:val="24"/>
        </w:rPr>
        <w:t>(2001) observed that the</w:t>
      </w:r>
      <w:r w:rsidR="00E8568B">
        <w:rPr>
          <w:rFonts w:ascii="Times New Roman" w:hAnsi="Times New Roman" w:cs="Times New Roman"/>
          <w:sz w:val="24"/>
          <w:szCs w:val="24"/>
        </w:rPr>
        <w:t xml:space="preserve"> </w:t>
      </w:r>
      <w:r w:rsidR="007368A1">
        <w:rPr>
          <w:rFonts w:ascii="Times New Roman" w:hAnsi="Times New Roman" w:cs="Times New Roman"/>
          <w:sz w:val="24"/>
          <w:szCs w:val="24"/>
        </w:rPr>
        <w:t xml:space="preserve">information and knowledge aspects of </w:t>
      </w:r>
      <w:r w:rsidR="00E8568B">
        <w:rPr>
          <w:rFonts w:ascii="Times New Roman" w:hAnsi="Times New Roman" w:cs="Times New Roman"/>
          <w:sz w:val="24"/>
          <w:szCs w:val="24"/>
        </w:rPr>
        <w:t xml:space="preserve">technology </w:t>
      </w:r>
      <w:r w:rsidR="007368A1">
        <w:rPr>
          <w:rFonts w:ascii="Times New Roman" w:hAnsi="Times New Roman" w:cs="Times New Roman"/>
          <w:sz w:val="24"/>
          <w:szCs w:val="24"/>
        </w:rPr>
        <w:t xml:space="preserve">have public good characteristics.  It is non-rivalrous given that use by one party does not diminish the stock for others.  </w:t>
      </w:r>
      <w:r>
        <w:rPr>
          <w:rFonts w:ascii="Times New Roman" w:hAnsi="Times New Roman" w:cs="Times New Roman"/>
          <w:sz w:val="24"/>
          <w:szCs w:val="24"/>
        </w:rPr>
        <w:t xml:space="preserve">Once a technology is developed, its use by one person generally does not impede its use by another.  However, the technology may be excludable depending on its embodiment or it can be made excludable by conferring property rights to the technology in the form of intellectual property (i.e., patents, copyrights, and trade secrets) that can be enforced using the coercive powers of the state.  </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 xml:space="preserve">investigation is university technology transfer in the United States, by which I mean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federally-funded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sector 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76724"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inition of technology transfer and</w:t>
      </w:r>
      <w:r w:rsidRPr="00A22400">
        <w:rPr>
          <w:rFonts w:ascii="Times New Roman" w:hAnsi="Times New Roman" w:cs="Times New Roman"/>
          <w:sz w:val="24"/>
          <w:szCs w:val="24"/>
        </w:rPr>
        <w:t xml:space="preserve"> most studies 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sidR="00C76724">
        <w:rPr>
          <w:rFonts w:ascii="Times New Roman" w:hAnsi="Times New Roman" w:cs="Times New Roman"/>
          <w:sz w:val="24"/>
          <w:szCs w:val="24"/>
        </w:rPr>
        <w:t xml:space="preserve">The definition of technology transfer seems to vary depending on the approach to the topic.  In their investigation of the effects of international technology transfer on welfare under the conditions of Bertrand and Cournot competition, Kuo, </w:t>
      </w:r>
      <w:r w:rsidR="00C76724">
        <w:rPr>
          <w:rFonts w:ascii="Times New Roman" w:hAnsi="Times New Roman" w:cs="Times New Roman"/>
          <w:sz w:val="24"/>
          <w:szCs w:val="24"/>
        </w:rPr>
        <w:lastRenderedPageBreak/>
        <w:t xml:space="preserve">Lin, and Peng (2016) defined technology transfer as “the process of transferring a new technology from a firm in one country to a firm in another country” (p. 214).  </w:t>
      </w:r>
    </w:p>
    <w:p w:rsidR="004E6565" w:rsidRDefault="004E6565" w:rsidP="00D34F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1317A6"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r w:rsidRPr="00CB3663">
        <w:rPr>
          <w:rFonts w:ascii="Times New Roman" w:hAnsi="Times New Roman" w:cs="Times New Roman"/>
          <w:sz w:val="24"/>
          <w:szCs w:val="24"/>
        </w:rPr>
        <w:t>Kundu, Bhar, and Pandurangan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organization, for another purpose.”</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nition seems somewhat labored.  Kundu, Bhar, and Pandurangan seem to have been striving for a definition that comprehensively captures the technology transfer phenomenon but their definition falls short of the goal.</w:t>
      </w:r>
      <w:r w:rsidR="001317A6">
        <w:rPr>
          <w:rFonts w:ascii="Times New Roman" w:hAnsi="Times New Roman" w:cs="Times New Roman"/>
          <w:sz w:val="24"/>
          <w:szCs w:val="24"/>
        </w:rPr>
        <w:t xml:space="preserve">  </w:t>
      </w:r>
    </w:p>
    <w:p w:rsidR="004E6565" w:rsidRDefault="001317A6"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Speser (2012) defined technology transfer as </w:t>
      </w:r>
      <w:r w:rsidRPr="001317A6">
        <w:rPr>
          <w:rFonts w:ascii="Times New Roman" w:hAnsi="Times New Roman" w:cs="Times New Roman"/>
          <w:sz w:val="24"/>
          <w:szCs w:val="24"/>
        </w:rPr>
        <w:t xml:space="preserve">“the transfer of technology from one person to another across organizational lines” (p. xxiii).  This definition seems somewhat circular.  </w:t>
      </w:r>
      <w:r w:rsidRPr="001317A6">
        <w:rPr>
          <w:rFonts w:ascii="Times New Roman" w:hAnsi="Times New Roman" w:cs="Times New Roman"/>
          <w:sz w:val="24"/>
          <w:szCs w:val="24"/>
        </w:rPr>
        <w:lastRenderedPageBreak/>
        <w:t>Moreover, the definition of technology used in</w:t>
      </w:r>
      <w:r>
        <w:rPr>
          <w:rFonts w:ascii="Times New Roman" w:hAnsi="Times New Roman" w:cs="Times New Roman"/>
          <w:sz w:val="24"/>
          <w:szCs w:val="24"/>
        </w:rPr>
        <w:t xml:space="preserve"> Spser’s</w:t>
      </w:r>
      <w:r w:rsidRPr="001317A6">
        <w:rPr>
          <w:rFonts w:ascii="Times New Roman" w:hAnsi="Times New Roman" w:cs="Times New Roman"/>
          <w:sz w:val="24"/>
          <w:szCs w:val="24"/>
        </w:rPr>
        <w:t xml:space="preserve"> model is more narrow in practice.  Technologies are ideas that can be embodied in such a form that their creators can secure property rights and rely on the coercive powers of the state to enforce those rights.  </w:t>
      </w:r>
    </w:p>
    <w:p w:rsidR="009E697C" w:rsidRDefault="009E697C"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defining technology transfer, it is important to distinguish between it and the closely related phenomenon of technology diffusion.  </w:t>
      </w:r>
      <w:r w:rsidRPr="009E697C">
        <w:rPr>
          <w:rFonts w:ascii="Times New Roman" w:hAnsi="Times New Roman" w:cs="Times New Roman"/>
          <w:sz w:val="24"/>
          <w:szCs w:val="24"/>
        </w:rPr>
        <w:t>Technological diffusion is concerned with the dissemination of a technology throughout an industry or an economy after first incorporation whereas technology transfer has</w:t>
      </w:r>
      <w:r>
        <w:rPr>
          <w:rFonts w:ascii="Times New Roman" w:hAnsi="Times New Roman" w:cs="Times New Roman"/>
          <w:sz w:val="24"/>
          <w:szCs w:val="24"/>
        </w:rPr>
        <w:t xml:space="preserve"> more</w:t>
      </w:r>
      <w:r w:rsidRPr="009E697C">
        <w:rPr>
          <w:rFonts w:ascii="Times New Roman" w:hAnsi="Times New Roman" w:cs="Times New Roman"/>
          <w:sz w:val="24"/>
          <w:szCs w:val="24"/>
        </w:rPr>
        <w:t xml:space="preserve"> to do with the introduction and first incorporation of a technology</w:t>
      </w:r>
      <w:r>
        <w:rPr>
          <w:rFonts w:ascii="Times New Roman" w:hAnsi="Times New Roman" w:cs="Times New Roman"/>
          <w:sz w:val="24"/>
          <w:szCs w:val="24"/>
        </w:rPr>
        <w:t xml:space="preserve"> (Stoneman, 2002)</w:t>
      </w:r>
      <w:r w:rsidRPr="009E697C">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Research collaborations and faculty consulting agreements 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all been used as proxies for technology transfer (Gonzalez-Perni, Kuechle &amp; Pena-Legzkue, 2013; Hallam, Wurth &amp; Mancha, 2014; Markman, Gianiodis &amp; Phan, 2009).  </w:t>
      </w:r>
      <w:r>
        <w:rPr>
          <w:rFonts w:ascii="Times New Roman" w:hAnsi="Times New Roman" w:cs="Times New Roman"/>
          <w:sz w:val="24"/>
          <w:szCs w:val="24"/>
        </w:rPr>
        <w:t xml:space="preserve">Each of these approaches has its shortcomings.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590049">
        <w:rPr>
          <w:rFonts w:ascii="Times New Roman" w:hAnsi="Times New Roman" w:cs="Times New Roman"/>
          <w:sz w:val="24"/>
          <w:szCs w:val="24"/>
        </w:rPr>
        <w:t>Carlsson and Fridh</w:t>
      </w:r>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w:t>
      </w:r>
      <w:r>
        <w:rPr>
          <w:rFonts w:ascii="Times New Roman" w:hAnsi="Times New Roman" w:cs="Times New Roman"/>
          <w:sz w:val="24"/>
          <w:szCs w:val="24"/>
        </w:rPr>
        <w:lastRenderedPageBreak/>
        <w:t xml:space="preserve">formation.  Herzog and Wasden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link between such outcomes and technology transfer activity is not difficult to grasp intellectually, measuring them and establishing a causal relationship proves elusive.  Fraser (2010) mentioned several n</w:t>
      </w:r>
      <w:r w:rsidRPr="004D3052">
        <w:rPr>
          <w:rFonts w:ascii="Times New Roman" w:hAnsi="Times New Roman" w:cs="Times New Roman"/>
          <w:sz w:val="24"/>
          <w:szCs w:val="24"/>
        </w:rPr>
        <w:t>otable examples of new approaches to measuring technology transfer success included academic impact, economic impact, financial impact, and societal impact metrics created by the University-Industry Liaison Office at the University of British Columbia 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in many studies 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p>
    <w:p w:rsidR="005F2BAE" w:rsidRDefault="005F2BAE"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Technology transfer itself can also be thought of as an impure public good as well as a merit good.  The marginal cost of an additional actor pursuing the transfer of a technology is small.  Thus, technology transfer can be considered non-rivalrous.  However, technology transfer can be made excludable through legal mechanisms such as options and licenses for intellectual property.  Moreover, American society has decided, as demonstrated by the decisions of its elected leaders, that technology transfer is needed.  This satisfies the Musgrave (1998) definition of a merit good.</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E11B9C" w:rsidRDefault="00B0787E"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w:t>
      </w:r>
      <w:r w:rsidR="00BD3740">
        <w:rPr>
          <w:rFonts w:ascii="Times New Roman" w:hAnsi="Times New Roman" w:cs="Times New Roman"/>
          <w:sz w:val="24"/>
          <w:szCs w:val="24"/>
        </w:rPr>
        <w:t xml:space="preserve">in general </w:t>
      </w:r>
      <w:r w:rsidRPr="00805CD2">
        <w:rPr>
          <w:rFonts w:ascii="Times New Roman" w:hAnsi="Times New Roman" w:cs="Times New Roman"/>
          <w:sz w:val="24"/>
          <w:szCs w:val="24"/>
        </w:rPr>
        <w:t xml:space="preserve">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Schrier (1964) is one of the earliest peer-reviewed published works to explicitly address the subject.  The paper was inspired by Schrier’s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w:t>
      </w:r>
      <w:r w:rsidR="005F2BAE">
        <w:rPr>
          <w:rFonts w:ascii="Times New Roman" w:hAnsi="Times New Roman" w:cs="Times New Roman"/>
          <w:sz w:val="24"/>
          <w:szCs w:val="24"/>
        </w:rPr>
        <w:t xml:space="preserve">Schrier </w:t>
      </w:r>
      <w:r w:rsidR="005F2BAE" w:rsidRPr="00BE7BEF">
        <w:rPr>
          <w:rFonts w:ascii="Times New Roman" w:hAnsi="Times New Roman" w:cs="Times New Roman"/>
          <w:sz w:val="24"/>
          <w:szCs w:val="24"/>
        </w:rPr>
        <w:t xml:space="preserve">reported that </w:t>
      </w:r>
      <w:r w:rsidR="005F2BAE">
        <w:rPr>
          <w:rFonts w:ascii="Times New Roman" w:hAnsi="Times New Roman" w:cs="Times New Roman"/>
          <w:sz w:val="24"/>
          <w:szCs w:val="24"/>
        </w:rPr>
        <w:t>technology transfer was a controversial subject at the time.</w:t>
      </w:r>
      <w:r w:rsidR="005F2BAE" w:rsidRPr="00BE7BEF">
        <w:rPr>
          <w:rFonts w:ascii="Times New Roman" w:hAnsi="Times New Roman" w:cs="Times New Roman"/>
          <w:sz w:val="24"/>
          <w:szCs w:val="24"/>
        </w:rPr>
        <w:t xml:space="preserve"> </w:t>
      </w:r>
      <w:r w:rsidR="005F2BAE">
        <w:rPr>
          <w:rFonts w:ascii="Times New Roman" w:hAnsi="Times New Roman" w:cs="Times New Roman"/>
          <w:sz w:val="24"/>
          <w:szCs w:val="24"/>
        </w:rPr>
        <w:t xml:space="preserve"> Those focused on the topic found developing a</w:t>
      </w:r>
      <w:r w:rsidR="005F2BAE" w:rsidRPr="00BE7BEF">
        <w:rPr>
          <w:rFonts w:ascii="Times New Roman" w:hAnsi="Times New Roman" w:cs="Times New Roman"/>
          <w:sz w:val="24"/>
          <w:szCs w:val="24"/>
        </w:rPr>
        <w:t xml:space="preserve">dequate solutions to the challenges of technology transfer </w:t>
      </w:r>
      <w:r w:rsidR="005F2BAE">
        <w:rPr>
          <w:rFonts w:ascii="Times New Roman" w:hAnsi="Times New Roman" w:cs="Times New Roman"/>
          <w:sz w:val="24"/>
          <w:szCs w:val="24"/>
        </w:rPr>
        <w:t>rather elusive</w:t>
      </w:r>
      <w:r w:rsidR="005F2BAE" w:rsidRPr="00BE7BEF">
        <w:rPr>
          <w:rFonts w:ascii="Times New Roman" w:hAnsi="Times New Roman" w:cs="Times New Roman"/>
          <w:sz w:val="24"/>
          <w:szCs w:val="24"/>
        </w:rPr>
        <w:t>.</w:t>
      </w:r>
      <w:r w:rsidR="005F2BAE">
        <w:rPr>
          <w:rFonts w:ascii="Times New Roman" w:hAnsi="Times New Roman" w:cs="Times New Roman"/>
          <w:sz w:val="24"/>
          <w:szCs w:val="24"/>
        </w:rPr>
        <w:t xml:space="preserve">  Schrier also pointed out </w:t>
      </w:r>
      <w:r w:rsidR="005F2BAE" w:rsidRPr="00FD6532">
        <w:rPr>
          <w:rFonts w:ascii="Times New Roman" w:hAnsi="Times New Roman" w:cs="Times New Roman"/>
          <w:sz w:val="24"/>
          <w:szCs w:val="24"/>
        </w:rPr>
        <w:t>that there was a large stock of unexploited t</w:t>
      </w:r>
      <w:r w:rsidR="00BD3740">
        <w:rPr>
          <w:rFonts w:ascii="Times New Roman" w:hAnsi="Times New Roman" w:cs="Times New Roman"/>
          <w:sz w:val="24"/>
          <w:szCs w:val="24"/>
        </w:rPr>
        <w:t>echnology derived from federally-funded research and development.  Nearly 60 years later, this statement remains true</w:t>
      </w:r>
      <w:r w:rsidR="005F2BAE">
        <w:rPr>
          <w:rFonts w:ascii="Times New Roman" w:hAnsi="Times New Roman" w:cs="Times New Roman"/>
          <w:sz w:val="24"/>
          <w:szCs w:val="24"/>
        </w:rPr>
        <w:t xml:space="preserve">.  </w:t>
      </w:r>
      <w:r w:rsidR="00E11B9C" w:rsidRPr="00805CD2">
        <w:rPr>
          <w:rFonts w:ascii="Times New Roman" w:hAnsi="Times New Roman" w:cs="Times New Roman"/>
          <w:sz w:val="24"/>
          <w:szCs w:val="24"/>
        </w:rPr>
        <w:t>This study aims to answer</w:t>
      </w:r>
      <w:r w:rsidR="00E11B9C">
        <w:rPr>
          <w:rFonts w:ascii="Times New Roman" w:hAnsi="Times New Roman" w:cs="Times New Roman"/>
          <w:sz w:val="24"/>
          <w:szCs w:val="24"/>
        </w:rPr>
        <w:t xml:space="preserve"> the question of </w:t>
      </w:r>
      <w:r w:rsidR="00E11B9C" w:rsidRPr="0009261D">
        <w:rPr>
          <w:rFonts w:ascii="Times New Roman" w:hAnsi="Times New Roman" w:cs="Times New Roman"/>
          <w:sz w:val="24"/>
          <w:szCs w:val="24"/>
        </w:rPr>
        <w:t xml:space="preserve">why </w:t>
      </w:r>
      <w:r w:rsidR="00E11B9C">
        <w:rPr>
          <w:rFonts w:ascii="Times New Roman" w:hAnsi="Times New Roman" w:cs="Times New Roman"/>
          <w:sz w:val="24"/>
          <w:szCs w:val="24"/>
        </w:rPr>
        <w:t xml:space="preserve">private sector </w:t>
      </w:r>
      <w:r w:rsidR="00E11B9C" w:rsidRPr="0009261D">
        <w:rPr>
          <w:rFonts w:ascii="Times New Roman" w:hAnsi="Times New Roman" w:cs="Times New Roman"/>
          <w:sz w:val="24"/>
          <w:szCs w:val="24"/>
        </w:rPr>
        <w:t>companies</w:t>
      </w:r>
      <w:r w:rsidR="00BD3740">
        <w:rPr>
          <w:rFonts w:ascii="Times New Roman" w:hAnsi="Times New Roman" w:cs="Times New Roman"/>
          <w:sz w:val="24"/>
          <w:szCs w:val="24"/>
        </w:rPr>
        <w:t xml:space="preserve"> do</w:t>
      </w:r>
      <w:r w:rsidR="00E11B9C" w:rsidRPr="0009261D">
        <w:rPr>
          <w:rFonts w:ascii="Times New Roman" w:hAnsi="Times New Roman" w:cs="Times New Roman"/>
          <w:sz w:val="24"/>
          <w:szCs w:val="24"/>
        </w:rPr>
        <w:t xml:space="preserve"> not pursue</w:t>
      </w:r>
      <w:r w:rsidR="00BD3740">
        <w:rPr>
          <w:rFonts w:ascii="Times New Roman" w:hAnsi="Times New Roman" w:cs="Times New Roman"/>
          <w:sz w:val="24"/>
          <w:szCs w:val="24"/>
        </w:rPr>
        <w:t xml:space="preserve"> and use</w:t>
      </w:r>
      <w:r w:rsidR="00E11B9C" w:rsidRPr="0009261D">
        <w:rPr>
          <w:rFonts w:ascii="Times New Roman" w:hAnsi="Times New Roman" w:cs="Times New Roman"/>
          <w:sz w:val="24"/>
          <w:szCs w:val="24"/>
        </w:rPr>
        <w:t xml:space="preserve"> </w:t>
      </w:r>
      <w:r w:rsidR="00BD3740">
        <w:rPr>
          <w:rFonts w:ascii="Times New Roman" w:hAnsi="Times New Roman" w:cs="Times New Roman"/>
          <w:sz w:val="24"/>
          <w:szCs w:val="24"/>
        </w:rPr>
        <w:t xml:space="preserve">technologies derived from federally-funded R&amp;D conducted at universities in the United States </w:t>
      </w:r>
      <w:r w:rsidR="00E11B9C" w:rsidRPr="0009261D">
        <w:rPr>
          <w:rFonts w:ascii="Times New Roman" w:hAnsi="Times New Roman" w:cs="Times New Roman"/>
          <w:sz w:val="24"/>
          <w:szCs w:val="24"/>
        </w:rPr>
        <w:t xml:space="preserve"> </w:t>
      </w:r>
      <w:r w:rsidR="00E11B9C" w:rsidRPr="0009261D">
        <w:rPr>
          <w:rFonts w:ascii="Times New Roman" w:hAnsi="Times New Roman" w:cs="Times New Roman"/>
          <w:sz w:val="24"/>
          <w:szCs w:val="24"/>
        </w:rPr>
        <w:lastRenderedPageBreak/>
        <w:t>that seem to align with their missions and profit motives even when the companies appear to have the resources to do so</w:t>
      </w:r>
      <w:r w:rsidR="00E11B9C">
        <w:rPr>
          <w:rFonts w:ascii="Times New Roman" w:hAnsi="Times New Roman" w:cs="Times New Roman"/>
          <w:sz w:val="24"/>
          <w:szCs w:val="24"/>
        </w:rPr>
        <w:t>?</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This includes a clear understanding of the need for the public policy being investigated in addition to definitional and operational understanding of concepts.  As such, </w:t>
      </w:r>
      <w:r w:rsidR="00043E8A">
        <w:rPr>
          <w:rFonts w:ascii="Times New Roman" w:hAnsi="Times New Roman" w:cs="Times New Roman"/>
          <w:sz w:val="24"/>
          <w:szCs w:val="24"/>
        </w:rPr>
        <w:t>in addition</w:t>
      </w:r>
      <w:r w:rsidR="0027207C">
        <w:rPr>
          <w:rFonts w:ascii="Times New Roman" w:hAnsi="Times New Roman" w:cs="Times New Roman"/>
          <w:sz w:val="24"/>
          <w:szCs w:val="24"/>
        </w:rPr>
        <w:t xml:space="preserve"> to definitional and operational questions</w:t>
      </w:r>
      <w:r w:rsidR="00043E8A">
        <w:rPr>
          <w:rFonts w:ascii="Times New Roman" w:hAnsi="Times New Roman" w:cs="Times New Roman"/>
          <w:sz w:val="24"/>
          <w:szCs w:val="24"/>
        </w:rPr>
        <w:t xml:space="preserve"> – </w:t>
      </w:r>
      <w:r w:rsidR="0027207C">
        <w:rPr>
          <w:rFonts w:ascii="Times New Roman" w:hAnsi="Times New Roman" w:cs="Times New Roman"/>
          <w:sz w:val="24"/>
          <w:szCs w:val="24"/>
        </w:rPr>
        <w:t xml:space="preserve"> such as how does one define technology</w:t>
      </w:r>
      <w:r w:rsidR="00043E8A">
        <w:rPr>
          <w:rFonts w:ascii="Times New Roman" w:hAnsi="Times New Roman" w:cs="Times New Roman"/>
          <w:sz w:val="24"/>
          <w:szCs w:val="24"/>
        </w:rPr>
        <w:t xml:space="preserve"> and </w:t>
      </w:r>
      <w:r w:rsidR="0027207C">
        <w:rPr>
          <w:rFonts w:ascii="Times New Roman" w:hAnsi="Times New Roman" w:cs="Times New Roman"/>
          <w:sz w:val="24"/>
          <w:szCs w:val="24"/>
        </w:rPr>
        <w:t>a</w:t>
      </w:r>
      <w:r w:rsidR="0027207C" w:rsidRPr="0027207C">
        <w:rPr>
          <w:rFonts w:ascii="Times New Roman" w:hAnsi="Times New Roman" w:cs="Times New Roman"/>
          <w:sz w:val="24"/>
          <w:szCs w:val="24"/>
        </w:rPr>
        <w:t>t what point is a technology considered to be transferred to the private sector</w:t>
      </w:r>
      <w:r w:rsidR="00043E8A">
        <w:rPr>
          <w:rFonts w:ascii="Times New Roman" w:hAnsi="Times New Roman" w:cs="Times New Roman"/>
          <w:sz w:val="24"/>
          <w:szCs w:val="24"/>
        </w:rPr>
        <w:t xml:space="preserve"> – </w:t>
      </w:r>
      <w:r w:rsidR="0027207C">
        <w:rPr>
          <w:rFonts w:ascii="Times New Roman" w:hAnsi="Times New Roman" w:cs="Times New Roman"/>
          <w:sz w:val="24"/>
          <w:szCs w:val="24"/>
        </w:rPr>
        <w:t xml:space="preserve"> </w:t>
      </w:r>
      <w:r>
        <w:rPr>
          <w:rFonts w:ascii="Times New Roman" w:hAnsi="Times New Roman" w:cs="Times New Roman"/>
          <w:sz w:val="24"/>
          <w:szCs w:val="24"/>
        </w:rPr>
        <w:t>among the first questions that must be answered to pursue this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043E8A">
        <w:rPr>
          <w:rFonts w:ascii="Times New Roman" w:hAnsi="Times New Roman" w:cs="Times New Roman"/>
          <w:sz w:val="24"/>
          <w:szCs w:val="24"/>
        </w:rPr>
        <w:t>(1</w:t>
      </w:r>
      <w:r w:rsidR="0027207C">
        <w:rPr>
          <w:rFonts w:ascii="Times New Roman" w:hAnsi="Times New Roman" w:cs="Times New Roman"/>
          <w:sz w:val="24"/>
          <w:szCs w:val="24"/>
        </w:rPr>
        <w:t xml:space="preserve">) </w:t>
      </w:r>
      <w:r>
        <w:rPr>
          <w:rFonts w:ascii="Times New Roman" w:hAnsi="Times New Roman" w:cs="Times New Roman"/>
          <w:sz w:val="24"/>
          <w:szCs w:val="24"/>
        </w:rPr>
        <w:t xml:space="preserve">why is technology derived from R&amp;D important for </w:t>
      </w:r>
      <w:r w:rsidR="00043E8A">
        <w:rPr>
          <w:rFonts w:ascii="Times New Roman" w:hAnsi="Times New Roman" w:cs="Times New Roman"/>
          <w:sz w:val="24"/>
          <w:szCs w:val="24"/>
        </w:rPr>
        <w:t>social well-being?, (2</w:t>
      </w:r>
      <w:r w:rsidR="0027207C">
        <w:rPr>
          <w:rFonts w:ascii="Times New Roman" w:hAnsi="Times New Roman" w:cs="Times New Roman"/>
          <w:sz w:val="24"/>
          <w:szCs w:val="24"/>
        </w:rPr>
        <w:t>) what is the public interest in uni</w:t>
      </w:r>
      <w:r w:rsidR="00043E8A">
        <w:rPr>
          <w:rFonts w:ascii="Times New Roman" w:hAnsi="Times New Roman" w:cs="Times New Roman"/>
          <w:sz w:val="24"/>
          <w:szCs w:val="24"/>
        </w:rPr>
        <w:t>versity technology transfer?, (3</w:t>
      </w:r>
      <w:r w:rsidR="0027207C">
        <w:rPr>
          <w:rFonts w:ascii="Times New Roman" w:hAnsi="Times New Roman" w:cs="Times New Roman"/>
          <w:sz w:val="24"/>
          <w:szCs w:val="24"/>
        </w:rPr>
        <w:t>) why is it appropriate for the federal government to intervene in university technology transfer?, (</w:t>
      </w:r>
      <w:r w:rsidR="00043E8A">
        <w:rPr>
          <w:rFonts w:ascii="Times New Roman" w:hAnsi="Times New Roman" w:cs="Times New Roman"/>
          <w:sz w:val="24"/>
          <w:szCs w:val="24"/>
        </w:rPr>
        <w:t>4</w:t>
      </w:r>
      <w:r w:rsidR="0027207C">
        <w:rPr>
          <w:rFonts w:ascii="Times New Roman" w:hAnsi="Times New Roman" w:cs="Times New Roman"/>
          <w:sz w:val="24"/>
          <w:szCs w:val="24"/>
        </w:rPr>
        <w:t>) what should be the role of the government in univers</w:t>
      </w:r>
      <w:r w:rsidR="00043E8A">
        <w:rPr>
          <w:rFonts w:ascii="Times New Roman" w:hAnsi="Times New Roman" w:cs="Times New Roman"/>
          <w:sz w:val="24"/>
          <w:szCs w:val="24"/>
        </w:rPr>
        <w:t>ity technology transfer?, and (5</w:t>
      </w:r>
      <w:r w:rsidR="0027207C">
        <w:rPr>
          <w:rFonts w:ascii="Times New Roman" w:hAnsi="Times New Roman" w:cs="Times New Roman"/>
          <w:sz w:val="24"/>
          <w:szCs w:val="24"/>
        </w:rPr>
        <w:t>) what is currently known about the determinants of success in university technology transfer?</w:t>
      </w:r>
    </w:p>
    <w:p w:rsidR="00B0787E" w:rsidRDefault="00043E8A"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Answers to these questions</w:t>
      </w:r>
      <w:r w:rsidR="00B0787E">
        <w:rPr>
          <w:rFonts w:ascii="Times New Roman" w:hAnsi="Times New Roman" w:cs="Times New Roman"/>
          <w:sz w:val="24"/>
          <w:szCs w:val="24"/>
        </w:rPr>
        <w:t xml:space="preserve"> will inform several key decisions that I must make regarding the</w:t>
      </w:r>
      <w:r>
        <w:rPr>
          <w:rFonts w:ascii="Times New Roman" w:hAnsi="Times New Roman" w:cs="Times New Roman"/>
          <w:sz w:val="24"/>
          <w:szCs w:val="24"/>
        </w:rPr>
        <w:t xml:space="preserve"> </w:t>
      </w:r>
      <w:r w:rsidR="00B0787E">
        <w:rPr>
          <w:rFonts w:ascii="Times New Roman" w:hAnsi="Times New Roman" w:cs="Times New Roman"/>
          <w:sz w:val="24"/>
          <w:szCs w:val="24"/>
        </w:rPr>
        <w:t>research design</w:t>
      </w:r>
      <w:r>
        <w:rPr>
          <w:rFonts w:ascii="Times New Roman" w:hAnsi="Times New Roman" w:cs="Times New Roman"/>
          <w:sz w:val="24"/>
          <w:szCs w:val="24"/>
        </w:rPr>
        <w:t xml:space="preserve"> of the proposed study</w:t>
      </w:r>
      <w:r w:rsidR="00B0787E">
        <w:rPr>
          <w:rFonts w:ascii="Times New Roman" w:hAnsi="Times New Roman" w:cs="Times New Roman"/>
          <w:sz w:val="24"/>
          <w:szCs w:val="24"/>
        </w:rPr>
        <w:t xml:space="preserve">.  </w:t>
      </w:r>
      <w:r w:rsidR="00B0787E"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00B0787E"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Understanding university technology transfer </w:t>
      </w:r>
      <w:r w:rsidR="00043E8A">
        <w:rPr>
          <w:rFonts w:ascii="Times New Roman" w:hAnsi="Times New Roman" w:cs="Times New Roman"/>
          <w:sz w:val="24"/>
          <w:szCs w:val="24"/>
        </w:rPr>
        <w:t xml:space="preserve">as a phenomenon </w:t>
      </w:r>
      <w:r>
        <w:rPr>
          <w:rFonts w:ascii="Times New Roman" w:hAnsi="Times New Roman" w:cs="Times New Roman"/>
          <w:sz w:val="24"/>
          <w:szCs w:val="24"/>
        </w:rPr>
        <w:t>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w:t>
      </w:r>
      <w:r>
        <w:rPr>
          <w:rFonts w:ascii="Times New Roman" w:hAnsi="Times New Roman" w:cs="Times New Roman"/>
          <w:sz w:val="24"/>
          <w:szCs w:val="24"/>
        </w:rPr>
        <w:lastRenderedPageBreak/>
        <w:t xml:space="preserve">literature on public sector economics, organization theory and behavior, and decision theory helps provide the theoretical and conceptual framework for </w:t>
      </w:r>
      <w:r w:rsidR="00043E8A">
        <w:rPr>
          <w:rFonts w:ascii="Times New Roman" w:hAnsi="Times New Roman" w:cs="Times New Roman"/>
          <w:sz w:val="24"/>
          <w:szCs w:val="24"/>
        </w:rPr>
        <w:t>the proposed study</w:t>
      </w:r>
      <w:r>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Public sector economics provides the necessary perspective to understand the implications of conceiving technology and technology transfer as impure public goods.  Public sector economics is concerned with four primary questions.  First, what goods should society produce?  Second, how should society produce these goods?  Third, for who’s benefit should society produce these goods? And finally, how does society answer the previous three questions (Stiglitz &amp; Rosengard,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objectives of their motivations.</w:t>
      </w:r>
      <w:r>
        <w:rPr>
          <w:rFonts w:ascii="Times New Roman" w:hAnsi="Times New Roman" w:cs="Times New Roman"/>
          <w:sz w:val="24"/>
          <w:szCs w:val="24"/>
        </w:rPr>
        <w:t xml:space="preserve">  </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Under the current approach to university technology transfer, private sector organizations are presumed to be the consumers of university-created technologies.  This includes entrepreneurs who will need to build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 xml:space="preserve">technology transfer </w:t>
      </w:r>
      <w:r w:rsidR="00A311E5">
        <w:rPr>
          <w:rFonts w:ascii="Times New Roman" w:hAnsi="Times New Roman" w:cs="Times New Roman"/>
          <w:sz w:val="24"/>
          <w:szCs w:val="24"/>
        </w:rPr>
        <w:t xml:space="preserve">(and technology transfer in general) </w:t>
      </w:r>
      <w:r w:rsidR="00F510C9">
        <w:rPr>
          <w:rFonts w:ascii="Times New Roman" w:hAnsi="Times New Roman" w:cs="Times New Roman"/>
          <w:sz w:val="24"/>
          <w:szCs w:val="24"/>
        </w:rPr>
        <w:t>does not occur.  As such, how organizations function needs to be considered when crafting technology transfer policy.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Organization theory and behavior provides the perspective to understand how organizations function in the context of university technology transfer.  Private sector organizations pursue actions to improve performance, facilitate success, and ensure their survival (Pfeffer, 1997).  Organization theory and behavior examines these issues and thus can provide insight as to whether and how development stage might factor in to organizations technology transfer efforts directed at achieving these three objectives.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Thus, private sector organizations must make affirmative decisions to undertake technology transfer initiatives and coordinate their internal activities to carry them out.  However, organizational decision making is different than individual decision making.  Decision making in the context of an organization </w:t>
      </w:r>
      <w:r w:rsidR="00043E8A">
        <w:rPr>
          <w:rFonts w:ascii="Times New Roman" w:hAnsi="Times New Roman" w:cs="Times New Roman"/>
          <w:sz w:val="24"/>
          <w:szCs w:val="24"/>
        </w:rPr>
        <w:t xml:space="preserve">involves </w:t>
      </w:r>
      <w:r>
        <w:rPr>
          <w:rFonts w:ascii="Times New Roman" w:hAnsi="Times New Roman" w:cs="Times New Roman"/>
          <w:sz w:val="24"/>
          <w:szCs w:val="24"/>
        </w:rPr>
        <w:t xml:space="preserve">interactions among individuals and groups.  Thus, organizational decision making is a social phenomenon.  </w:t>
      </w:r>
      <w:r w:rsidR="005D74E1">
        <w:rPr>
          <w:rFonts w:ascii="Times New Roman" w:hAnsi="Times New Roman" w:cs="Times New Roman"/>
          <w:sz w:val="24"/>
          <w:szCs w:val="24"/>
        </w:rPr>
        <w:t xml:space="preserve">This implies that university technology transfer is also a social phenomenon and the tools of social science </w:t>
      </w:r>
      <w:r>
        <w:rPr>
          <w:rFonts w:ascii="Times New Roman" w:hAnsi="Times New Roman" w:cs="Times New Roman"/>
          <w:sz w:val="24"/>
          <w:szCs w:val="24"/>
        </w:rPr>
        <w:t>should provide useful insights that w</w:t>
      </w:r>
      <w:r w:rsidR="005D74E1">
        <w:rPr>
          <w:rFonts w:ascii="Times New Roman" w:hAnsi="Times New Roman" w:cs="Times New Roman"/>
          <w:sz w:val="24"/>
          <w:szCs w:val="24"/>
        </w:rPr>
        <w:t>ill better inform public policy regarding the topic.</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w:t>
      </w:r>
      <w:r w:rsidR="00043E8A">
        <w:rPr>
          <w:rFonts w:ascii="Times New Roman" w:hAnsi="Times New Roman" w:cs="Times New Roman"/>
          <w:sz w:val="24"/>
          <w:szCs w:val="24"/>
        </w:rPr>
        <w:t xml:space="preserve"> proposed study</w:t>
      </w:r>
      <w:r>
        <w:rPr>
          <w:rFonts w:ascii="Times New Roman" w:hAnsi="Times New Roman" w:cs="Times New Roman"/>
          <w:sz w:val="24"/>
          <w:szCs w:val="24"/>
        </w:rPr>
        <w:t xml:space="preserve"> draws upon various fields and is therefore interdisciplinary, I have organized this literature review thematically</w:t>
      </w:r>
      <w:r w:rsidR="005D74E1">
        <w:rPr>
          <w:rFonts w:ascii="Times New Roman" w:hAnsi="Times New Roman" w:cs="Times New Roman"/>
          <w:sz w:val="24"/>
          <w:szCs w:val="24"/>
        </w:rPr>
        <w:t>.</w:t>
      </w:r>
      <w:r>
        <w:rPr>
          <w:rFonts w:ascii="Times New Roman" w:hAnsi="Times New Roman" w:cs="Times New Roman"/>
          <w:sz w:val="24"/>
          <w:szCs w:val="24"/>
        </w:rPr>
        <w:t xml:space="preserve"> </w:t>
      </w:r>
      <w:r w:rsidR="005D74E1">
        <w:rPr>
          <w:rFonts w:ascii="Times New Roman" w:hAnsi="Times New Roman" w:cs="Times New Roman"/>
          <w:sz w:val="24"/>
          <w:szCs w:val="24"/>
        </w:rPr>
        <w:t xml:space="preserve">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literature related to the first perspective</w:t>
      </w:r>
      <w:r>
        <w:rPr>
          <w:rFonts w:ascii="Times New Roman" w:hAnsi="Times New Roman" w:cs="Times New Roman"/>
          <w:sz w:val="24"/>
          <w:szCs w:val="24"/>
        </w:rPr>
        <w:t xml:space="preserve"> –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transfer, specifically university technology transfer</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Finally, I suggest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752DF5" w:rsidRPr="00752DF5" w:rsidRDefault="00752DF5" w:rsidP="00752DF5">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52DF5">
        <w:rPr>
          <w:rFonts w:ascii="Times New Roman" w:hAnsi="Times New Roman" w:cs="Times New Roman"/>
          <w:caps/>
          <w:sz w:val="24"/>
          <w:szCs w:val="24"/>
        </w:rPr>
        <w:t>Describe the public interest in technologies derived from federally-funded research and development.</w:t>
      </w:r>
      <w:r>
        <w:rPr>
          <w:rFonts w:ascii="Times New Roman" w:hAnsi="Times New Roman" w:cs="Times New Roman"/>
          <w:sz w:val="24"/>
          <w:szCs w:val="24"/>
        </w:rPr>
        <w:t>]</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1944B9" w:rsidRPr="00805CD2" w:rsidRDefault="001944B9"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Pr="001944B9">
        <w:rPr>
          <w:rFonts w:ascii="Times New Roman" w:hAnsi="Times New Roman" w:cs="Times New Roman"/>
          <w:caps/>
          <w:sz w:val="24"/>
          <w:szCs w:val="24"/>
        </w:rPr>
        <w:t>Summarize federal policy regarding technology transfer for each presidential administration going back to the Eisenhower Administration.</w:t>
      </w:r>
      <w:r>
        <w:rPr>
          <w:rFonts w:ascii="Times New Roman" w:hAnsi="Times New Roman" w:cs="Times New Roman"/>
          <w:sz w:val="24"/>
          <w:szCs w:val="24"/>
        </w:rPr>
        <w:t>]</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Under these circumstances, making every dollar count is imperative.  Schrier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As Figure 1 in the Appendix </w:t>
      </w:r>
      <w:r w:rsidRPr="00805CD2">
        <w:rPr>
          <w:rFonts w:ascii="Times New Roman" w:hAnsi="Times New Roman" w:cs="Times New Roman"/>
          <w:sz w:val="24"/>
          <w:szCs w:val="24"/>
        </w:rPr>
        <w:lastRenderedPageBreak/>
        <w:t>shows, federal R&amp;D expenditures is equivalent to roughly 20 percent of the federal budget deficit and exceeds federal spending on transportation, the Supplemental Nutrition Assistance Program (SNAP), and law courts (U.S. Spending, n.d.).  As such, it’s important to ensure that technology transfer policy is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17C25">
        <w:rPr>
          <w:rFonts w:ascii="Times New Roman" w:hAnsi="Times New Roman" w:cs="Times New Roman"/>
          <w:sz w:val="24"/>
          <w:szCs w:val="24"/>
        </w:rPr>
        <w:t>ent of Science [AAAS], 2018b).</w:t>
      </w:r>
    </w:p>
    <w:p w:rsidR="009513D6" w:rsidRDefault="009513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4E6E11">
        <w:rPr>
          <w:rFonts w:ascii="Times New Roman" w:hAnsi="Times New Roman" w:cs="Times New Roman"/>
          <w:caps/>
          <w:sz w:val="24"/>
          <w:szCs w:val="24"/>
        </w:rPr>
        <w:t>Summarize total federal R&amp;D outlays and allocations for funding R&amp;D at universities</w:t>
      </w:r>
      <w:r w:rsidR="004E6E11">
        <w:rPr>
          <w:rFonts w:ascii="Times New Roman" w:hAnsi="Times New Roman" w:cs="Times New Roman"/>
          <w:caps/>
          <w:sz w:val="24"/>
          <w:szCs w:val="24"/>
        </w:rPr>
        <w:t xml:space="preserve"> from 2000 to 2019. Create a table.</w:t>
      </w:r>
      <w:r w:rsidR="004E6E11">
        <w:rPr>
          <w:rFonts w:ascii="Times New Roman" w:hAnsi="Times New Roman" w:cs="Times New Roman"/>
          <w:sz w:val="24"/>
          <w:szCs w:val="24"/>
        </w:rPr>
        <w:t>]</w:t>
      </w:r>
      <w:r>
        <w:rPr>
          <w:rFonts w:ascii="Times New Roman" w:hAnsi="Times New Roman" w:cs="Times New Roman"/>
          <w:sz w:val="24"/>
          <w:szCs w:val="24"/>
        </w:rPr>
        <w:t xml:space="preserve"> </w:t>
      </w:r>
    </w:p>
    <w:p w:rsidR="00317C25" w:rsidRDefault="00317C25"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As with many public goods and merit goods, measuring the social value of university technology transfer can be difficult.  This challenge is particularly pertinent to public policy because it has such a significant influence on public policy decisions.  University technology transfer potential produces social, ecological, and economic benefits.  However, the assessments of the social and ecological benefits of university technology transfer are scan and often as hoc (Lidepcap, 2009).  </w:t>
      </w:r>
      <w:r w:rsidR="00420136">
        <w:rPr>
          <w:rFonts w:ascii="Times New Roman" w:hAnsi="Times New Roman" w:cs="Times New Roman"/>
          <w:sz w:val="24"/>
          <w:szCs w:val="24"/>
        </w:rPr>
        <w:t xml:space="preserve">Current methods for assessing the value of university technology transfer primarily rely on metrics of tangible directly observable outputs, such as patent awards and patent licenses executed but such approaches have shortcomings as Lidecap observed.  They do not capture other outputs and outcomes that might be in the public interest such spillover effects, human capital development, and increases in quality of life (Lidecap). </w:t>
      </w:r>
      <w:r w:rsidR="00704B6E">
        <w:rPr>
          <w:rFonts w:ascii="Times New Roman" w:hAnsi="Times New Roman" w:cs="Times New Roman"/>
          <w:sz w:val="24"/>
          <w:szCs w:val="24"/>
        </w:rPr>
        <w:t xml:space="preserve"> Moreover, as Link, </w:t>
      </w:r>
      <w:r w:rsidR="00704B6E">
        <w:rPr>
          <w:rFonts w:ascii="Times New Roman" w:hAnsi="Times New Roman" w:cs="Times New Roman"/>
          <w:sz w:val="24"/>
          <w:szCs w:val="24"/>
        </w:rPr>
        <w:lastRenderedPageBreak/>
        <w:t>Siegel, &amp; Wright point out, technology transfer may occur informally.  Such informal instances</w:t>
      </w:r>
      <w:r w:rsidR="00EB350B">
        <w:rPr>
          <w:rFonts w:ascii="Times New Roman" w:hAnsi="Times New Roman" w:cs="Times New Roman"/>
          <w:sz w:val="24"/>
          <w:szCs w:val="24"/>
        </w:rPr>
        <w:t xml:space="preserve"> simply are</w:t>
      </w:r>
      <w:r w:rsidR="00704B6E">
        <w:rPr>
          <w:rFonts w:ascii="Times New Roman" w:hAnsi="Times New Roman" w:cs="Times New Roman"/>
          <w:sz w:val="24"/>
          <w:szCs w:val="24"/>
        </w:rPr>
        <w:t xml:space="preserve"> not captured in the metrics currently used to examine technology transfer. </w:t>
      </w:r>
    </w:p>
    <w:p w:rsidR="00AD5B4B" w:rsidRPr="00805CD2" w:rsidRDefault="00AD5B4B"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Link and Scott (2019) argued that social welfare increases when federal laboratories (and by logical extension universities) can provide technology more efficient than private sector firms can create for themselves.  They argued that the increase in social welfare results from increased profits for the private sector firms and lower prices for consumers.  However, this assumes that all technologies transferred are cost-reducing and that private sector firms will in fact pass along cost savings derived from technology adoption to consumers.  This may not necessarily be the case. </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w:t>
      </w:r>
      <w:r w:rsidR="005F2BAE">
        <w:rPr>
          <w:rFonts w:ascii="Times New Roman" w:hAnsi="Times New Roman" w:cs="Times New Roman"/>
          <w:sz w:val="24"/>
          <w:szCs w:val="24"/>
        </w:rPr>
        <w:t xml:space="preserve">He also noted that </w:t>
      </w:r>
      <w:r w:rsidR="005F2BAE" w:rsidRPr="00E50380">
        <w:rPr>
          <w:rFonts w:ascii="Times New Roman" w:hAnsi="Times New Roman" w:cs="Times New Roman"/>
          <w:sz w:val="24"/>
          <w:szCs w:val="24"/>
        </w:rPr>
        <w:t>members of the committee on science and the public welfare</w:t>
      </w:r>
      <w:r w:rsidR="005F2BAE">
        <w:rPr>
          <w:rFonts w:ascii="Times New Roman" w:hAnsi="Times New Roman" w:cs="Times New Roman"/>
          <w:sz w:val="24"/>
          <w:szCs w:val="24"/>
        </w:rPr>
        <w:t xml:space="preserve"> that advised him during the preparation of his report</w:t>
      </w:r>
      <w:r w:rsidR="005F2BAE" w:rsidRPr="00E50380">
        <w:rPr>
          <w:rFonts w:ascii="Times New Roman" w:hAnsi="Times New Roman" w:cs="Times New Roman"/>
          <w:sz w:val="24"/>
          <w:szCs w:val="24"/>
        </w:rPr>
        <w:t xml:space="preserve"> either strongly believed or were sympathetic to the idea that government should encourage the formation of “new scientific enterprises” but were not able to agree on solutions for </w:t>
      </w:r>
      <w:r w:rsidR="005F2BAE">
        <w:rPr>
          <w:rFonts w:ascii="Times New Roman" w:hAnsi="Times New Roman" w:cs="Times New Roman"/>
          <w:sz w:val="24"/>
          <w:szCs w:val="24"/>
        </w:rPr>
        <w:t>achieving this end.</w:t>
      </w:r>
    </w:p>
    <w:p w:rsidR="00184A26" w:rsidRDefault="00184A26" w:rsidP="00752DF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Kochenkova, Grimaldi, and Munari (2016) examined the topic of knowledge transfer from academia to the private sector.  They seemed to use the term knowledge transfer as a synonym for technology transfer.  Kochenkova, Grimaldi, and Munari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(or knowledge transfer as they called it) was market inefficiencies and systemic </w:t>
      </w:r>
      <w:r w:rsidR="00575910">
        <w:rPr>
          <w:rFonts w:ascii="Times New Roman" w:hAnsi="Times New Roman" w:cs="Times New Roman"/>
          <w:sz w:val="24"/>
          <w:szCs w:val="24"/>
        </w:rPr>
        <w:lastRenderedPageBreak/>
        <w:t xml:space="preserve">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(M</w:t>
      </w:r>
      <w:r w:rsidR="00F14A89">
        <w:rPr>
          <w:rFonts w:ascii="Times New Roman" w:hAnsi="Times New Roman" w:cs="Times New Roman"/>
          <w:sz w:val="24"/>
          <w:szCs w:val="24"/>
        </w:rPr>
        <w:t>arkman, Gionidis,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derived from federally funded research seems 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(Heisey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Rosengard,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to suffer from this situation.  </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in the form of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 xml:space="preserve">Owners of technologies that can be patented, which is the predominate focus of university technology transfer offices, are granted the right to prevent competitors from practicing the inventions (i.e., technologies) for a limited period.  Rarely is it the case that </w:t>
      </w:r>
      <w:r w:rsidR="006E3B67">
        <w:rPr>
          <w:rFonts w:ascii="Times New Roman" w:hAnsi="Times New Roman" w:cs="Times New Roman"/>
          <w:sz w:val="24"/>
          <w:szCs w:val="24"/>
        </w:rPr>
        <w:lastRenderedPageBreak/>
        <w:t>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extensive negotiations to effectuate a transfer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applying a technology in any given application.  </w:t>
      </w:r>
      <w:r w:rsidR="002554E2">
        <w:rPr>
          <w:rFonts w:ascii="Times New Roman" w:hAnsi="Times New Roman" w:cs="Times New Roman"/>
          <w:sz w:val="24"/>
          <w:szCs w:val="24"/>
        </w:rPr>
        <w:t>Additionally, there are extensive transaction costs associated with acquiring and utilizing a given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leverage the R&amp;D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 xml:space="preserve">Funding R&amp;D to be conducted by universities in the United States </w:t>
      </w:r>
      <w:r w:rsidR="00F906C6">
        <w:rPr>
          <w:rFonts w:ascii="Times New Roman" w:hAnsi="Times New Roman" w:cs="Times New Roman"/>
          <w:sz w:val="24"/>
          <w:szCs w:val="24"/>
        </w:rPr>
        <w:lastRenderedPageBreak/>
        <w:t>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D37CC1" w:rsidRPr="00D37CC1" w:rsidRDefault="005358FF" w:rsidP="00D37CC1">
      <w:pPr>
        <w:spacing w:after="0" w:line="480" w:lineRule="auto"/>
        <w:ind w:firstLine="720"/>
        <w:rPr>
          <w:rFonts w:ascii="Times New Roman" w:hAnsi="Times New Roman" w:cs="Times New Roman"/>
          <w:sz w:val="24"/>
          <w:szCs w:val="24"/>
        </w:rPr>
      </w:pPr>
      <w:r w:rsidRPr="005358FF">
        <w:rPr>
          <w:rFonts w:ascii="Times New Roman" w:hAnsi="Times New Roman" w:cs="Times New Roman"/>
          <w:sz w:val="24"/>
          <w:szCs w:val="24"/>
        </w:rPr>
        <w:t>There are at least 12 federal laws</w:t>
      </w:r>
      <w:r w:rsidR="00D37CC1">
        <w:rPr>
          <w:rFonts w:ascii="Times New Roman" w:hAnsi="Times New Roman" w:cs="Times New Roman"/>
          <w:sz w:val="24"/>
          <w:szCs w:val="24"/>
        </w:rPr>
        <w:t xml:space="preserve"> and executive directives</w:t>
      </w:r>
      <w:r w:rsidRPr="005358FF">
        <w:rPr>
          <w:rFonts w:ascii="Times New Roman" w:hAnsi="Times New Roman" w:cs="Times New Roman"/>
          <w:sz w:val="24"/>
          <w:szCs w:val="24"/>
        </w:rPr>
        <w:t xml:space="preserve">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Pr="005358FF">
        <w:rPr>
          <w:rFonts w:ascii="Times New Roman" w:hAnsi="Times New Roman" w:cs="Times New Roman"/>
          <w:caps/>
          <w:sz w:val="24"/>
          <w:szCs w:val="24"/>
        </w:rPr>
        <w:t xml:space="preserve"> </w:t>
      </w:r>
      <w:r w:rsidR="00CA74D7" w:rsidRPr="00CA74D7">
        <w:rPr>
          <w:rFonts w:ascii="Times New Roman" w:hAnsi="Times New Roman" w:cs="Times New Roman"/>
          <w:caps/>
          <w:sz w:val="24"/>
          <w:szCs w:val="24"/>
        </w:rPr>
        <w:t>[Provide an overview of public policy related to university technology transfer.]</w:t>
      </w:r>
      <w:r w:rsidR="00D37CC1" w:rsidRPr="00D37CC1">
        <w:rPr>
          <w:rFonts w:ascii="Times New Roman" w:hAnsi="Times New Roman" w:cs="Times New Roman"/>
          <w:sz w:val="24"/>
          <w:szCs w:val="24"/>
        </w:rPr>
        <w:t xml:space="preserve"> </w:t>
      </w:r>
      <w:r w:rsidR="00D37CC1">
        <w:rPr>
          <w:rFonts w:ascii="Times New Roman" w:hAnsi="Times New Roman" w:cs="Times New Roman"/>
          <w:sz w:val="24"/>
          <w:szCs w:val="24"/>
        </w:rPr>
        <w:t>[</w:t>
      </w:r>
      <w:r w:rsidR="00D37CC1" w:rsidRPr="005C0A22">
        <w:rPr>
          <w:rFonts w:ascii="Times New Roman" w:hAnsi="Times New Roman" w:cs="Times New Roman"/>
          <w:caps/>
          <w:sz w:val="24"/>
          <w:szCs w:val="24"/>
        </w:rPr>
        <w:t>Discuss federal objectives regarding university technology transfer policy.  Discuss major legislation related to university technology transfer policy.  Discuss programs and activities related to univer</w:t>
      </w:r>
      <w:r w:rsidR="00D37CC1">
        <w:rPr>
          <w:rFonts w:ascii="Times New Roman" w:hAnsi="Times New Roman" w:cs="Times New Roman"/>
          <w:caps/>
          <w:sz w:val="24"/>
          <w:szCs w:val="24"/>
        </w:rPr>
        <w:t xml:space="preserve">sity technology transfer policy.  </w:t>
      </w:r>
      <w:r w:rsidR="00D37CC1" w:rsidRPr="005C0A22">
        <w:rPr>
          <w:rFonts w:ascii="Times New Roman" w:hAnsi="Times New Roman" w:cs="Times New Roman"/>
          <w:caps/>
          <w:sz w:val="24"/>
          <w:szCs w:val="24"/>
        </w:rPr>
        <w:t>Discuss federal government expenditures related to university technology transfer policy.</w:t>
      </w:r>
      <w:r w:rsidR="00D37CC1">
        <w:rPr>
          <w:rFonts w:ascii="Times New Roman" w:hAnsi="Times New Roman" w:cs="Times New Roman"/>
          <w:sz w:val="24"/>
          <w:szCs w:val="24"/>
        </w:rPr>
        <w:t>]</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issues related to the role of development stage in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effectiveness model in studies to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Anatan (2015) identified transaction cost economic theory, the resource-based view, and the knowledge-based view as three major theories in the literature used to explain university to industry knowledge transfer in the context of alliances.  Anatan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knowledge transfer process.  Anatan</w:t>
      </w:r>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124582" w:rsidRDefault="004E6120" w:rsidP="001F4643">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r w:rsidR="0088623B">
        <w:rPr>
          <w:rFonts w:ascii="Times New Roman" w:hAnsi="Times New Roman" w:cs="Times New Roman"/>
          <w:sz w:val="24"/>
          <w:szCs w:val="24"/>
        </w:rPr>
        <w:t xml:space="preserve">Arshadi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Carlsson and Fridh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uccessful technology transfer.</w:t>
      </w:r>
      <w:r w:rsidR="001D4CB2">
        <w:rPr>
          <w:rFonts w:ascii="Times New Roman" w:hAnsi="Times New Roman" w:cs="Times New Roman"/>
          <w:sz w:val="24"/>
          <w:szCs w:val="24"/>
        </w:rPr>
        <w:t xml:space="preserve">  </w:t>
      </w:r>
      <w:r w:rsidR="00625A71">
        <w:rPr>
          <w:rFonts w:ascii="Times New Roman" w:hAnsi="Times New Roman" w:cs="Times New Roman"/>
          <w:sz w:val="24"/>
          <w:szCs w:val="24"/>
        </w:rPr>
        <w:t xml:space="preserve">Heisey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 multiple regression analysis to technology transfer.</w:t>
      </w:r>
      <w:r w:rsidR="00124582">
        <w:rPr>
          <w:rFonts w:ascii="Times New Roman" w:eastAsia="Calibri" w:hAnsi="Times New Roman" w:cs="Times New Roman"/>
          <w:sz w:val="24"/>
          <w:szCs w:val="24"/>
        </w:rPr>
        <w:t xml:space="preserve">  </w:t>
      </w:r>
    </w:p>
    <w:p w:rsidR="00C260E9" w:rsidRDefault="00124582" w:rsidP="001F4643">
      <w:pPr>
        <w:spacing w:after="0" w:line="480" w:lineRule="auto"/>
        <w:ind w:firstLine="720"/>
        <w:rPr>
          <w:rFonts w:ascii="Times New Roman" w:hAnsi="Times New Roman" w:cs="Times New Roman"/>
          <w:sz w:val="24"/>
          <w:szCs w:val="24"/>
        </w:rPr>
      </w:pPr>
      <w:r>
        <w:rPr>
          <w:rFonts w:ascii="Times New Roman" w:eastAsia="Calibri" w:hAnsi="Times New Roman" w:cs="Times New Roman"/>
          <w:sz w:val="24"/>
          <w:szCs w:val="24"/>
        </w:rPr>
        <w:t xml:space="preserve">Markman, Gianiodis, &amp; Phan (2009) used hierarchical multiple regression analysis to study the role of research universities in the United States as suppliers in a market for innovation.  </w:t>
      </w:r>
      <w:r w:rsidRPr="00124582">
        <w:rPr>
          <w:rFonts w:ascii="Times New Roman" w:eastAsia="Calibri" w:hAnsi="Times New Roman" w:cs="Times New Roman"/>
          <w:sz w:val="24"/>
          <w:szCs w:val="24"/>
        </w:rPr>
        <w:t xml:space="preserve">The authors used reasoned analysis based on agency theory and real options theory to argue that technology transfer outcomes as measured by licensing revenue and startup creation are a function of licensing strategy, the degree of autonomy of the technology transfer unit, and the incentives provided to various actors in the technology transfer process.  They controlled for the </w:t>
      </w:r>
      <w:r w:rsidRPr="00124582">
        <w:rPr>
          <w:rFonts w:ascii="Times New Roman" w:eastAsia="Calibri" w:hAnsi="Times New Roman" w:cs="Times New Roman"/>
          <w:sz w:val="24"/>
          <w:szCs w:val="24"/>
        </w:rPr>
        <w:lastRenderedPageBreak/>
        <w:t>age and size of the technology transfer unit, the quality of the faculty, the existence of a business incubator within the institution, and whether the university was public or private.  The study used data from surveys administered by the Association of University Technology Managers (AUTM) as well as telephone interviews and content analysis of the websites of licensing units conducted by the authors.  Markman, Gianiodis, and Phan found that there was a statistically significant positive association between licensing revenue and the size of the technology transfer unit, faculty quality, and financial incentives for departments.  There was a statistically significant negative association between licensing revenue and use of licensing agreements strategy, use of sponsored research strategy, low-autonomy of the technology transfer unit, and financial incentives for faculty inventors.  The model explained 13 percent of the value of the dependent variable.  Using startup creation as the dependent variable, the authors found statistically significant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  The authors pointed out that licensing and startup creation are only two of many methods that knowledge (i.e., technology) is disseminated by universities.</w:t>
      </w:r>
    </w:p>
    <w:p w:rsidR="00210D12" w:rsidRDefault="00210D1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Reymen, &amp; Romme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 xml:space="preserve">The focus of this study was to understand how inventor appearance </w:t>
      </w:r>
      <w:r>
        <w:rPr>
          <w:rFonts w:ascii="Times New Roman" w:hAnsi="Times New Roman" w:cs="Times New Roman"/>
          <w:sz w:val="24"/>
          <w:szCs w:val="24"/>
        </w:rPr>
        <w:lastRenderedPageBreak/>
        <w:t>influenced the decisions of university technology licensing professionals regarding which disclosed technologies to pursue transfer to the private sector.</w:t>
      </w:r>
    </w:p>
    <w:p w:rsidR="00B010A6"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r w:rsidR="005E2F8F">
        <w:rPr>
          <w:rFonts w:ascii="Times New Roman" w:hAnsi="Times New Roman" w:cs="Times New Roman"/>
          <w:sz w:val="24"/>
          <w:szCs w:val="24"/>
        </w:rPr>
        <w:t xml:space="preserve">Arshadi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r w:rsidR="008A3E45">
        <w:rPr>
          <w:rFonts w:ascii="Times New Roman" w:hAnsi="Times New Roman" w:cs="Times New Roman"/>
          <w:iCs/>
          <w:sz w:val="24"/>
          <w:szCs w:val="24"/>
        </w:rPr>
        <w:t xml:space="preserve">  Marion, Dunlap, and Friar (2015) discussed several determinants of successful university technology transfer executed through academic entrepreneurship.  Again, m</w:t>
      </w:r>
      <w:r w:rsidR="008A3E45" w:rsidRPr="008A3E45">
        <w:rPr>
          <w:rFonts w:ascii="Times New Roman" w:hAnsi="Times New Roman" w:cs="Times New Roman"/>
          <w:iCs/>
          <w:sz w:val="24"/>
          <w:szCs w:val="24"/>
        </w:rPr>
        <w:t>os</w:t>
      </w:r>
      <w:r w:rsidR="008A3E45">
        <w:rPr>
          <w:rFonts w:ascii="Times New Roman" w:hAnsi="Times New Roman" w:cs="Times New Roman"/>
          <w:iCs/>
          <w:sz w:val="24"/>
          <w:szCs w:val="24"/>
        </w:rPr>
        <w:t>t of the determinants examined we</w:t>
      </w:r>
      <w:r w:rsidR="008A3E45" w:rsidRPr="008A3E45">
        <w:rPr>
          <w:rFonts w:ascii="Times New Roman" w:hAnsi="Times New Roman" w:cs="Times New Roman"/>
          <w:iCs/>
          <w:sz w:val="24"/>
          <w:szCs w:val="24"/>
        </w:rPr>
        <w:t xml:space="preserve">re related to organizational structure and are exogenous to the technology transfer process itself.  </w:t>
      </w:r>
    </w:p>
    <w:p w:rsidR="001D4CB2" w:rsidRDefault="001D4CB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Heisey and Aleman (2011) </w:t>
      </w:r>
      <w:r w:rsidRPr="001D4CB2">
        <w:rPr>
          <w:rFonts w:ascii="Times New Roman" w:hAnsi="Times New Roman" w:cs="Times New Roman"/>
          <w:sz w:val="24"/>
          <w:szCs w:val="24"/>
        </w:rPr>
        <w:t xml:space="preserve">concluded that there was a statistically significant association between certain characteristics of the technology transfer offices of the universities and the amount of revenue generated from licensing university-created technologies.  They found a weak relationship between the aggregate amount of short-term research expenditures for universities and the amount of licensing revenue generated.  </w:t>
      </w:r>
    </w:p>
    <w:p w:rsidR="00124582" w:rsidRDefault="00F65C5D" w:rsidP="001245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(Gonzalez-Perni, Kuechle &amp; Pena-Legzkue, 2013; Markman, Gianiodis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w:t>
      </w:r>
      <w:r w:rsidR="001F4643" w:rsidRPr="00A22400">
        <w:rPr>
          <w:rFonts w:ascii="Times New Roman" w:hAnsi="Times New Roman" w:cs="Times New Roman"/>
          <w:sz w:val="24"/>
          <w:szCs w:val="24"/>
        </w:rPr>
        <w:lastRenderedPageBreak/>
        <w:t>office autonomy, university specialization, and entrepren</w:t>
      </w:r>
      <w:r w:rsidR="00FF3B3E">
        <w:rPr>
          <w:rFonts w:ascii="Times New Roman" w:hAnsi="Times New Roman" w:cs="Times New Roman"/>
          <w:sz w:val="24"/>
          <w:szCs w:val="24"/>
        </w:rPr>
        <w:t>eurship-related infrastructure.</w:t>
      </w:r>
      <w:r w:rsidR="00D44D86">
        <w:rPr>
          <w:rFonts w:ascii="Times New Roman" w:hAnsi="Times New Roman" w:cs="Times New Roman"/>
          <w:sz w:val="24"/>
          <w:szCs w:val="24"/>
        </w:rPr>
        <w:t xml:space="preserve">  </w:t>
      </w:r>
      <w:r w:rsidR="00AC2476">
        <w:rPr>
          <w:rFonts w:ascii="Times New Roman" w:hAnsi="Times New Roman" w:cs="Times New Roman"/>
          <w:sz w:val="24"/>
          <w:szCs w:val="24"/>
        </w:rPr>
        <w:t xml:space="preserve">York and Ahn (2012) used a comparative case study method to identify factors associated with university technology transfer success.  Most of the determinants they identified were related to organizational structure.  </w:t>
      </w:r>
      <w:r w:rsidR="00D44D86">
        <w:rPr>
          <w:rFonts w:ascii="Times New Roman" w:hAnsi="Times New Roman" w:cs="Times New Roman"/>
          <w:sz w:val="24"/>
          <w:szCs w:val="24"/>
        </w:rPr>
        <w:t xml:space="preserve">However, </w:t>
      </w:r>
      <w:r w:rsidR="00AC2476">
        <w:rPr>
          <w:rFonts w:ascii="Times New Roman" w:hAnsi="Times New Roman" w:cs="Times New Roman"/>
          <w:sz w:val="24"/>
          <w:szCs w:val="24"/>
        </w:rPr>
        <w:t>using</w:t>
      </w:r>
      <w:r w:rsidR="00D44D86">
        <w:rPr>
          <w:rFonts w:ascii="Times New Roman" w:hAnsi="Times New Roman" w:cs="Times New Roman"/>
          <w:sz w:val="24"/>
          <w:szCs w:val="24"/>
        </w:rPr>
        <w:t xml:space="preserve"> hierarchical regression analysis Wu, Welch, and Huang (2015) found that individual factors, particularly researcher attitude toward technology transfer and their involvement post-disclosure, were more strongly associated with success than institutional factors.  Like most studies of university technology transfer, Wu, Welch, and Huang operationalized technology transfer success as the execution of a license for a patent assigned to the university.</w:t>
      </w:r>
    </w:p>
    <w:p w:rsidR="00F65C5D" w:rsidRDefault="00FF3B3E" w:rsidP="001F4643">
      <w:pPr>
        <w:spacing w:after="0" w:line="480" w:lineRule="auto"/>
        <w:ind w:firstLine="720"/>
        <w:rPr>
          <w:rFonts w:ascii="Times New Roman" w:hAnsi="Times New Roman" w:cs="Times New Roman"/>
          <w:sz w:val="24"/>
          <w:szCs w:val="24"/>
        </w:rPr>
      </w:pPr>
      <w:r w:rsidRPr="00FF3B3E">
        <w:rPr>
          <w:rFonts w:ascii="Times New Roman" w:hAnsi="Times New Roman" w:cs="Times New Roman"/>
          <w:sz w:val="24"/>
          <w:szCs w:val="24"/>
        </w:rPr>
        <w:t>Dolmans, Shane, Jankowski, Reymen, &amp; Romme (2016)</w:t>
      </w:r>
      <w:r>
        <w:rPr>
          <w:rFonts w:ascii="Times New Roman" w:hAnsi="Times New Roman" w:cs="Times New Roman"/>
          <w:sz w:val="24"/>
          <w:szCs w:val="24"/>
        </w:rPr>
        <w:t xml:space="preserve"> found that university technology transfer professionals were more likely to pursue the transfer of a technology to the private sector when the inventor presented a more well-groomed, professional appearance.  There results were significant at the 0.05 level.</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r>
        <w:rPr>
          <w:rFonts w:ascii="Times New Roman" w:hAnsi="Times New Roman" w:cs="Times New Roman"/>
          <w:sz w:val="24"/>
          <w:szCs w:val="24"/>
        </w:rPr>
        <w:t>Kundu, Bhar, and Pandurangan (2015) examined</w:t>
      </w:r>
      <w:r w:rsidRPr="00CF4F94">
        <w:rPr>
          <w:rFonts w:ascii="Times New Roman" w:hAnsi="Times New Roman" w:cs="Times New Roman"/>
          <w:sz w:val="24"/>
          <w:szCs w:val="24"/>
        </w:rPr>
        <w:t xml:space="preserve"> intrinsic factors of technology transfer </w:t>
      </w:r>
      <w:r>
        <w:rPr>
          <w:rFonts w:ascii="Times New Roman" w:hAnsi="Times New Roman" w:cs="Times New Roman"/>
          <w:sz w:val="24"/>
          <w:szCs w:val="24"/>
        </w:rPr>
        <w:t xml:space="preserve">relative </w:t>
      </w:r>
      <w:r w:rsidRPr="00CF4F94">
        <w:rPr>
          <w:rFonts w:ascii="Times New Roman" w:hAnsi="Times New Roman" w:cs="Times New Roman"/>
          <w:sz w:val="24"/>
          <w:szCs w:val="24"/>
        </w:rPr>
        <w:t xml:space="preserve">in 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1F4643" w:rsidRDefault="00496CEA" w:rsidP="001F4643">
      <w:pPr>
        <w:spacing w:after="0" w:line="480" w:lineRule="auto"/>
        <w:ind w:firstLine="720"/>
        <w:rPr>
          <w:rFonts w:ascii="Times New Roman" w:hAnsi="Times New Roman" w:cs="Times New Roman"/>
          <w:caps/>
          <w:sz w:val="24"/>
          <w:szCs w:val="24"/>
        </w:rPr>
      </w:pPr>
      <w:r>
        <w:rPr>
          <w:rFonts w:ascii="Times New Roman" w:hAnsi="Times New Roman" w:cs="Times New Roman"/>
          <w:sz w:val="24"/>
          <w:szCs w:val="24"/>
        </w:rPr>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E11B9C" w:rsidRPr="00FB6C0D" w:rsidRDefault="00E11B9C" w:rsidP="00E11B9C">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E11B9C" w:rsidRDefault="00E11B9C" w:rsidP="00E11B9C">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7F1E2C" w:rsidRDefault="007F1E2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literature provides evidence to suggest that development stage plays an important role in successful university technology transfer.  A key finding of Lee (1997) was that private sector firms are unlikely to invest in commercializing technologies generated from the research conducted at universities unless they are significantly de-risked.  Even research that highly focused applied research in nature requires significant funding to de-risk the resulting technologies.  Private sector firms seem unwilling to spend funds to de-risk such technologies.</w:t>
      </w:r>
      <w:r w:rsidR="00AF7D04">
        <w:rPr>
          <w:rFonts w:ascii="Times New Roman" w:hAnsi="Times New Roman" w:cs="Times New Roman"/>
          <w:sz w:val="24"/>
          <w:szCs w:val="24"/>
        </w:rPr>
        <w:t xml:space="preserve">  Wu, Welch, and Huang (2015) found a positive correlation between additional </w:t>
      </w:r>
      <w:r w:rsidR="00AF7D04">
        <w:rPr>
          <w:rFonts w:ascii="Times New Roman" w:hAnsi="Times New Roman" w:cs="Times New Roman"/>
          <w:sz w:val="24"/>
          <w:szCs w:val="24"/>
        </w:rPr>
        <w:t xml:space="preserve">post-disclosure </w:t>
      </w:r>
      <w:r w:rsidR="00AF7D04">
        <w:rPr>
          <w:rFonts w:ascii="Times New Roman" w:hAnsi="Times New Roman" w:cs="Times New Roman"/>
          <w:sz w:val="24"/>
          <w:szCs w:val="24"/>
        </w:rPr>
        <w:t>research conducted by faculty inventors and the execution of a license for the patents on inventions that resulted from the research.</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insights offered by Stokes (1997) have significant implications for examining the potential role of development stage in university technology transfer.   Stokes </w:t>
      </w:r>
      <w:r w:rsidRPr="003F55E8">
        <w:rPr>
          <w:rFonts w:ascii="Times New Roman" w:hAnsi="Times New Roman" w:cs="Times New Roman"/>
          <w:sz w:val="24"/>
          <w:szCs w:val="24"/>
        </w:rPr>
        <w:t xml:space="preserve">examined the core paradigm that provides the framework for federally-funded research and development as well as </w:t>
      </w:r>
      <w:r w:rsidRPr="003F55E8">
        <w:rPr>
          <w:rFonts w:ascii="Times New Roman" w:hAnsi="Times New Roman" w:cs="Times New Roman"/>
          <w:sz w:val="24"/>
          <w:szCs w:val="24"/>
        </w:rPr>
        <w:lastRenderedPageBreak/>
        <w:t xml:space="preserve">the implications that framework has for public policy.  </w:t>
      </w:r>
      <w:r>
        <w:rPr>
          <w:rFonts w:ascii="Times New Roman" w:hAnsi="Times New Roman" w:cs="Times New Roman"/>
          <w:sz w:val="24"/>
          <w:szCs w:val="24"/>
        </w:rPr>
        <w:t>B</w:t>
      </w:r>
      <w:r w:rsidRPr="003F55E8">
        <w:rPr>
          <w:rFonts w:ascii="Times New Roman" w:hAnsi="Times New Roman" w:cs="Times New Roman"/>
          <w:sz w:val="24"/>
          <w:szCs w:val="24"/>
        </w:rPr>
        <w:t>ased on both experience and reasoned analysis,</w:t>
      </w:r>
      <w:r>
        <w:rPr>
          <w:rFonts w:ascii="Times New Roman" w:hAnsi="Times New Roman" w:cs="Times New Roman"/>
          <w:sz w:val="24"/>
          <w:szCs w:val="24"/>
        </w:rPr>
        <w:t xml:space="preserve"> he argued</w:t>
      </w:r>
      <w:r w:rsidRPr="003F55E8">
        <w:rPr>
          <w:rFonts w:ascii="Times New Roman" w:hAnsi="Times New Roman" w:cs="Times New Roman"/>
          <w:sz w:val="24"/>
          <w:szCs w:val="24"/>
        </w:rPr>
        <w:t xml:space="preserve"> that the static and dynamic variants of the predominant linear paradigm relating science and technology is fundamentally flawed.  This paradigm posits that pure basic research is the fountain from which all technological progress springs forth.  In the dynamic linear paradigm, basic research leads to applied research </w:t>
      </w:r>
      <w:r>
        <w:rPr>
          <w:rFonts w:ascii="Times New Roman" w:hAnsi="Times New Roman" w:cs="Times New Roman"/>
          <w:sz w:val="24"/>
          <w:szCs w:val="24"/>
        </w:rPr>
        <w:t>which</w:t>
      </w:r>
      <w:r w:rsidRPr="003F55E8">
        <w:rPr>
          <w:rFonts w:ascii="Times New Roman" w:hAnsi="Times New Roman" w:cs="Times New Roman"/>
          <w:sz w:val="24"/>
          <w:szCs w:val="24"/>
        </w:rPr>
        <w:t xml:space="preserve"> gives way to development </w:t>
      </w:r>
      <w:r>
        <w:rPr>
          <w:rFonts w:ascii="Times New Roman" w:hAnsi="Times New Roman" w:cs="Times New Roman"/>
          <w:sz w:val="24"/>
          <w:szCs w:val="24"/>
        </w:rPr>
        <w:t>which</w:t>
      </w:r>
      <w:r w:rsidRPr="003F55E8">
        <w:rPr>
          <w:rFonts w:ascii="Times New Roman" w:hAnsi="Times New Roman" w:cs="Times New Roman"/>
          <w:sz w:val="24"/>
          <w:szCs w:val="24"/>
        </w:rPr>
        <w:t xml:space="preserve"> subsequently results in production and operations technologies.  Stokes demonstrated that this one-dimensional linear model is inadequate and inaccurate in describing reality.  </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Stokes (1997)</w:t>
      </w:r>
      <w:r w:rsidRPr="003F55E8">
        <w:rPr>
          <w:rFonts w:ascii="Times New Roman" w:hAnsi="Times New Roman" w:cs="Times New Roman"/>
          <w:sz w:val="24"/>
          <w:szCs w:val="24"/>
        </w:rPr>
        <w:t xml:space="preserve"> </w:t>
      </w:r>
      <w:r>
        <w:rPr>
          <w:rFonts w:ascii="Times New Roman" w:hAnsi="Times New Roman" w:cs="Times New Roman"/>
          <w:sz w:val="24"/>
          <w:szCs w:val="24"/>
        </w:rPr>
        <w:t xml:space="preserve">noted </w:t>
      </w:r>
      <w:r w:rsidRPr="003F55E8">
        <w:rPr>
          <w:rFonts w:ascii="Times New Roman" w:hAnsi="Times New Roman" w:cs="Times New Roman"/>
          <w:sz w:val="24"/>
          <w:szCs w:val="24"/>
        </w:rPr>
        <w:t>several attempts by previous scholars to develop alterative models that more correctly described the interaction between understanding and use in scientific research and technological progress.  Stokes offered a two-dimensional framework to comprehend the relationship between understanding and use in the pursuit of scientific knowledge.  The</w:t>
      </w:r>
      <w:r>
        <w:rPr>
          <w:rFonts w:ascii="Times New Roman" w:hAnsi="Times New Roman" w:cs="Times New Roman"/>
          <w:sz w:val="24"/>
          <w:szCs w:val="24"/>
        </w:rPr>
        <w:t xml:space="preserve"> vertical axis indicated</w:t>
      </w:r>
      <w:r w:rsidRPr="003F55E8">
        <w:rPr>
          <w:rFonts w:ascii="Times New Roman" w:hAnsi="Times New Roman" w:cs="Times New Roman"/>
          <w:sz w:val="24"/>
          <w:szCs w:val="24"/>
        </w:rPr>
        <w:t xml:space="preserve"> the degree to which research strives for fundamental understanding of phenomenon and ranges from no concern for fundamental understanding to complete focus on developing fundamental understanding.  The horizontal axis indicate</w:t>
      </w:r>
      <w:r>
        <w:rPr>
          <w:rFonts w:ascii="Times New Roman" w:hAnsi="Times New Roman" w:cs="Times New Roman"/>
          <w:sz w:val="24"/>
          <w:szCs w:val="24"/>
        </w:rPr>
        <w:t>d</w:t>
      </w:r>
      <w:r w:rsidRPr="003F55E8">
        <w:rPr>
          <w:rFonts w:ascii="Times New Roman" w:hAnsi="Times New Roman" w:cs="Times New Roman"/>
          <w:sz w:val="24"/>
          <w:szCs w:val="24"/>
        </w:rPr>
        <w:t xml:space="preserve"> the degree to which research is inspired by considerations of use and ranges from no consideration to completely use-driven.  This framework produces a four-quadrant model of scientific research.  </w:t>
      </w:r>
    </w:p>
    <w:p w:rsidR="003F55E8" w:rsidRPr="00805CD2"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the model Stokes (1997) put forward, p</w:t>
      </w:r>
      <w:r w:rsidRPr="003F55E8">
        <w:rPr>
          <w:rFonts w:ascii="Times New Roman" w:hAnsi="Times New Roman" w:cs="Times New Roman"/>
          <w:sz w:val="24"/>
          <w:szCs w:val="24"/>
        </w:rPr>
        <w:t>ure applied research is positioned in the lower right quadrant.  Pure basic research is in the upper left quadrant.  The upper right quadrant exemplifies use-inspired basic research.  One might conceive of the lower left quadrant as descriptive research.  Stokes also noted the trajectory of technology is not just dictated by technical considerations.  Market considerations also have a profou</w:t>
      </w:r>
      <w:r>
        <w:rPr>
          <w:rFonts w:ascii="Times New Roman" w:hAnsi="Times New Roman" w:cs="Times New Roman"/>
          <w:sz w:val="24"/>
          <w:szCs w:val="24"/>
        </w:rPr>
        <w:t xml:space="preserve">nd influence on the development, adoption, and continued use </w:t>
      </w:r>
      <w:r w:rsidRPr="003F55E8">
        <w:rPr>
          <w:rFonts w:ascii="Times New Roman" w:hAnsi="Times New Roman" w:cs="Times New Roman"/>
          <w:sz w:val="24"/>
          <w:szCs w:val="24"/>
        </w:rPr>
        <w:t xml:space="preserve">of technology.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E11B9C" w:rsidRDefault="00E11B9C" w:rsidP="00E11B9C">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technology to where it is useful and can be transitioned to the private sector for commercialization.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 xml:space="preserve">companies </w:t>
      </w:r>
      <w:r>
        <w:rPr>
          <w:rFonts w:ascii="Times New Roman" w:hAnsi="Times New Roman" w:cs="Times New Roman"/>
          <w:sz w:val="24"/>
          <w:szCs w:val="24"/>
        </w:rPr>
        <w:t>do</w:t>
      </w:r>
      <w:r w:rsidRPr="0009261D">
        <w:rPr>
          <w:rFonts w:ascii="Times New Roman" w:hAnsi="Times New Roman" w:cs="Times New Roman"/>
          <w:sz w:val="24"/>
          <w:szCs w:val="24"/>
        </w:rPr>
        <w:t xml:space="preserv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results of the proposed research study will likely have significant implications for federal policy</w:t>
      </w:r>
      <w:r w:rsidRPr="00D34FBE">
        <w:rPr>
          <w:rFonts w:ascii="Times New Roman" w:hAnsi="Times New Roman" w:cs="Times New Roman"/>
          <w:sz w:val="24"/>
          <w:szCs w:val="24"/>
        </w:rPr>
        <w:t xml:space="preserve"> </w:t>
      </w:r>
      <w:r>
        <w:rPr>
          <w:rFonts w:ascii="Times New Roman" w:hAnsi="Times New Roman" w:cs="Times New Roman"/>
          <w:sz w:val="24"/>
          <w:szCs w:val="24"/>
        </w:rPr>
        <w:t xml:space="preserve">regarding university technology transfer.  If development stage is not a factor in the successful university technology transfer, we can definitively remove it from the discussion </w:t>
      </w:r>
      <w:r>
        <w:rPr>
          <w:rFonts w:ascii="Times New Roman" w:hAnsi="Times New Roman" w:cs="Times New Roman"/>
          <w:sz w:val="24"/>
          <w:szCs w:val="24"/>
        </w:rPr>
        <w:lastRenderedPageBreak/>
        <w:t>and focus our resources on pursuing other candidates to explain why so few technologies make their way to the private sector.  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reconsider the extent of its participation in R&amp;D as well as the structures and mechanisms it uses to fund those activities.</w:t>
      </w:r>
    </w:p>
    <w:p w:rsidR="00AD1596" w:rsidRDefault="00F44083"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Understanding the Potential Influence of </w:t>
      </w:r>
      <w:r w:rsidR="00AD1596">
        <w:rPr>
          <w:rFonts w:ascii="Times New Roman" w:hAnsi="Times New Roman" w:cs="Times New Roman"/>
          <w:b/>
          <w:sz w:val="24"/>
          <w:szCs w:val="24"/>
        </w:rPr>
        <w:t>Development Stage</w:t>
      </w:r>
      <w:r w:rsidR="00D37CC1">
        <w:rPr>
          <w:rFonts w:ascii="Times New Roman" w:hAnsi="Times New Roman" w:cs="Times New Roman"/>
          <w:b/>
          <w:sz w:val="24"/>
          <w:szCs w:val="24"/>
        </w:rPr>
        <w:t xml:space="preserve"> </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r>
        <w:rPr>
          <w:rFonts w:ascii="Times New Roman" w:hAnsi="Times New Roman" w:cs="Times New Roman"/>
          <w:sz w:val="24"/>
          <w:szCs w:val="24"/>
        </w:rPr>
        <w:t xml:space="preserve">Munteneau (2012) and </w:t>
      </w:r>
      <w:r w:rsidRPr="00A22400">
        <w:rPr>
          <w:rFonts w:ascii="Times New Roman" w:hAnsi="Times New Roman" w:cs="Times New Roman"/>
          <w:sz w:val="24"/>
          <w:szCs w:val="24"/>
        </w:rPr>
        <w:t>Wang, Eltayyar,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w:t>
      </w:r>
      <w:r w:rsidR="004F0576">
        <w:rPr>
          <w:rFonts w:ascii="Times New Roman" w:hAnsi="Times New Roman" w:cs="Times New Roman"/>
          <w:sz w:val="24"/>
          <w:szCs w:val="24"/>
        </w:rPr>
        <w:lastRenderedPageBreak/>
        <w:t>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lets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r w:rsidR="00F578AD">
        <w:rPr>
          <w:rFonts w:ascii="Times New Roman" w:hAnsi="Times New Roman" w:cs="Times New Roman"/>
          <w:sz w:val="24"/>
          <w:szCs w:val="24"/>
        </w:rPr>
        <w:t>Kahneman &amp; Tversky, 1980; Kahneman &amp; Tversky, 2013; Tversky &amp; Kahneman, 1992).  Whether one is making a decision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One can presume that there is little need for organizations to expend significant resources actively seeking opportunities or conducting exhaustive rational evaluations of each opportunity before making a choice.  </w:t>
      </w:r>
      <w:r w:rsidR="003F3EB5">
        <w:rPr>
          <w:rFonts w:ascii="Times New Roman" w:hAnsi="Times New Roman" w:cs="Times New Roman"/>
          <w:sz w:val="24"/>
          <w:szCs w:val="24"/>
        </w:rPr>
        <w:t>According to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 xml:space="preserve">Development Stage and </w:t>
      </w:r>
      <w:r w:rsidR="00D37CC1">
        <w:rPr>
          <w:rFonts w:ascii="Times New Roman" w:hAnsi="Times New Roman" w:cs="Times New Roman"/>
          <w:b/>
          <w:sz w:val="24"/>
          <w:szCs w:val="24"/>
        </w:rPr>
        <w:t xml:space="preserve">University </w:t>
      </w:r>
      <w:r w:rsidR="00671437" w:rsidRPr="00671437">
        <w:rPr>
          <w:rFonts w:ascii="Times New Roman" w:hAnsi="Times New Roman" w:cs="Times New Roman"/>
          <w:b/>
          <w:sz w:val="24"/>
          <w:szCs w:val="24"/>
        </w:rPr>
        <w:t>Technology Transfer</w:t>
      </w:r>
    </w:p>
    <w:p w:rsidR="00262B2D" w:rsidRDefault="00043E8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262B2D">
        <w:rPr>
          <w:rFonts w:ascii="Times New Roman" w:hAnsi="Times New Roman" w:cs="Times New Roman"/>
          <w:sz w:val="24"/>
          <w:szCs w:val="24"/>
        </w:rPr>
        <w:t xml:space="preserve">In my review of the literature, I found only one study that specifically examined the association between development stage and technology transfer.  Munteanu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Munteanu.  Moreover, </w:t>
      </w:r>
      <w:r w:rsidR="00262B2D">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sidR="00262B2D">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Munteanu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sidR="00262B2D">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Munteanu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although it didn’t explicitly define either category.  As such, it is not clear what criteria Munteanu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w:t>
      </w:r>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 xml:space="preserve">technology transfer </w:t>
      </w:r>
      <w:r w:rsidR="00C15CAC">
        <w:rPr>
          <w:rFonts w:ascii="Times New Roman" w:hAnsi="Times New Roman" w:cs="Times New Roman"/>
          <w:sz w:val="24"/>
          <w:szCs w:val="24"/>
        </w:rPr>
        <w:lastRenderedPageBreak/>
        <w:t>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r w:rsidR="00851627">
        <w:rPr>
          <w:rFonts w:ascii="Times New Roman" w:hAnsi="Times New Roman" w:cs="Times New Roman"/>
          <w:sz w:val="24"/>
          <w:szCs w:val="24"/>
        </w:rPr>
        <w:t>Munteanu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r w:rsidR="00FC0FAF">
        <w:rPr>
          <w:rFonts w:ascii="Times New Roman" w:hAnsi="Times New Roman" w:cs="Times New Roman"/>
          <w:sz w:val="24"/>
          <w:szCs w:val="24"/>
        </w:rPr>
        <w:t xml:space="preserve">Munteanu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Munteanu were somewhat arbitrary and subjective.  Again, there is no evidence that any type of validity analysis was conducted for the nominal categories.  </w:t>
      </w:r>
      <w:r w:rsidR="000809F2">
        <w:rPr>
          <w:rFonts w:ascii="Times New Roman" w:hAnsi="Times New Roman" w:cs="Times New Roman"/>
          <w:sz w:val="24"/>
          <w:szCs w:val="24"/>
        </w:rPr>
        <w:t>The data used in Munteanu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t resulted in an allowed patent.  The nature of the sample used by Munteanu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r w:rsidR="005C74DA">
        <w:rPr>
          <w:rFonts w:ascii="Times New Roman" w:hAnsi="Times New Roman" w:cs="Times New Roman"/>
          <w:sz w:val="24"/>
          <w:szCs w:val="24"/>
        </w:rPr>
        <w:t xml:space="preserve">Munteanu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s not specified.  Munteanu</w:t>
      </w:r>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Munteanu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w:t>
      </w:r>
      <w:r w:rsidR="005C74DA" w:rsidRPr="005C74DA">
        <w:rPr>
          <w:rFonts w:ascii="Times New Roman" w:hAnsi="Times New Roman" w:cs="Times New Roman"/>
          <w:sz w:val="24"/>
          <w:szCs w:val="24"/>
        </w:rPr>
        <w:lastRenderedPageBreak/>
        <w:t>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Munteanu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w:t>
      </w:r>
      <w:r w:rsidR="005A1156">
        <w:rPr>
          <w:rFonts w:ascii="Times New Roman" w:hAnsi="Times New Roman" w:cs="Times New Roman"/>
          <w:sz w:val="24"/>
          <w:szCs w:val="24"/>
        </w:rPr>
        <w:lastRenderedPageBreak/>
        <w:t>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Los Angeles 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Aiman-Smith, &amp; Kingon</w:t>
      </w:r>
      <w:r w:rsidRPr="00A22400">
        <w:rPr>
          <w:rFonts w:ascii="Times New Roman" w:hAnsi="Times New Roman" w:cs="Times New Roman"/>
          <w:sz w:val="24"/>
          <w:szCs w:val="24"/>
        </w:rPr>
        <w:t>, 201</w:t>
      </w:r>
      <w:r>
        <w:rPr>
          <w:rFonts w:ascii="Times New Roman" w:hAnsi="Times New Roman" w:cs="Times New Roman"/>
          <w:sz w:val="24"/>
          <w:szCs w:val="24"/>
        </w:rPr>
        <w:t>0; Tirpak, 2017; Wessner</w:t>
      </w:r>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Bretschneider, 2005) or the Small Business Innovation Research (SBIR) program that was created by Pub.L. 97-219 The Small Business Innovation Development Act of 1982 (Andersen, Bray &amp; Link, 2017; Joshi, Inouye &amp; Robinson, n.d.;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(Hemel, Ouellett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Kochenkova, Grimaldi, and Munari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w:t>
      </w:r>
      <w:r w:rsidR="00545D1A" w:rsidRPr="00545D1A">
        <w:rPr>
          <w:rFonts w:ascii="Times New Roman" w:hAnsi="Times New Roman" w:cs="Times New Roman"/>
          <w:caps/>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I’m not sick, I don’t need help!: How to help someone with mental illness accept treatment</w:t>
      </w:r>
      <w:r>
        <w:rPr>
          <w:rFonts w:ascii="Times New Roman" w:hAnsi="Times New Roman" w:cs="Times New Roman"/>
          <w:sz w:val="24"/>
          <w:szCs w:val="24"/>
        </w:rPr>
        <w:t>. Peconic, NY: Vivida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r w:rsidRPr="00287B8D">
        <w:rPr>
          <w:rFonts w:ascii="Times New Roman" w:hAnsi="Times New Roman" w:cs="Times New Roman"/>
          <w:iCs/>
          <w:sz w:val="24"/>
          <w:szCs w:val="24"/>
        </w:rPr>
        <w:t xml:space="preserve">Anatan,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711-717. doi:10.1016/j.sbspro.2015.11.090</w:t>
      </w:r>
    </w:p>
    <w:p w:rsidR="00287B8D" w:rsidRPr="00287B8D" w:rsidRDefault="00287B8D" w:rsidP="00287B8D">
      <w:pPr>
        <w:spacing w:after="0" w:line="480" w:lineRule="auto"/>
        <w:ind w:left="720" w:hanging="720"/>
        <w:rPr>
          <w:rFonts w:ascii="Times New Roman" w:hAnsi="Times New Roman" w:cs="Times New Roman"/>
          <w:iCs/>
          <w:sz w:val="24"/>
          <w:szCs w:val="24"/>
        </w:rPr>
      </w:pPr>
      <w:r w:rsidRPr="00287B8D">
        <w:rPr>
          <w:rFonts w:ascii="Times New Roman" w:hAnsi="Times New Roman" w:cs="Times New Roman"/>
          <w:iCs/>
          <w:sz w:val="24"/>
          <w:szCs w:val="24"/>
        </w:rPr>
        <w:t xml:space="preserve">Arshadi,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Cairney,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Carlsson, B., &amp; Fridh,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r w:rsidRPr="00BC339F">
        <w:rPr>
          <w:rFonts w:ascii="Times New Roman" w:hAnsi="Times New Roman" w:cs="Times New Roman"/>
          <w:sz w:val="24"/>
          <w:szCs w:val="24"/>
        </w:rPr>
        <w:t>Hishida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(2011, October 28). Retrieved from  https://www.govinfo.gov/app/collection/CPD/</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Reymen, I. M. M. J., &amp; Romme,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(11), 4998-5001. doi:10.1016/j.jbusres.2016.04.070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Feibleman,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r w:rsidRPr="00533EB5">
        <w:rPr>
          <w:rFonts w:ascii="Times New Roman" w:hAnsi="Times New Roman" w:cs="Times New Roman"/>
          <w:sz w:val="24"/>
          <w:szCs w:val="24"/>
        </w:rPr>
        <w:lastRenderedPageBreak/>
        <w:t xml:space="preserve">Frické,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DB76EA" w:rsidP="00287B8D">
      <w:pPr>
        <w:spacing w:after="0" w:line="480" w:lineRule="auto"/>
        <w:ind w:left="720" w:hanging="720"/>
        <w:rPr>
          <w:rFonts w:ascii="Times New Roman" w:hAnsi="Times New Roman" w:cs="Times New Roman"/>
          <w:sz w:val="24"/>
          <w:szCs w:val="24"/>
        </w:rPr>
      </w:pP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Heisey,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Herschbach,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Wasden,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r w:rsidRPr="00BC339F">
        <w:rPr>
          <w:rFonts w:ascii="Times New Roman" w:hAnsi="Times New Roman" w:cs="Times New Roman"/>
          <w:sz w:val="24"/>
          <w:szCs w:val="24"/>
        </w:rPr>
        <w:t>Hishida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Hishida,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Hamzah, S. R. a., &amp; Bebenroth,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r w:rsidRPr="00BA6B02">
        <w:rPr>
          <w:rFonts w:ascii="Times New Roman" w:hAnsi="Times New Roman" w:cs="Times New Roman"/>
          <w:sz w:val="24"/>
          <w:szCs w:val="24"/>
        </w:rPr>
        <w:t xml:space="preserve">Kahneman, D., &amp; Tversky, A. (1980). Prospect theory. </w:t>
      </w:r>
      <w:r w:rsidRPr="00BA6B02">
        <w:rPr>
          <w:rFonts w:ascii="Times New Roman" w:hAnsi="Times New Roman" w:cs="Times New Roman"/>
          <w:i/>
          <w:iCs/>
          <w:sz w:val="24"/>
          <w:szCs w:val="24"/>
        </w:rPr>
        <w:t>Econometrica</w:t>
      </w:r>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Kahneman, D., &amp; Tversky,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Kochenkova, A., Grimaldi, R., &amp; Munari,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Kundu, N., Bhar, C., &amp; Pandurangan,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(3), 69-95. doi:Retrieved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Kuo,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Lall,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Leonard-Barton, D. (1990). The intraorganizational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Libecap,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Bingly,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March, J. G. (1997). Understanding how decisions happen in organizations. In Zur Shapria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09129B" w:rsidRDefault="0009129B" w:rsidP="00756E5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Marion, T. J., Dunlap, D., &amp; Friar, J. H. (2015). Northwestern University: A study of technology transfer and the academic entrepreneur. In A. N. Link, D. S. Siegel, &amp; M. Wright (Eds.)., </w:t>
      </w:r>
      <w:r w:rsidR="00004C79">
        <w:rPr>
          <w:rFonts w:ascii="Times New Roman" w:hAnsi="Times New Roman" w:cs="Times New Roman"/>
          <w:i/>
          <w:sz w:val="24"/>
          <w:szCs w:val="24"/>
        </w:rPr>
        <w:t>The Chicago handbook of university technology t</w:t>
      </w:r>
      <w:r w:rsidRPr="00004C79">
        <w:rPr>
          <w:rFonts w:ascii="Times New Roman" w:hAnsi="Times New Roman" w:cs="Times New Roman"/>
          <w:i/>
          <w:sz w:val="24"/>
          <w:szCs w:val="24"/>
        </w:rPr>
        <w:t xml:space="preserve">ransfer and </w:t>
      </w:r>
      <w:r w:rsidR="00004C79">
        <w:rPr>
          <w:rFonts w:ascii="Times New Roman" w:hAnsi="Times New Roman" w:cs="Times New Roman"/>
          <w:i/>
          <w:sz w:val="24"/>
          <w:szCs w:val="24"/>
        </w:rPr>
        <w:t>academic E</w:t>
      </w:r>
      <w:r w:rsidR="00004C79" w:rsidRPr="00004C79">
        <w:rPr>
          <w:rFonts w:ascii="Times New Roman" w:hAnsi="Times New Roman" w:cs="Times New Roman"/>
          <w:i/>
          <w:sz w:val="24"/>
          <w:szCs w:val="24"/>
        </w:rPr>
        <w:t>ntrepreneurship</w:t>
      </w:r>
      <w:r w:rsidR="00004C79">
        <w:rPr>
          <w:rFonts w:ascii="Times New Roman" w:hAnsi="Times New Roman" w:cs="Times New Roman"/>
          <w:sz w:val="24"/>
          <w:szCs w:val="24"/>
        </w:rPr>
        <w:t xml:space="preserve"> (pp. 245-283).  The University of Chicago Press.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Markman, G. D., Gianiodis,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doi:10.1111/j.1467-6486.2009.00835.x</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Schatzberg, E. (2009). Defining technology and the engineering sciences. In A. W. Meijers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Müller, Hans &amp; Maasdorp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(eds).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r w:rsidRPr="00262B2D">
        <w:rPr>
          <w:rFonts w:ascii="Times New Roman" w:hAnsi="Times New Roman" w:cs="Times New Roman"/>
          <w:sz w:val="24"/>
          <w:szCs w:val="24"/>
        </w:rPr>
        <w:t xml:space="preserve">Munteanu,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Pfeffer,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(2), 163-180. doi:https://doi.org/10.1177%2F0165551506070706</w:t>
      </w:r>
    </w:p>
    <w:p w:rsidR="003E104B" w:rsidRDefault="00847667" w:rsidP="003E104B">
      <w:pPr>
        <w:spacing w:after="0" w:line="480" w:lineRule="auto"/>
        <w:ind w:left="720" w:hanging="720"/>
        <w:rPr>
          <w:rFonts w:ascii="Times New Roman" w:hAnsi="Times New Roman" w:cs="Times New Roman"/>
          <w:sz w:val="24"/>
          <w:szCs w:val="24"/>
        </w:rPr>
      </w:pPr>
      <w:r w:rsidRPr="00847667">
        <w:rPr>
          <w:rFonts w:ascii="Times New Roman" w:hAnsi="Times New Roman" w:cs="Times New Roman"/>
          <w:sz w:val="24"/>
          <w:szCs w:val="24"/>
        </w:rPr>
        <w:t xml:space="preserve">Schatzberg,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Schrier</w:t>
      </w:r>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Hishida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Speser,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Rosendard,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Tversky, A., &amp; Kahneman,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(n.d.)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Eltayyar,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r w:rsidRPr="001134F8">
        <w:rPr>
          <w:rFonts w:ascii="Times New Roman" w:hAnsi="Times New Roman" w:cs="Times New Roman"/>
          <w:i/>
          <w:sz w:val="24"/>
          <w:szCs w:val="24"/>
        </w:rPr>
        <w:t>The Oxford Handbook of Public Policy</w:t>
      </w:r>
      <w:r w:rsidRPr="001134F8">
        <w:rPr>
          <w:rFonts w:ascii="Times New Roman" w:hAnsi="Times New Roman" w:cs="Times New Roman"/>
          <w:sz w:val="24"/>
          <w:szCs w:val="24"/>
        </w:rPr>
        <w:t>, ed. Michael Moran, Martin Rein, Robert E. Goodin,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r w:rsidR="00A36AA2" w:rsidRPr="00A36AA2">
        <w:rPr>
          <w:rFonts w:ascii="Times New Roman" w:hAnsi="Times New Roman" w:cs="Times New Roman"/>
          <w:i/>
          <w:iCs/>
          <w:sz w:val="24"/>
          <w:szCs w:val="24"/>
        </w:rPr>
        <w:t>Technovation, 36-37</w:t>
      </w:r>
      <w:r w:rsidR="00A36AA2" w:rsidRPr="00A36AA2">
        <w:rPr>
          <w:rFonts w:ascii="Times New Roman" w:hAnsi="Times New Roman" w:cs="Times New Roman"/>
          <w:sz w:val="24"/>
          <w:szCs w:val="24"/>
        </w:rPr>
        <w:t>, 12-25. doi:10.1016/j.technovation.2014.09.004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Ahn,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Commercialisation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Federal Legislation</w:t>
      </w:r>
      <w:r w:rsidR="0010652D">
        <w:rPr>
          <w:rFonts w:ascii="Times New Roman" w:hAnsi="Times New Roman" w:cs="Times New Roman"/>
          <w:sz w:val="24"/>
          <w:szCs w:val="24"/>
        </w:rPr>
        <w:t xml:space="preserve"> and Executive Actions</w:t>
      </w:r>
      <w:r>
        <w:rPr>
          <w:rFonts w:ascii="Times New Roman" w:hAnsi="Times New Roman" w:cs="Times New Roman"/>
          <w:sz w:val="24"/>
          <w:szCs w:val="24"/>
        </w:rPr>
        <w:t xml:space="preserve"> Related to University Technology Transfer</w:t>
      </w:r>
    </w:p>
    <w:tbl>
      <w:tblPr>
        <w:tblStyle w:val="TableGrid"/>
        <w:tblW w:w="9360" w:type="dxa"/>
        <w:tblCellMar>
          <w:top w:w="58" w:type="dxa"/>
          <w:left w:w="58" w:type="dxa"/>
          <w:bottom w:w="58" w:type="dxa"/>
          <w:right w:w="58" w:type="dxa"/>
        </w:tblCellMar>
        <w:tblLook w:val="04A0" w:firstRow="1" w:lastRow="0" w:firstColumn="1" w:lastColumn="0" w:noHBand="0" w:noVBand="1"/>
      </w:tblPr>
      <w:tblGrid>
        <w:gridCol w:w="871"/>
        <w:gridCol w:w="2829"/>
        <w:gridCol w:w="2830"/>
        <w:gridCol w:w="2830"/>
      </w:tblGrid>
      <w:tr w:rsidR="0010652D" w:rsidTr="0036601A">
        <w:trPr>
          <w:cantSplit/>
          <w:tblHeader/>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Year</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Policy</w:t>
            </w:r>
          </w:p>
        </w:tc>
        <w:tc>
          <w:tcPr>
            <w:tcW w:w="2830" w:type="dxa"/>
          </w:tcPr>
          <w:p w:rsidR="0010652D" w:rsidRDefault="00083DE1">
            <w:pPr>
              <w:rPr>
                <w:rFonts w:ascii="Times New Roman" w:hAnsi="Times New Roman" w:cs="Times New Roman"/>
                <w:sz w:val="24"/>
                <w:szCs w:val="24"/>
              </w:rPr>
            </w:pPr>
            <w:r>
              <w:rPr>
                <w:rFonts w:ascii="Times New Roman" w:hAnsi="Times New Roman" w:cs="Times New Roman"/>
                <w:sz w:val="24"/>
                <w:szCs w:val="24"/>
              </w:rPr>
              <w:t>Relevant Provisions</w:t>
            </w:r>
          </w:p>
        </w:tc>
        <w:tc>
          <w:tcPr>
            <w:tcW w:w="2830" w:type="dxa"/>
          </w:tcPr>
          <w:p w:rsidR="0010652D" w:rsidRDefault="004F1BBD">
            <w:pPr>
              <w:rPr>
                <w:rFonts w:ascii="Times New Roman" w:hAnsi="Times New Roman" w:cs="Times New Roman"/>
                <w:sz w:val="24"/>
                <w:szCs w:val="24"/>
              </w:rPr>
            </w:pPr>
            <w:r>
              <w:rPr>
                <w:rFonts w:ascii="Times New Roman" w:hAnsi="Times New Roman" w:cs="Times New Roman"/>
                <w:sz w:val="24"/>
                <w:szCs w:val="24"/>
              </w:rPr>
              <w:t xml:space="preserve">Relevant </w:t>
            </w:r>
            <w:r w:rsidR="005D5B0C">
              <w:rPr>
                <w:rFonts w:ascii="Times New Roman" w:hAnsi="Times New Roman" w:cs="Times New Roman"/>
                <w:sz w:val="24"/>
                <w:szCs w:val="24"/>
              </w:rPr>
              <w:t>Market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96-517</w:t>
            </w:r>
          </w:p>
          <w:p w:rsidR="0010652D" w:rsidRDefault="0010652D">
            <w:pPr>
              <w:rPr>
                <w:rFonts w:ascii="Times New Roman" w:hAnsi="Times New Roman" w:cs="Times New Roman"/>
                <w:sz w:val="24"/>
                <w:szCs w:val="24"/>
              </w:rPr>
            </w:pPr>
            <w:r>
              <w:rPr>
                <w:rFonts w:ascii="Times New Roman" w:hAnsi="Times New Roman" w:cs="Times New Roman"/>
                <w:sz w:val="24"/>
                <w:szCs w:val="24"/>
              </w:rPr>
              <w:t>Bayh-Dole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Permitted universities, nonprofit firms, and small businesses to take title to inventions derived from federally-funded research as a way incentive these organizations to facilitate the use of the inventions to benefit the public interest.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96-480</w:t>
            </w:r>
          </w:p>
          <w:p w:rsidR="0010652D" w:rsidRDefault="0010652D">
            <w:pPr>
              <w:rPr>
                <w:rFonts w:ascii="Times New Roman" w:hAnsi="Times New Roman" w:cs="Times New Roman"/>
                <w:sz w:val="24"/>
                <w:szCs w:val="24"/>
              </w:rPr>
            </w:pPr>
            <w:r>
              <w:rPr>
                <w:rFonts w:ascii="Times New Roman" w:hAnsi="Times New Roman" w:cs="Times New Roman"/>
                <w:sz w:val="24"/>
                <w:szCs w:val="24"/>
              </w:rPr>
              <w:t>Stevenson-Wydler Technology Innovation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laboratories establish an Office of Research and Technology Application (ORTA) to facilitate their active technical cooperation with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1982</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97-219</w:t>
            </w:r>
          </w:p>
          <w:p w:rsidR="0010652D" w:rsidRDefault="0010652D">
            <w:pPr>
              <w:rPr>
                <w:rFonts w:ascii="Times New Roman" w:hAnsi="Times New Roman" w:cs="Times New Roman"/>
                <w:sz w:val="24"/>
                <w:szCs w:val="24"/>
              </w:rPr>
            </w:pPr>
            <w:r>
              <w:rPr>
                <w:rFonts w:ascii="Times New Roman" w:hAnsi="Times New Roman" w:cs="Times New Roman"/>
                <w:sz w:val="24"/>
                <w:szCs w:val="24"/>
              </w:rPr>
              <w:t>Small Business Innovation Development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agencies set aside a specific portion of their extramural research budgets to fund research and development projects within the scope of their agency missions to be performed by small businesses in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competition</w:t>
            </w:r>
          </w:p>
          <w:p w:rsidR="004F1BBD" w:rsidRDefault="004F1BBD">
            <w:pPr>
              <w:rPr>
                <w:rFonts w:ascii="Times New Roman" w:hAnsi="Times New Roman" w:cs="Times New Roman"/>
                <w:sz w:val="24"/>
                <w:szCs w:val="24"/>
              </w:rPr>
            </w:pPr>
            <w:r>
              <w:rPr>
                <w:rFonts w:ascii="Times New Roman" w:hAnsi="Times New Roman" w:cs="Times New Roman"/>
                <w:sz w:val="24"/>
                <w:szCs w:val="24"/>
              </w:rPr>
              <w:t>Negative externalities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1984</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98-462</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Cooperative Research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 xml:space="preserve">Enabled private sector businesses to enter </w:t>
            </w:r>
            <w:r w:rsidR="002D50B2">
              <w:rPr>
                <w:rFonts w:ascii="Times New Roman" w:hAnsi="Times New Roman" w:cs="Times New Roman"/>
                <w:sz w:val="24"/>
                <w:szCs w:val="24"/>
              </w:rPr>
              <w:t xml:space="preserve">into </w:t>
            </w:r>
            <w:r>
              <w:rPr>
                <w:rFonts w:ascii="Times New Roman" w:hAnsi="Times New Roman" w:cs="Times New Roman"/>
                <w:sz w:val="24"/>
                <w:szCs w:val="24"/>
              </w:rPr>
              <w:t>joint pre-competitive research and development ventures without violating federal antitrust laws.  Eliminated treble damages in antitrust litigation arising from such ventures.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Free rider problems</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1986</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99-502</w:t>
            </w:r>
          </w:p>
          <w:p w:rsidR="0010652D" w:rsidRDefault="0010652D">
            <w:pPr>
              <w:rPr>
                <w:rFonts w:ascii="Times New Roman" w:hAnsi="Times New Roman" w:cs="Times New Roman"/>
                <w:sz w:val="24"/>
                <w:szCs w:val="24"/>
              </w:rPr>
            </w:pPr>
            <w:r>
              <w:rPr>
                <w:rFonts w:ascii="Times New Roman" w:hAnsi="Times New Roman" w:cs="Times New Roman"/>
                <w:sz w:val="24"/>
                <w:szCs w:val="24"/>
              </w:rPr>
              <w:t>Federal Technology Transfer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Established the Federal Laboratory Consortium (FLC) for Technology Transfer</w:t>
            </w:r>
            <w:r w:rsidR="005D5B0C">
              <w:rPr>
                <w:rFonts w:ascii="Times New Roman" w:hAnsi="Times New Roman" w:cs="Times New Roman"/>
                <w:sz w:val="24"/>
                <w:szCs w:val="24"/>
              </w:rPr>
              <w:t xml:space="preserve"> and enabled government-owned, government-operated federal laboratories (GOGOs) to directly enter into cooperative research and development agreements (CRADAs) with private sector businesses.</w:t>
            </w:r>
            <w:r>
              <w:rPr>
                <w:rFonts w:ascii="Times New Roman" w:hAnsi="Times New Roman" w:cs="Times New Roman"/>
                <w:sz w:val="24"/>
                <w:szCs w:val="24"/>
              </w:rPr>
              <w:t xml:space="preserve"> </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Executive Order 12591</w:t>
            </w:r>
          </w:p>
          <w:p w:rsidR="0010652D" w:rsidRDefault="0010652D">
            <w:pPr>
              <w:rPr>
                <w:rFonts w:ascii="Times New Roman" w:hAnsi="Times New Roman" w:cs="Times New Roman"/>
                <w:sz w:val="24"/>
                <w:szCs w:val="24"/>
              </w:rPr>
            </w:pP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t>Pub.L. 99-502 for administrative purposes.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36601A" w:rsidTr="0036601A">
        <w:trPr>
          <w:cantSplit/>
        </w:trPr>
        <w:tc>
          <w:tcPr>
            <w:tcW w:w="871"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Executive Order 12618</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t>Pub.L. 99-502 for administrative purposes.</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1988</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100-418</w:t>
            </w:r>
          </w:p>
          <w:p w:rsidR="0010652D" w:rsidRDefault="0010652D">
            <w:pPr>
              <w:rPr>
                <w:rFonts w:ascii="Times New Roman" w:hAnsi="Times New Roman" w:cs="Times New Roman"/>
                <w:sz w:val="24"/>
                <w:szCs w:val="24"/>
              </w:rPr>
            </w:pPr>
            <w:r>
              <w:rPr>
                <w:rFonts w:ascii="Times New Roman" w:hAnsi="Times New Roman" w:cs="Times New Roman"/>
                <w:sz w:val="24"/>
                <w:szCs w:val="24"/>
              </w:rPr>
              <w:t>Ominbus Trade and Competitiveness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Established Manufacturing Technology Centers and designated the National Institute of Science and Technology (NIST) as the lead agency to administer them.</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1989</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101-189</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Competitiveness Technology Transfer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Extended the ability to enter into CRADAs with private sector businesses to all government-owned contractor-operated federal laboratories (GOCOs).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264F4B" w:rsidTr="0036601A">
        <w:trPr>
          <w:cantSplit/>
        </w:trPr>
        <w:tc>
          <w:tcPr>
            <w:tcW w:w="871"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1991</w:t>
            </w:r>
          </w:p>
        </w:tc>
        <w:tc>
          <w:tcPr>
            <w:tcW w:w="2829"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Pub.L. 102-245</w:t>
            </w:r>
          </w:p>
          <w:p w:rsidR="00264F4B" w:rsidRDefault="00264F4B">
            <w:pPr>
              <w:rPr>
                <w:rFonts w:ascii="Times New Roman" w:hAnsi="Times New Roman" w:cs="Times New Roman"/>
                <w:sz w:val="24"/>
                <w:szCs w:val="24"/>
              </w:rPr>
            </w:pPr>
            <w:r>
              <w:rPr>
                <w:rFonts w:ascii="Times New Roman" w:hAnsi="Times New Roman" w:cs="Times New Roman"/>
                <w:sz w:val="24"/>
                <w:szCs w:val="24"/>
              </w:rPr>
              <w:t>American Technology Preeminence Act</w:t>
            </w:r>
          </w:p>
        </w:tc>
        <w:tc>
          <w:tcPr>
            <w:tcW w:w="2830"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 xml:space="preserve">Authorizes </w:t>
            </w:r>
            <w:r w:rsidR="00083DE1">
              <w:rPr>
                <w:rFonts w:ascii="Times New Roman" w:hAnsi="Times New Roman" w:cs="Times New Roman"/>
                <w:sz w:val="24"/>
                <w:szCs w:val="24"/>
              </w:rPr>
              <w:t>appropriations to be available for Regional Centers for the Transfer of Manufacturing Technology, State Technology Extension Program, Advanced Technology Program, and Satellite Manufacturing Centers.</w:t>
            </w:r>
          </w:p>
        </w:tc>
        <w:tc>
          <w:tcPr>
            <w:tcW w:w="2830" w:type="dxa"/>
          </w:tcPr>
          <w:p w:rsidR="00264F4B"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1993</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103-160</w:t>
            </w:r>
          </w:p>
          <w:p w:rsidR="0010652D" w:rsidRDefault="0010652D">
            <w:pPr>
              <w:rPr>
                <w:rFonts w:ascii="Times New Roman" w:hAnsi="Times New Roman" w:cs="Times New Roman"/>
                <w:sz w:val="24"/>
                <w:szCs w:val="24"/>
              </w:rPr>
            </w:pPr>
            <w:r>
              <w:rPr>
                <w:rFonts w:ascii="Times New Roman" w:hAnsi="Times New Roman" w:cs="Times New Roman"/>
                <w:sz w:val="24"/>
                <w:szCs w:val="24"/>
              </w:rPr>
              <w:t>Defense Authorization Act</w:t>
            </w:r>
          </w:p>
        </w:tc>
        <w:tc>
          <w:tcPr>
            <w:tcW w:w="2830"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Directed the Advanced Research Projects Agency (ARPA) to promote dual-use technology via technology reinvestment.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1995</w:t>
            </w:r>
          </w:p>
        </w:tc>
        <w:tc>
          <w:tcPr>
            <w:tcW w:w="2829"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Pub.L. 104-113</w:t>
            </w:r>
          </w:p>
          <w:p w:rsidR="00083DE1" w:rsidRDefault="00083DE1">
            <w:pPr>
              <w:rPr>
                <w:rFonts w:ascii="Times New Roman" w:hAnsi="Times New Roman" w:cs="Times New Roman"/>
                <w:sz w:val="24"/>
                <w:szCs w:val="24"/>
              </w:rPr>
            </w:pPr>
            <w:r>
              <w:rPr>
                <w:rFonts w:ascii="Times New Roman" w:hAnsi="Times New Roman" w:cs="Times New Roman"/>
                <w:sz w:val="24"/>
                <w:szCs w:val="24"/>
              </w:rPr>
              <w:t>National Technology Transfer and Advancement Act</w:t>
            </w:r>
          </w:p>
        </w:tc>
        <w:tc>
          <w:tcPr>
            <w:tcW w:w="2830" w:type="dxa"/>
          </w:tcPr>
          <w:p w:rsidR="00083DE1" w:rsidRDefault="00804C5F">
            <w:pPr>
              <w:rPr>
                <w:rFonts w:ascii="Times New Roman" w:hAnsi="Times New Roman" w:cs="Times New Roman"/>
                <w:sz w:val="24"/>
                <w:szCs w:val="24"/>
              </w:rPr>
            </w:pPr>
            <w:r>
              <w:rPr>
                <w:rFonts w:ascii="Times New Roman" w:hAnsi="Times New Roman" w:cs="Times New Roman"/>
                <w:sz w:val="24"/>
                <w:szCs w:val="24"/>
              </w:rPr>
              <w:t>Enacted changes to ease the ability of</w:t>
            </w:r>
            <w:r w:rsidR="00083DE1">
              <w:rPr>
                <w:rFonts w:ascii="Times New Roman" w:hAnsi="Times New Roman" w:cs="Times New Roman"/>
                <w:sz w:val="24"/>
                <w:szCs w:val="24"/>
              </w:rPr>
              <w:t xml:space="preserve"> private sector businesses to obtain exclusive license to inventions that result from cooperative research with the federal government.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2000</w:t>
            </w:r>
          </w:p>
        </w:tc>
        <w:tc>
          <w:tcPr>
            <w:tcW w:w="2829"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Pub.L. 106-129</w:t>
            </w:r>
          </w:p>
          <w:p w:rsidR="00083DE1" w:rsidRDefault="00083DE1">
            <w:pPr>
              <w:rPr>
                <w:rFonts w:ascii="Times New Roman" w:hAnsi="Times New Roman" w:cs="Times New Roman"/>
                <w:sz w:val="24"/>
                <w:szCs w:val="24"/>
              </w:rPr>
            </w:pPr>
            <w:r>
              <w:rPr>
                <w:rFonts w:ascii="Times New Roman" w:hAnsi="Times New Roman" w:cs="Times New Roman"/>
                <w:sz w:val="24"/>
                <w:szCs w:val="24"/>
              </w:rPr>
              <w:t>Technology Transfer Commercialization Act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Requires license applicants for federally-owned inventions to commit to achieving practical application of the invention within a reasonable time.</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Negative externalities</w:t>
            </w:r>
          </w:p>
        </w:tc>
      </w:tr>
    </w:tbl>
    <w:p w:rsidR="005D5B0C" w:rsidRDefault="005D5B0C">
      <w:pPr>
        <w:rPr>
          <w:rFonts w:ascii="Times New Roman" w:hAnsi="Times New Roman" w:cs="Times New Roman"/>
          <w:sz w:val="24"/>
          <w:szCs w:val="24"/>
        </w:rPr>
      </w:pPr>
    </w:p>
    <w:p w:rsidR="005D5B0C" w:rsidRDefault="005D5B0C" w:rsidP="005D5B0C">
      <w:pPr>
        <w:rPr>
          <w:rFonts w:ascii="Times New Roman" w:hAnsi="Times New Roman" w:cs="Times New Roman"/>
          <w:sz w:val="24"/>
          <w:szCs w:val="24"/>
        </w:rPr>
      </w:pPr>
      <w:r>
        <w:rPr>
          <w:rFonts w:ascii="Times New Roman" w:hAnsi="Times New Roman" w:cs="Times New Roman"/>
          <w:sz w:val="24"/>
          <w:szCs w:val="24"/>
        </w:rPr>
        <w:t>Table created by author.</w:t>
      </w:r>
    </w:p>
    <w:p w:rsidR="008A5296" w:rsidRDefault="005D5B0C">
      <w:pPr>
        <w:rPr>
          <w:rFonts w:ascii="Times New Roman" w:hAnsi="Times New Roman" w:cs="Times New Roman"/>
          <w:sz w:val="24"/>
          <w:szCs w:val="24"/>
        </w:rPr>
      </w:pPr>
      <w:r>
        <w:rPr>
          <w:rFonts w:ascii="Times New Roman" w:hAnsi="Times New Roman" w:cs="Times New Roman"/>
          <w:sz w:val="24"/>
          <w:szCs w:val="24"/>
        </w:rPr>
        <w:t>Source</w:t>
      </w:r>
      <w:r w:rsidR="008A5296">
        <w:rPr>
          <w:rFonts w:ascii="Times New Roman" w:hAnsi="Times New Roman" w:cs="Times New Roman"/>
          <w:sz w:val="24"/>
          <w:szCs w:val="24"/>
        </w:rPr>
        <w:t>s</w:t>
      </w:r>
      <w:r>
        <w:rPr>
          <w:rFonts w:ascii="Times New Roman" w:hAnsi="Times New Roman" w:cs="Times New Roman"/>
          <w:sz w:val="24"/>
          <w:szCs w:val="24"/>
        </w:rPr>
        <w:t xml:space="preserve">: </w:t>
      </w:r>
    </w:p>
    <w:p w:rsidR="00A166BD" w:rsidRDefault="00A166BD"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Feberallabs. (2013, December 23). </w:t>
      </w:r>
      <w:r w:rsidRPr="00A166BD">
        <w:rPr>
          <w:rFonts w:ascii="Times New Roman" w:hAnsi="Times New Roman" w:cs="Times New Roman"/>
          <w:i/>
          <w:sz w:val="24"/>
          <w:szCs w:val="24"/>
        </w:rPr>
        <w:t>Technology Transfer Laws</w:t>
      </w:r>
      <w:r>
        <w:rPr>
          <w:rFonts w:ascii="Times New Roman" w:hAnsi="Times New Roman" w:cs="Times New Roman"/>
          <w:sz w:val="24"/>
          <w:szCs w:val="24"/>
        </w:rPr>
        <w:t xml:space="preserve"> [Video file]. Retrieved from </w:t>
      </w:r>
      <w:r w:rsidR="002E1707" w:rsidRPr="002E1707">
        <w:rPr>
          <w:rFonts w:ascii="Times New Roman" w:hAnsi="Times New Roman" w:cs="Times New Roman"/>
          <w:sz w:val="24"/>
          <w:szCs w:val="24"/>
        </w:rPr>
        <w:t>https://youtu.be/k9CEPfku5DI</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H.R.1989 – American Technology Preeminence Act of 1991. (n.d.). Congress.gov. Retrieved April 23, 2020 from </w:t>
      </w:r>
      <w:r w:rsidRPr="00804C5F">
        <w:rPr>
          <w:rFonts w:ascii="Times New Roman" w:hAnsi="Times New Roman" w:cs="Times New Roman"/>
          <w:sz w:val="24"/>
          <w:szCs w:val="24"/>
        </w:rPr>
        <w:t>https://www.congress.gov/bill/102nd-congress/house-bill/1989</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H.R.209 – Technology Transfer Commercialization Act of 2000. (n.d.). Congress.gov. Retrieved April 23, 2020 from </w:t>
      </w:r>
      <w:r w:rsidRPr="00804C5F">
        <w:rPr>
          <w:rFonts w:ascii="Times New Roman" w:hAnsi="Times New Roman" w:cs="Times New Roman"/>
          <w:sz w:val="24"/>
          <w:szCs w:val="24"/>
        </w:rPr>
        <w:t>https://www.congress.gov/bill/106th-congress/house-bill/209</w:t>
      </w:r>
    </w:p>
    <w:p w:rsidR="005D5B0C" w:rsidRDefault="005D5B0C" w:rsidP="008A5296">
      <w:pPr>
        <w:ind w:left="720" w:hanging="720"/>
        <w:rPr>
          <w:rFonts w:ascii="Times New Roman" w:hAnsi="Times New Roman" w:cs="Times New Roman"/>
          <w:sz w:val="24"/>
          <w:szCs w:val="24"/>
        </w:rPr>
      </w:pPr>
      <w:r>
        <w:rPr>
          <w:rFonts w:ascii="Times New Roman" w:hAnsi="Times New Roman" w:cs="Times New Roman"/>
          <w:sz w:val="24"/>
          <w:szCs w:val="24"/>
        </w:rPr>
        <w:t xml:space="preserve">Lee, Y. S. (1997). Technology transfer and economic development: A framework for policy analysis. In Y. S. Lee (Ed.), </w:t>
      </w:r>
      <w:r w:rsidRPr="00C25CEB">
        <w:rPr>
          <w:rFonts w:ascii="Times New Roman" w:hAnsi="Times New Roman" w:cs="Times New Roman"/>
          <w:i/>
          <w:sz w:val="24"/>
          <w:szCs w:val="24"/>
        </w:rPr>
        <w:t>Technol</w:t>
      </w:r>
      <w:r w:rsidR="00B114C9" w:rsidRPr="00C25CEB">
        <w:rPr>
          <w:rFonts w:ascii="Times New Roman" w:hAnsi="Times New Roman" w:cs="Times New Roman"/>
          <w:i/>
          <w:sz w:val="24"/>
          <w:szCs w:val="24"/>
        </w:rPr>
        <w:t>ogy Transfer and Public Policy</w:t>
      </w:r>
      <w:r w:rsidR="00B114C9">
        <w:rPr>
          <w:rFonts w:ascii="Times New Roman" w:hAnsi="Times New Roman" w:cs="Times New Roman"/>
          <w:sz w:val="24"/>
          <w:szCs w:val="24"/>
        </w:rPr>
        <w:t xml:space="preserve"> (</w:t>
      </w:r>
      <w:r>
        <w:rPr>
          <w:rFonts w:ascii="Times New Roman" w:hAnsi="Times New Roman" w:cs="Times New Roman"/>
          <w:sz w:val="24"/>
          <w:szCs w:val="24"/>
        </w:rPr>
        <w:t>pp. 3-20</w:t>
      </w:r>
      <w:r w:rsidR="00B114C9">
        <w:rPr>
          <w:rFonts w:ascii="Times New Roman" w:hAnsi="Times New Roman" w:cs="Times New Roman"/>
          <w:sz w:val="24"/>
          <w:szCs w:val="24"/>
        </w:rPr>
        <w:t>)</w:t>
      </w:r>
      <w:r w:rsidR="00C25CEB">
        <w:rPr>
          <w:rFonts w:ascii="Times New Roman" w:hAnsi="Times New Roman" w:cs="Times New Roman"/>
          <w:sz w:val="24"/>
          <w:szCs w:val="24"/>
        </w:rPr>
        <w:t>.</w:t>
      </w:r>
      <w:r>
        <w:rPr>
          <w:rFonts w:ascii="Times New Roman" w:hAnsi="Times New Roman" w:cs="Times New Roman"/>
          <w:sz w:val="24"/>
          <w:szCs w:val="24"/>
        </w:rPr>
        <w:t xml:space="preserve"> </w:t>
      </w:r>
      <w:r w:rsidR="00B114C9">
        <w:rPr>
          <w:rFonts w:ascii="Times New Roman" w:hAnsi="Times New Roman" w:cs="Times New Roman"/>
          <w:sz w:val="24"/>
          <w:szCs w:val="24"/>
        </w:rPr>
        <w:t>Quorum Books.</w:t>
      </w:r>
    </w:p>
    <w:p w:rsidR="00264F4B" w:rsidRDefault="00264F4B">
      <w:pPr>
        <w:rPr>
          <w:rFonts w:ascii="Times New Roman" w:hAnsi="Times New Roman" w:cs="Times New Roman"/>
          <w:sz w:val="24"/>
          <w:szCs w:val="24"/>
        </w:rPr>
      </w:pPr>
      <w:r>
        <w:rPr>
          <w:rFonts w:ascii="Times New Roman" w:hAnsi="Times New Roman" w:cs="Times New Roman"/>
          <w:sz w:val="24"/>
          <w:szCs w:val="24"/>
        </w:rPr>
        <w:br w:type="page"/>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D3510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D35106"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20</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D35106"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4C79"/>
    <w:rsid w:val="000064BC"/>
    <w:rsid w:val="00013D81"/>
    <w:rsid w:val="00013E85"/>
    <w:rsid w:val="0001747D"/>
    <w:rsid w:val="00020473"/>
    <w:rsid w:val="000208A2"/>
    <w:rsid w:val="0003023E"/>
    <w:rsid w:val="0003104B"/>
    <w:rsid w:val="000416DB"/>
    <w:rsid w:val="00043E8A"/>
    <w:rsid w:val="00047283"/>
    <w:rsid w:val="00051D3D"/>
    <w:rsid w:val="0006408A"/>
    <w:rsid w:val="0006678C"/>
    <w:rsid w:val="0007069C"/>
    <w:rsid w:val="00073E04"/>
    <w:rsid w:val="00075D47"/>
    <w:rsid w:val="000809F2"/>
    <w:rsid w:val="00082379"/>
    <w:rsid w:val="00083DE1"/>
    <w:rsid w:val="0009129B"/>
    <w:rsid w:val="00091B05"/>
    <w:rsid w:val="0009261D"/>
    <w:rsid w:val="00093ED3"/>
    <w:rsid w:val="00094FA8"/>
    <w:rsid w:val="000B08E9"/>
    <w:rsid w:val="000B2EE0"/>
    <w:rsid w:val="000B3AD0"/>
    <w:rsid w:val="000B3C53"/>
    <w:rsid w:val="000B4774"/>
    <w:rsid w:val="000B6373"/>
    <w:rsid w:val="000C2EEA"/>
    <w:rsid w:val="000C45A7"/>
    <w:rsid w:val="000C5A82"/>
    <w:rsid w:val="000E1328"/>
    <w:rsid w:val="000E2AFE"/>
    <w:rsid w:val="000E66F8"/>
    <w:rsid w:val="000F200B"/>
    <w:rsid w:val="000F2841"/>
    <w:rsid w:val="000F4BE8"/>
    <w:rsid w:val="00100708"/>
    <w:rsid w:val="0010301B"/>
    <w:rsid w:val="00103CE2"/>
    <w:rsid w:val="001055B9"/>
    <w:rsid w:val="0010652D"/>
    <w:rsid w:val="001134F8"/>
    <w:rsid w:val="001148CD"/>
    <w:rsid w:val="00114F32"/>
    <w:rsid w:val="001152F2"/>
    <w:rsid w:val="001172F5"/>
    <w:rsid w:val="001174E6"/>
    <w:rsid w:val="00124582"/>
    <w:rsid w:val="00125B82"/>
    <w:rsid w:val="00125BAF"/>
    <w:rsid w:val="00125E84"/>
    <w:rsid w:val="00127591"/>
    <w:rsid w:val="001315B8"/>
    <w:rsid w:val="001317A6"/>
    <w:rsid w:val="00133839"/>
    <w:rsid w:val="0013513F"/>
    <w:rsid w:val="00140BB3"/>
    <w:rsid w:val="001431E9"/>
    <w:rsid w:val="0014336E"/>
    <w:rsid w:val="00145E10"/>
    <w:rsid w:val="00146D8D"/>
    <w:rsid w:val="00147758"/>
    <w:rsid w:val="001515E7"/>
    <w:rsid w:val="0015245D"/>
    <w:rsid w:val="001541D5"/>
    <w:rsid w:val="00156B74"/>
    <w:rsid w:val="001612C0"/>
    <w:rsid w:val="001632C5"/>
    <w:rsid w:val="00163BDE"/>
    <w:rsid w:val="00170BD8"/>
    <w:rsid w:val="001740CD"/>
    <w:rsid w:val="001812EE"/>
    <w:rsid w:val="00181E72"/>
    <w:rsid w:val="00184A26"/>
    <w:rsid w:val="001944B9"/>
    <w:rsid w:val="0019550C"/>
    <w:rsid w:val="001A5775"/>
    <w:rsid w:val="001A594D"/>
    <w:rsid w:val="001B1337"/>
    <w:rsid w:val="001B352F"/>
    <w:rsid w:val="001C5E8A"/>
    <w:rsid w:val="001C76D4"/>
    <w:rsid w:val="001C7CF1"/>
    <w:rsid w:val="001D4B06"/>
    <w:rsid w:val="001D4CB2"/>
    <w:rsid w:val="001E3017"/>
    <w:rsid w:val="001E74ED"/>
    <w:rsid w:val="001E7DFE"/>
    <w:rsid w:val="001F23BE"/>
    <w:rsid w:val="001F4643"/>
    <w:rsid w:val="00202AD8"/>
    <w:rsid w:val="00210408"/>
    <w:rsid w:val="00210D12"/>
    <w:rsid w:val="002145F9"/>
    <w:rsid w:val="00226860"/>
    <w:rsid w:val="00227EEF"/>
    <w:rsid w:val="00247773"/>
    <w:rsid w:val="00250EC3"/>
    <w:rsid w:val="002554E2"/>
    <w:rsid w:val="00257836"/>
    <w:rsid w:val="00262B2D"/>
    <w:rsid w:val="002636DF"/>
    <w:rsid w:val="002645FC"/>
    <w:rsid w:val="00264F4B"/>
    <w:rsid w:val="00265134"/>
    <w:rsid w:val="00270B1F"/>
    <w:rsid w:val="00270E31"/>
    <w:rsid w:val="0027207C"/>
    <w:rsid w:val="00274047"/>
    <w:rsid w:val="002753EB"/>
    <w:rsid w:val="00283A7B"/>
    <w:rsid w:val="00287B8D"/>
    <w:rsid w:val="00290F48"/>
    <w:rsid w:val="00292529"/>
    <w:rsid w:val="00294291"/>
    <w:rsid w:val="002A2C8B"/>
    <w:rsid w:val="002A3328"/>
    <w:rsid w:val="002B15C1"/>
    <w:rsid w:val="002B6500"/>
    <w:rsid w:val="002D50B2"/>
    <w:rsid w:val="002D5F98"/>
    <w:rsid w:val="002E1707"/>
    <w:rsid w:val="002E22F4"/>
    <w:rsid w:val="002E4651"/>
    <w:rsid w:val="002E7327"/>
    <w:rsid w:val="002F08DF"/>
    <w:rsid w:val="002F4DA6"/>
    <w:rsid w:val="00300EF5"/>
    <w:rsid w:val="00310A6F"/>
    <w:rsid w:val="00317C25"/>
    <w:rsid w:val="0032335B"/>
    <w:rsid w:val="003339A1"/>
    <w:rsid w:val="00336CC9"/>
    <w:rsid w:val="00345AC5"/>
    <w:rsid w:val="003504A2"/>
    <w:rsid w:val="003508C0"/>
    <w:rsid w:val="00351161"/>
    <w:rsid w:val="0035263C"/>
    <w:rsid w:val="003535B1"/>
    <w:rsid w:val="0035457F"/>
    <w:rsid w:val="0035640A"/>
    <w:rsid w:val="00356B30"/>
    <w:rsid w:val="00361DA7"/>
    <w:rsid w:val="003659B8"/>
    <w:rsid w:val="0036601A"/>
    <w:rsid w:val="0037276A"/>
    <w:rsid w:val="00374058"/>
    <w:rsid w:val="00374A8E"/>
    <w:rsid w:val="00375F97"/>
    <w:rsid w:val="00377EEE"/>
    <w:rsid w:val="00395611"/>
    <w:rsid w:val="00395942"/>
    <w:rsid w:val="003A66DF"/>
    <w:rsid w:val="003B30C9"/>
    <w:rsid w:val="003B33BB"/>
    <w:rsid w:val="003B3DF2"/>
    <w:rsid w:val="003C0228"/>
    <w:rsid w:val="003C0F62"/>
    <w:rsid w:val="003C6908"/>
    <w:rsid w:val="003C7B43"/>
    <w:rsid w:val="003C7E14"/>
    <w:rsid w:val="003D115D"/>
    <w:rsid w:val="003D2307"/>
    <w:rsid w:val="003E104B"/>
    <w:rsid w:val="003E5991"/>
    <w:rsid w:val="003E750D"/>
    <w:rsid w:val="003F3EB5"/>
    <w:rsid w:val="003F55E8"/>
    <w:rsid w:val="003F79AB"/>
    <w:rsid w:val="00410B3F"/>
    <w:rsid w:val="00417649"/>
    <w:rsid w:val="00420136"/>
    <w:rsid w:val="00420BAD"/>
    <w:rsid w:val="004329AE"/>
    <w:rsid w:val="0043462B"/>
    <w:rsid w:val="0043517B"/>
    <w:rsid w:val="004375F9"/>
    <w:rsid w:val="0044539A"/>
    <w:rsid w:val="00460D7A"/>
    <w:rsid w:val="004753DF"/>
    <w:rsid w:val="00477E2B"/>
    <w:rsid w:val="00482E41"/>
    <w:rsid w:val="00482F2B"/>
    <w:rsid w:val="00486209"/>
    <w:rsid w:val="0048729E"/>
    <w:rsid w:val="00494213"/>
    <w:rsid w:val="004948EA"/>
    <w:rsid w:val="00496458"/>
    <w:rsid w:val="00496CEA"/>
    <w:rsid w:val="004A0CC1"/>
    <w:rsid w:val="004A3D81"/>
    <w:rsid w:val="004B14F8"/>
    <w:rsid w:val="004B566E"/>
    <w:rsid w:val="004C1F09"/>
    <w:rsid w:val="004C6EA5"/>
    <w:rsid w:val="004C7C20"/>
    <w:rsid w:val="004D2232"/>
    <w:rsid w:val="004D3052"/>
    <w:rsid w:val="004D4A5E"/>
    <w:rsid w:val="004D72FD"/>
    <w:rsid w:val="004E6120"/>
    <w:rsid w:val="004E6565"/>
    <w:rsid w:val="004E6E11"/>
    <w:rsid w:val="004F0576"/>
    <w:rsid w:val="004F1BBD"/>
    <w:rsid w:val="004F1D29"/>
    <w:rsid w:val="00507EDB"/>
    <w:rsid w:val="00511298"/>
    <w:rsid w:val="00515430"/>
    <w:rsid w:val="00515BC8"/>
    <w:rsid w:val="005229B5"/>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86445"/>
    <w:rsid w:val="00590049"/>
    <w:rsid w:val="00590D27"/>
    <w:rsid w:val="00591EBA"/>
    <w:rsid w:val="005A1156"/>
    <w:rsid w:val="005A46F1"/>
    <w:rsid w:val="005A5BB8"/>
    <w:rsid w:val="005B0F2F"/>
    <w:rsid w:val="005B1327"/>
    <w:rsid w:val="005C0613"/>
    <w:rsid w:val="005C0A22"/>
    <w:rsid w:val="005C5547"/>
    <w:rsid w:val="005C6018"/>
    <w:rsid w:val="005C74DA"/>
    <w:rsid w:val="005D1743"/>
    <w:rsid w:val="005D3F04"/>
    <w:rsid w:val="005D5B0C"/>
    <w:rsid w:val="005D6172"/>
    <w:rsid w:val="005D6B07"/>
    <w:rsid w:val="005D74E1"/>
    <w:rsid w:val="005E0911"/>
    <w:rsid w:val="005E1C7C"/>
    <w:rsid w:val="005E2F8F"/>
    <w:rsid w:val="005E32E5"/>
    <w:rsid w:val="005E456E"/>
    <w:rsid w:val="005E7122"/>
    <w:rsid w:val="005F1024"/>
    <w:rsid w:val="005F2659"/>
    <w:rsid w:val="005F2712"/>
    <w:rsid w:val="005F2936"/>
    <w:rsid w:val="005F2BAE"/>
    <w:rsid w:val="005F50E6"/>
    <w:rsid w:val="00600FAE"/>
    <w:rsid w:val="00611F4D"/>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63A8"/>
    <w:rsid w:val="006567EE"/>
    <w:rsid w:val="00671437"/>
    <w:rsid w:val="006742F7"/>
    <w:rsid w:val="00674528"/>
    <w:rsid w:val="00675001"/>
    <w:rsid w:val="00677B8A"/>
    <w:rsid w:val="006830F0"/>
    <w:rsid w:val="0068490E"/>
    <w:rsid w:val="00687B1C"/>
    <w:rsid w:val="00687FF3"/>
    <w:rsid w:val="006920FB"/>
    <w:rsid w:val="006964D7"/>
    <w:rsid w:val="006966D5"/>
    <w:rsid w:val="00697F63"/>
    <w:rsid w:val="006B44ED"/>
    <w:rsid w:val="006B59AE"/>
    <w:rsid w:val="006C6B15"/>
    <w:rsid w:val="006D3D9D"/>
    <w:rsid w:val="006E0B5C"/>
    <w:rsid w:val="006E0D7F"/>
    <w:rsid w:val="006E3B67"/>
    <w:rsid w:val="006E5F29"/>
    <w:rsid w:val="006F05F3"/>
    <w:rsid w:val="006F291D"/>
    <w:rsid w:val="007030CA"/>
    <w:rsid w:val="007038DA"/>
    <w:rsid w:val="00704AF8"/>
    <w:rsid w:val="00704B6E"/>
    <w:rsid w:val="00723CD0"/>
    <w:rsid w:val="0072531E"/>
    <w:rsid w:val="007261BF"/>
    <w:rsid w:val="00727D98"/>
    <w:rsid w:val="0073493A"/>
    <w:rsid w:val="00734DDC"/>
    <w:rsid w:val="00734E12"/>
    <w:rsid w:val="007368A1"/>
    <w:rsid w:val="0074037B"/>
    <w:rsid w:val="00741DD6"/>
    <w:rsid w:val="00742C7D"/>
    <w:rsid w:val="007455BE"/>
    <w:rsid w:val="007506FA"/>
    <w:rsid w:val="00752DF5"/>
    <w:rsid w:val="007544E8"/>
    <w:rsid w:val="00755F43"/>
    <w:rsid w:val="00756E53"/>
    <w:rsid w:val="00757297"/>
    <w:rsid w:val="007655E7"/>
    <w:rsid w:val="007663E5"/>
    <w:rsid w:val="007728CD"/>
    <w:rsid w:val="007740FA"/>
    <w:rsid w:val="007746C9"/>
    <w:rsid w:val="0078388F"/>
    <w:rsid w:val="007907C3"/>
    <w:rsid w:val="00791159"/>
    <w:rsid w:val="0079623B"/>
    <w:rsid w:val="007A06D2"/>
    <w:rsid w:val="007A6478"/>
    <w:rsid w:val="007B4C19"/>
    <w:rsid w:val="007B56C5"/>
    <w:rsid w:val="007C2B18"/>
    <w:rsid w:val="007C3906"/>
    <w:rsid w:val="007C6F82"/>
    <w:rsid w:val="007D1948"/>
    <w:rsid w:val="007D601A"/>
    <w:rsid w:val="007E4D24"/>
    <w:rsid w:val="007E4E33"/>
    <w:rsid w:val="007F0731"/>
    <w:rsid w:val="007F1E2C"/>
    <w:rsid w:val="007F4F79"/>
    <w:rsid w:val="007F6155"/>
    <w:rsid w:val="008039A2"/>
    <w:rsid w:val="00804C5F"/>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82134"/>
    <w:rsid w:val="008821C7"/>
    <w:rsid w:val="0088274C"/>
    <w:rsid w:val="00883CD1"/>
    <w:rsid w:val="0088623B"/>
    <w:rsid w:val="008918B0"/>
    <w:rsid w:val="00892CD7"/>
    <w:rsid w:val="008A1B8F"/>
    <w:rsid w:val="008A3E45"/>
    <w:rsid w:val="008A41BC"/>
    <w:rsid w:val="008A5296"/>
    <w:rsid w:val="008C048D"/>
    <w:rsid w:val="008C0E1C"/>
    <w:rsid w:val="008D51F3"/>
    <w:rsid w:val="008D56C3"/>
    <w:rsid w:val="008E65A7"/>
    <w:rsid w:val="008F0B1D"/>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13D6"/>
    <w:rsid w:val="009524E5"/>
    <w:rsid w:val="0095562A"/>
    <w:rsid w:val="009650BD"/>
    <w:rsid w:val="00971121"/>
    <w:rsid w:val="00975E82"/>
    <w:rsid w:val="009869CC"/>
    <w:rsid w:val="009872FC"/>
    <w:rsid w:val="009926E5"/>
    <w:rsid w:val="00993EDF"/>
    <w:rsid w:val="009963CE"/>
    <w:rsid w:val="009B1AA5"/>
    <w:rsid w:val="009B3256"/>
    <w:rsid w:val="009B5B25"/>
    <w:rsid w:val="009B6D22"/>
    <w:rsid w:val="009C1768"/>
    <w:rsid w:val="009C5FF8"/>
    <w:rsid w:val="009D1465"/>
    <w:rsid w:val="009E2252"/>
    <w:rsid w:val="009E2F20"/>
    <w:rsid w:val="009E4AE5"/>
    <w:rsid w:val="009E66F7"/>
    <w:rsid w:val="009E697C"/>
    <w:rsid w:val="009F22AD"/>
    <w:rsid w:val="009F2B70"/>
    <w:rsid w:val="009F3DF7"/>
    <w:rsid w:val="00A03066"/>
    <w:rsid w:val="00A03E98"/>
    <w:rsid w:val="00A0545A"/>
    <w:rsid w:val="00A10EA0"/>
    <w:rsid w:val="00A14BF4"/>
    <w:rsid w:val="00A166BD"/>
    <w:rsid w:val="00A22400"/>
    <w:rsid w:val="00A276D0"/>
    <w:rsid w:val="00A3021C"/>
    <w:rsid w:val="00A311E5"/>
    <w:rsid w:val="00A3695E"/>
    <w:rsid w:val="00A36AA2"/>
    <w:rsid w:val="00A43115"/>
    <w:rsid w:val="00A54CD0"/>
    <w:rsid w:val="00A565FA"/>
    <w:rsid w:val="00A5675E"/>
    <w:rsid w:val="00A6012B"/>
    <w:rsid w:val="00A71561"/>
    <w:rsid w:val="00A72207"/>
    <w:rsid w:val="00A76F18"/>
    <w:rsid w:val="00A803BA"/>
    <w:rsid w:val="00A84246"/>
    <w:rsid w:val="00A848B3"/>
    <w:rsid w:val="00A94102"/>
    <w:rsid w:val="00A9478E"/>
    <w:rsid w:val="00A95B39"/>
    <w:rsid w:val="00AA1098"/>
    <w:rsid w:val="00AA1CD6"/>
    <w:rsid w:val="00AA5EFE"/>
    <w:rsid w:val="00AB5028"/>
    <w:rsid w:val="00AB5C00"/>
    <w:rsid w:val="00AB7B12"/>
    <w:rsid w:val="00AC1296"/>
    <w:rsid w:val="00AC2476"/>
    <w:rsid w:val="00AC6757"/>
    <w:rsid w:val="00AC6BBD"/>
    <w:rsid w:val="00AD1596"/>
    <w:rsid w:val="00AD17E0"/>
    <w:rsid w:val="00AD469C"/>
    <w:rsid w:val="00AD5B4B"/>
    <w:rsid w:val="00AE77C8"/>
    <w:rsid w:val="00AF4E9B"/>
    <w:rsid w:val="00AF7D04"/>
    <w:rsid w:val="00B010A6"/>
    <w:rsid w:val="00B022D6"/>
    <w:rsid w:val="00B03618"/>
    <w:rsid w:val="00B04EF0"/>
    <w:rsid w:val="00B0712D"/>
    <w:rsid w:val="00B0787E"/>
    <w:rsid w:val="00B107BD"/>
    <w:rsid w:val="00B114C9"/>
    <w:rsid w:val="00B12CE1"/>
    <w:rsid w:val="00B140EB"/>
    <w:rsid w:val="00B26836"/>
    <w:rsid w:val="00B36ADD"/>
    <w:rsid w:val="00B4636A"/>
    <w:rsid w:val="00B643CD"/>
    <w:rsid w:val="00B740D2"/>
    <w:rsid w:val="00B758B0"/>
    <w:rsid w:val="00B80784"/>
    <w:rsid w:val="00B81D67"/>
    <w:rsid w:val="00B852A8"/>
    <w:rsid w:val="00B907C2"/>
    <w:rsid w:val="00B90C2A"/>
    <w:rsid w:val="00BA308E"/>
    <w:rsid w:val="00BA6B02"/>
    <w:rsid w:val="00BB4827"/>
    <w:rsid w:val="00BB60F6"/>
    <w:rsid w:val="00BC339F"/>
    <w:rsid w:val="00BD3740"/>
    <w:rsid w:val="00BE0CC5"/>
    <w:rsid w:val="00BE6449"/>
    <w:rsid w:val="00BE7BEF"/>
    <w:rsid w:val="00BF1396"/>
    <w:rsid w:val="00BF4325"/>
    <w:rsid w:val="00C00C51"/>
    <w:rsid w:val="00C01043"/>
    <w:rsid w:val="00C068AB"/>
    <w:rsid w:val="00C06E7F"/>
    <w:rsid w:val="00C07428"/>
    <w:rsid w:val="00C0749F"/>
    <w:rsid w:val="00C14276"/>
    <w:rsid w:val="00C14769"/>
    <w:rsid w:val="00C15CAC"/>
    <w:rsid w:val="00C25CEB"/>
    <w:rsid w:val="00C260E9"/>
    <w:rsid w:val="00C2759B"/>
    <w:rsid w:val="00C27DF8"/>
    <w:rsid w:val="00C3364A"/>
    <w:rsid w:val="00C5065A"/>
    <w:rsid w:val="00C55F39"/>
    <w:rsid w:val="00C62809"/>
    <w:rsid w:val="00C66F08"/>
    <w:rsid w:val="00C76724"/>
    <w:rsid w:val="00C80445"/>
    <w:rsid w:val="00C842C1"/>
    <w:rsid w:val="00C84BC7"/>
    <w:rsid w:val="00C95140"/>
    <w:rsid w:val="00CA0C07"/>
    <w:rsid w:val="00CA1A11"/>
    <w:rsid w:val="00CA4576"/>
    <w:rsid w:val="00CA74D7"/>
    <w:rsid w:val="00CB3663"/>
    <w:rsid w:val="00CB76CC"/>
    <w:rsid w:val="00CB7BA8"/>
    <w:rsid w:val="00CC4511"/>
    <w:rsid w:val="00CC77FE"/>
    <w:rsid w:val="00CD47D5"/>
    <w:rsid w:val="00CD58EA"/>
    <w:rsid w:val="00CE58F8"/>
    <w:rsid w:val="00CF19A1"/>
    <w:rsid w:val="00CF21E7"/>
    <w:rsid w:val="00CF3A67"/>
    <w:rsid w:val="00CF4F94"/>
    <w:rsid w:val="00D02E6C"/>
    <w:rsid w:val="00D02EB1"/>
    <w:rsid w:val="00D2340D"/>
    <w:rsid w:val="00D25E34"/>
    <w:rsid w:val="00D32A3C"/>
    <w:rsid w:val="00D3427A"/>
    <w:rsid w:val="00D34FBE"/>
    <w:rsid w:val="00D35106"/>
    <w:rsid w:val="00D37CC1"/>
    <w:rsid w:val="00D437CB"/>
    <w:rsid w:val="00D439AB"/>
    <w:rsid w:val="00D44D86"/>
    <w:rsid w:val="00D46C54"/>
    <w:rsid w:val="00D477BA"/>
    <w:rsid w:val="00D52703"/>
    <w:rsid w:val="00D5517A"/>
    <w:rsid w:val="00D65594"/>
    <w:rsid w:val="00D65DD5"/>
    <w:rsid w:val="00D727AB"/>
    <w:rsid w:val="00D7315A"/>
    <w:rsid w:val="00D7581D"/>
    <w:rsid w:val="00D809B8"/>
    <w:rsid w:val="00D83869"/>
    <w:rsid w:val="00D83A3E"/>
    <w:rsid w:val="00D86C5D"/>
    <w:rsid w:val="00D87ADF"/>
    <w:rsid w:val="00D87C66"/>
    <w:rsid w:val="00DA191C"/>
    <w:rsid w:val="00DA20C8"/>
    <w:rsid w:val="00DA761B"/>
    <w:rsid w:val="00DB2F99"/>
    <w:rsid w:val="00DB6F0A"/>
    <w:rsid w:val="00DB76EA"/>
    <w:rsid w:val="00DC0457"/>
    <w:rsid w:val="00DC7156"/>
    <w:rsid w:val="00DD122E"/>
    <w:rsid w:val="00DD5FF5"/>
    <w:rsid w:val="00DF3435"/>
    <w:rsid w:val="00E03FC5"/>
    <w:rsid w:val="00E10427"/>
    <w:rsid w:val="00E11B9C"/>
    <w:rsid w:val="00E11EA6"/>
    <w:rsid w:val="00E251AD"/>
    <w:rsid w:val="00E307AD"/>
    <w:rsid w:val="00E338AA"/>
    <w:rsid w:val="00E4317F"/>
    <w:rsid w:val="00E46706"/>
    <w:rsid w:val="00E46DC4"/>
    <w:rsid w:val="00E50380"/>
    <w:rsid w:val="00E55D84"/>
    <w:rsid w:val="00E6382B"/>
    <w:rsid w:val="00E63B23"/>
    <w:rsid w:val="00E806FF"/>
    <w:rsid w:val="00E8568B"/>
    <w:rsid w:val="00E8736C"/>
    <w:rsid w:val="00EA654C"/>
    <w:rsid w:val="00EB049D"/>
    <w:rsid w:val="00EB2EDE"/>
    <w:rsid w:val="00EB350B"/>
    <w:rsid w:val="00EB4EBB"/>
    <w:rsid w:val="00EB605B"/>
    <w:rsid w:val="00EB640C"/>
    <w:rsid w:val="00EC448E"/>
    <w:rsid w:val="00ED2BAA"/>
    <w:rsid w:val="00ED3A93"/>
    <w:rsid w:val="00ED712C"/>
    <w:rsid w:val="00EE11EB"/>
    <w:rsid w:val="00EE332D"/>
    <w:rsid w:val="00EE7743"/>
    <w:rsid w:val="00EF6629"/>
    <w:rsid w:val="00F016F6"/>
    <w:rsid w:val="00F06220"/>
    <w:rsid w:val="00F11F1A"/>
    <w:rsid w:val="00F14A89"/>
    <w:rsid w:val="00F16012"/>
    <w:rsid w:val="00F17FAE"/>
    <w:rsid w:val="00F2314C"/>
    <w:rsid w:val="00F24C17"/>
    <w:rsid w:val="00F26D1A"/>
    <w:rsid w:val="00F44083"/>
    <w:rsid w:val="00F45EC2"/>
    <w:rsid w:val="00F4606B"/>
    <w:rsid w:val="00F467C2"/>
    <w:rsid w:val="00F46C6C"/>
    <w:rsid w:val="00F50F61"/>
    <w:rsid w:val="00F510C9"/>
    <w:rsid w:val="00F5221F"/>
    <w:rsid w:val="00F52C24"/>
    <w:rsid w:val="00F53072"/>
    <w:rsid w:val="00F53ED2"/>
    <w:rsid w:val="00F55DFF"/>
    <w:rsid w:val="00F577AD"/>
    <w:rsid w:val="00F578AD"/>
    <w:rsid w:val="00F62694"/>
    <w:rsid w:val="00F65770"/>
    <w:rsid w:val="00F65C5D"/>
    <w:rsid w:val="00F73B7C"/>
    <w:rsid w:val="00F7705B"/>
    <w:rsid w:val="00F80336"/>
    <w:rsid w:val="00F82A8D"/>
    <w:rsid w:val="00F85B18"/>
    <w:rsid w:val="00F86808"/>
    <w:rsid w:val="00F87DE5"/>
    <w:rsid w:val="00F906C6"/>
    <w:rsid w:val="00FA0FE1"/>
    <w:rsid w:val="00FA52C4"/>
    <w:rsid w:val="00FA5E02"/>
    <w:rsid w:val="00FB5587"/>
    <w:rsid w:val="00FB6C0D"/>
    <w:rsid w:val="00FC0FAF"/>
    <w:rsid w:val="00FC77F2"/>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613AA23D"/>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 w:type="table" w:styleId="TableGrid">
    <w:name w:val="Table Grid"/>
    <w:basedOn w:val="TableNormal"/>
    <w:uiPriority w:val="59"/>
    <w:rsid w:val="00106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697C"/>
    <w:rPr>
      <w:sz w:val="16"/>
      <w:szCs w:val="16"/>
    </w:rPr>
  </w:style>
  <w:style w:type="paragraph" w:styleId="CommentText">
    <w:name w:val="annotation text"/>
    <w:basedOn w:val="Normal"/>
    <w:link w:val="CommentTextChar"/>
    <w:uiPriority w:val="99"/>
    <w:semiHidden/>
    <w:unhideWhenUsed/>
    <w:rsid w:val="009E697C"/>
    <w:pPr>
      <w:spacing w:line="240" w:lineRule="auto"/>
    </w:pPr>
    <w:rPr>
      <w:sz w:val="20"/>
      <w:szCs w:val="20"/>
    </w:rPr>
  </w:style>
  <w:style w:type="character" w:customStyle="1" w:styleId="CommentTextChar">
    <w:name w:val="Comment Text Char"/>
    <w:basedOn w:val="DefaultParagraphFont"/>
    <w:link w:val="CommentText"/>
    <w:uiPriority w:val="99"/>
    <w:semiHidden/>
    <w:rsid w:val="009E697C"/>
    <w:rPr>
      <w:sz w:val="20"/>
      <w:szCs w:val="20"/>
    </w:rPr>
  </w:style>
  <w:style w:type="paragraph" w:styleId="CommentSubject">
    <w:name w:val="annotation subject"/>
    <w:basedOn w:val="CommentText"/>
    <w:next w:val="CommentText"/>
    <w:link w:val="CommentSubjectChar"/>
    <w:uiPriority w:val="99"/>
    <w:semiHidden/>
    <w:unhideWhenUsed/>
    <w:rsid w:val="009E697C"/>
    <w:rPr>
      <w:b/>
      <w:bCs/>
    </w:rPr>
  </w:style>
  <w:style w:type="character" w:customStyle="1" w:styleId="CommentSubjectChar">
    <w:name w:val="Comment Subject Char"/>
    <w:basedOn w:val="CommentTextChar"/>
    <w:link w:val="CommentSubject"/>
    <w:uiPriority w:val="99"/>
    <w:semiHidden/>
    <w:rsid w:val="009E697C"/>
    <w:rPr>
      <w:b/>
      <w:bCs/>
      <w:sz w:val="20"/>
      <w:szCs w:val="20"/>
    </w:rPr>
  </w:style>
  <w:style w:type="paragraph" w:styleId="BalloonText">
    <w:name w:val="Balloon Text"/>
    <w:basedOn w:val="Normal"/>
    <w:link w:val="BalloonTextChar"/>
    <w:uiPriority w:val="99"/>
    <w:semiHidden/>
    <w:unhideWhenUsed/>
    <w:rsid w:val="009E69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69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FD0856-98AF-45C8-8F0D-C50DDB2E3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2617</TotalTime>
  <Pages>53</Pages>
  <Words>13730</Words>
  <Characters>78262</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91809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561</cp:revision>
  <dcterms:created xsi:type="dcterms:W3CDTF">2019-10-12T19:56:00Z</dcterms:created>
  <dcterms:modified xsi:type="dcterms:W3CDTF">2020-05-07T19:41:00Z</dcterms:modified>
</cp:coreProperties>
</file>