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w:t>
      </w:r>
      <w:r w:rsidR="0028566E">
        <w:rPr>
          <w:rFonts w:ascii="Times New Roman" w:eastAsia="Calibri" w:hAnsi="Times New Roman" w:cs="Times New Roman"/>
          <w:iCs/>
          <w:sz w:val="24"/>
          <w:szCs w:val="24"/>
        </w:rPr>
        <w:t>identified</w:t>
      </w:r>
      <w:r w:rsidR="007E02BC">
        <w:rPr>
          <w:rFonts w:ascii="Times New Roman" w:eastAsia="Calibri" w:hAnsi="Times New Roman" w:cs="Times New Roman"/>
          <w:iCs/>
          <w:sz w:val="24"/>
          <w:szCs w:val="24"/>
        </w:rPr>
        <w:t xml:space="preserve"> </w:t>
      </w:r>
      <w:r w:rsidR="0028566E">
        <w:rPr>
          <w:rFonts w:ascii="Times New Roman" w:eastAsia="Calibri" w:hAnsi="Times New Roman" w:cs="Times New Roman"/>
          <w:iCs/>
          <w:sz w:val="24"/>
          <w:szCs w:val="24"/>
        </w:rPr>
        <w:t>t</w:t>
      </w:r>
      <w:r w:rsidR="007E02BC">
        <w:rPr>
          <w:rFonts w:ascii="Times New Roman" w:eastAsia="Calibri" w:hAnsi="Times New Roman" w:cs="Times New Roman"/>
          <w:iCs/>
          <w:sz w:val="24"/>
          <w:szCs w:val="24"/>
        </w:rPr>
        <w:t xml:space="preserve">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End w:id="15"/>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6" w:name="PaperKundu2015"/>
      <w:bookmarkEnd w:id="16"/>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 xml:space="preserve">The authors argue that most studies of technology transfer have focused on extrinsic factors and that intrinsic factors have been inadequately investigated.  They offer the inability of private sector organizations to ever satisfy all their technology needs through internal activity as the primary explanation for why private sector organizations engage in technology transfer.  They define technology transfer as “the process by which technology, knowledge, and information developed in one organization for one purpose is applied and utilized by another area in another 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lastRenderedPageBreak/>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 xml:space="preserve">They then identified potential intrinsic barriers that have been overlooked in the literature.  The authors argue that the extrinsic barriers are essentially symptoms of intrinsic barriers.  </w:t>
      </w:r>
      <w:r w:rsidR="009033D1">
        <w:rPr>
          <w:rFonts w:ascii="Times New Roman" w:eastAsia="Calibri" w:hAnsi="Times New Roman" w:cs="Times New Roman"/>
          <w:sz w:val="24"/>
          <w:szCs w:val="24"/>
        </w:rPr>
        <w:t>In many cases, w</w:t>
      </w:r>
      <w:r w:rsidR="00075426">
        <w:rPr>
          <w:rFonts w:ascii="Times New Roman" w:eastAsia="Calibri" w:hAnsi="Times New Roman" w:cs="Times New Roman"/>
          <w:sz w:val="24"/>
          <w:szCs w:val="24"/>
        </w:rPr>
        <w:t xml:space="preserve">hat they describe as intrinsic are </w:t>
      </w:r>
      <w:r w:rsidR="009033D1">
        <w:rPr>
          <w:rFonts w:ascii="Times New Roman" w:eastAsia="Calibri" w:hAnsi="Times New Roman" w:cs="Times New Roman"/>
          <w:sz w:val="24"/>
          <w:szCs w:val="24"/>
        </w:rPr>
        <w:t xml:space="preserve">so only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p>
    <w:p w:rsidR="00E05114" w:rsidRDefault="00E05114" w:rsidP="00E05114">
      <w:pPr>
        <w:spacing w:line="480" w:lineRule="auto"/>
        <w:ind w:left="720" w:hanging="720"/>
        <w:rPr>
          <w:rFonts w:ascii="Times New Roman" w:eastAsia="Calibri" w:hAnsi="Times New Roman" w:cs="Times New Roman"/>
          <w:sz w:val="24"/>
          <w:szCs w:val="24"/>
        </w:rPr>
      </w:pPr>
      <w:bookmarkStart w:id="17" w:name="PaperKuo2016"/>
      <w:bookmarkEnd w:id="17"/>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The authors defined international technology transfer as “the process of transferring new technology from a firm in one country to a firm in another country.  They</w:t>
      </w:r>
      <w:r>
        <w:rPr>
          <w:rFonts w:ascii="Times New Roman" w:eastAsia="Calibri" w:hAnsi="Times New Roman" w:cs="Times New Roman"/>
          <w:sz w:val="24"/>
          <w:szCs w:val="24"/>
        </w:rPr>
        <w:t xml:space="preserve"> used a model of two domestic firms that produced products differentiated on quality that licensed cost-</w:t>
      </w:r>
      <w:r>
        <w:rPr>
          <w:rFonts w:ascii="Times New Roman" w:eastAsia="Calibri" w:hAnsi="Times New Roman" w:cs="Times New Roman"/>
          <w:sz w:val="24"/>
          <w:szCs w:val="24"/>
        </w:rPr>
        <w:lastRenderedPageBreak/>
        <w:t xml:space="preserve">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B87089">
        <w:rPr>
          <w:rFonts w:ascii="Times New Roman" w:eastAsia="Calibri" w:hAnsi="Times New Roman" w:cs="Times New Roman"/>
          <w:sz w:val="24"/>
          <w:szCs w:val="24"/>
        </w:rPr>
        <w:t>foreign licensor under a fixed 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 xml:space="preserve">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This paper is only tangentially relevant to the planned study.  </w:t>
      </w:r>
      <w:r w:rsidR="009267A4">
        <w:rPr>
          <w:rFonts w:ascii="Times New Roman" w:eastAsia="Calibri" w:hAnsi="Times New Roman" w:cs="Times New Roman"/>
          <w:sz w:val="24"/>
          <w:szCs w:val="24"/>
        </w:rPr>
        <w:t xml:space="preserve">The definition of international technology transfer is informative to the planned study of the role of development stage in university technology transfer.  However, the study </w:t>
      </w:r>
      <w:r w:rsidR="00262055">
        <w:rPr>
          <w:rFonts w:ascii="Times New Roman" w:eastAsia="Calibri" w:hAnsi="Times New Roman" w:cs="Times New Roman"/>
          <w:sz w:val="24"/>
          <w:szCs w:val="24"/>
        </w:rPr>
        <w:t xml:space="preserve">examines technology transfer primarily from the supply side. </w:t>
      </w:r>
      <w:r w:rsidR="009267A4">
        <w:rPr>
          <w:rFonts w:ascii="Times New Roman" w:eastAsia="Calibri" w:hAnsi="Times New Roman" w:cs="Times New Roman"/>
          <w:sz w:val="24"/>
          <w:szCs w:val="24"/>
        </w:rPr>
        <w:t xml:space="preserve"> The assumptions of the model are overly restrictive also.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262055">
        <w:rPr>
          <w:rFonts w:ascii="Times New Roman" w:eastAsia="Calibri" w:hAnsi="Times New Roman" w:cs="Times New Roman"/>
          <w:sz w:val="24"/>
          <w:szCs w:val="24"/>
        </w:rPr>
        <w:t xml:space="preserve"> they take social welfare into consideration when making </w:t>
      </w:r>
      <w:r w:rsidR="009267A4">
        <w:rPr>
          <w:rFonts w:ascii="Times New Roman" w:eastAsia="Calibri" w:hAnsi="Times New Roman" w:cs="Times New Roman"/>
          <w:sz w:val="24"/>
          <w:szCs w:val="24"/>
        </w:rPr>
        <w:t>technology transfer</w:t>
      </w:r>
      <w:r w:rsidR="00262055">
        <w:rPr>
          <w:rFonts w:ascii="Times New Roman" w:eastAsia="Calibri" w:hAnsi="Times New Roman" w:cs="Times New Roman"/>
          <w:sz w:val="24"/>
          <w:szCs w:val="24"/>
        </w:rPr>
        <w:t xml:space="preserve"> decisions.  </w:t>
      </w:r>
      <w:r w:rsidR="002A1326">
        <w:rPr>
          <w:rFonts w:ascii="Times New Roman" w:eastAsia="Calibri" w:hAnsi="Times New Roman" w:cs="Times New Roman"/>
          <w:sz w:val="24"/>
          <w:szCs w:val="24"/>
        </w:rPr>
        <w:t>As such, social welfare is extraneous to the planned study.</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w:t>
      </w:r>
      <w:r>
        <w:rPr>
          <w:rFonts w:ascii="Times New Roman" w:eastAsia="Calibri" w:hAnsi="Times New Roman" w:cs="Times New Roman"/>
          <w:sz w:val="24"/>
          <w:szCs w:val="24"/>
        </w:rPr>
        <w:lastRenderedPageBreak/>
        <w:t xml:space="preserve">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8" w:name="BookLee1997"/>
      <w:bookmarkEnd w:id="18"/>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lastRenderedPageBreak/>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2146A5" w:rsidRDefault="002146A5" w:rsidP="00E562EE">
      <w:pPr>
        <w:spacing w:line="480" w:lineRule="auto"/>
        <w:ind w:left="720" w:hanging="720"/>
        <w:rPr>
          <w:rFonts w:ascii="Times New Roman" w:eastAsia="Calibri" w:hAnsi="Times New Roman" w:cs="Times New Roman"/>
          <w:sz w:val="24"/>
          <w:szCs w:val="24"/>
        </w:rPr>
      </w:pPr>
      <w:bookmarkStart w:id="19" w:name="BookLink2015"/>
      <w:bookmarkEnd w:id="19"/>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described the economic benefits that accrue to private sector firms when they engage in technology transfer with federal laboratories.  The authors provide a general overview of relevant public policy measures that were implemented since 1945 to encourage technology transfer.  They use microeconomic analysis to argue that there is an increase in social welfare if federal laboratories can provide technology more efficiently than private sector firms can create for themselves.  The increase in social welfare results from increased profits for the private sector firms and lower prices for consumers.  The authors propose </w:t>
      </w:r>
      <w:r w:rsidR="000D6109">
        <w:rPr>
          <w:rFonts w:ascii="Times New Roman" w:eastAsia="Calibri" w:hAnsi="Times New Roman" w:cs="Times New Roman"/>
          <w:sz w:val="24"/>
          <w:szCs w:val="24"/>
        </w:rPr>
        <w:t xml:space="preserve">that the history and application of public sector initiatives and examinations of the social benefits that can be attributed to technology transfer as areas for future research.  Their analysis seems flawed because it assumes that technologies transferred from federal laboratories to the private sector are cost-reducing, which may not be the case.  Moreover, it assumes that private sector firms will pass along cost savings they derive from adopting </w:t>
      </w:r>
      <w:r w:rsidR="000D6109">
        <w:rPr>
          <w:rFonts w:ascii="Times New Roman" w:eastAsia="Calibri" w:hAnsi="Times New Roman" w:cs="Times New Roman"/>
          <w:sz w:val="24"/>
          <w:szCs w:val="24"/>
        </w:rPr>
        <w:lastRenderedPageBreak/>
        <w:t>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r w:rsidR="000D6109" w:rsidRPr="000D6109">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 xml:space="preserve">  However, social welfare is extraneous to the planned study of the role of development stage in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w:t>
      </w:r>
      <w:r w:rsidR="00385698">
        <w:rPr>
          <w:rFonts w:ascii="Times New Roman" w:eastAsia="Calibri" w:hAnsi="Times New Roman" w:cs="Times New Roman"/>
          <w:sz w:val="24"/>
          <w:szCs w:val="24"/>
        </w:rPr>
        <w:lastRenderedPageBreak/>
        <w:t>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0" w:name="PaperMarkman2009"/>
      <w:bookmarkEnd w:id="20"/>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w:t>
      </w:r>
      <w:r w:rsidR="00C13F34">
        <w:rPr>
          <w:rFonts w:ascii="Times New Roman" w:eastAsia="Calibri" w:hAnsi="Times New Roman" w:cs="Times New Roman"/>
          <w:sz w:val="24"/>
          <w:szCs w:val="24"/>
        </w:rPr>
        <w:lastRenderedPageBreak/>
        <w:t xml:space="preserve">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BF0020" w:rsidRDefault="00BF0020" w:rsidP="00E562EE">
      <w:pPr>
        <w:spacing w:line="480" w:lineRule="auto"/>
        <w:ind w:left="720" w:hanging="720"/>
        <w:rPr>
          <w:rFonts w:ascii="Times New Roman" w:eastAsia="Calibri" w:hAnsi="Times New Roman" w:cs="Times New Roman"/>
          <w:sz w:val="24"/>
          <w:szCs w:val="24"/>
        </w:rPr>
      </w:pPr>
      <w:bookmarkStart w:id="21" w:name="PaperMuller2011"/>
      <w:bookmarkStart w:id="22" w:name="PaperMitcham2009"/>
      <w:bookmarkEnd w:id="21"/>
      <w:bookmarkEnd w:id="22"/>
      <w:r w:rsidRPr="00BF0020">
        <w:rPr>
          <w:rFonts w:ascii="Times New Roman" w:eastAsia="Calibri" w:hAnsi="Times New Roman" w:cs="Times New Roman"/>
          <w:sz w:val="24"/>
          <w:szCs w:val="24"/>
        </w:rPr>
        <w:t xml:space="preserve">Mitcham, C., &amp; </w:t>
      </w:r>
      <w:proofErr w:type="spellStart"/>
      <w:r w:rsidRPr="00BF0020">
        <w:rPr>
          <w:rFonts w:ascii="Times New Roman" w:eastAsia="Calibri" w:hAnsi="Times New Roman" w:cs="Times New Roman"/>
          <w:sz w:val="24"/>
          <w:szCs w:val="24"/>
        </w:rPr>
        <w:t>Schatzberg</w:t>
      </w:r>
      <w:proofErr w:type="spellEnd"/>
      <w:r w:rsidRPr="00BF0020">
        <w:rPr>
          <w:rFonts w:ascii="Times New Roman" w:eastAsia="Calibri" w:hAnsi="Times New Roman" w:cs="Times New Roman"/>
          <w:sz w:val="24"/>
          <w:szCs w:val="24"/>
        </w:rPr>
        <w:t xml:space="preserve">, E. (2009). Defining technology and the engineering sciences. In A. W. </w:t>
      </w:r>
      <w:proofErr w:type="spellStart"/>
      <w:r w:rsidRPr="00BF0020">
        <w:rPr>
          <w:rFonts w:ascii="Times New Roman" w:eastAsia="Calibri" w:hAnsi="Times New Roman" w:cs="Times New Roman"/>
          <w:sz w:val="24"/>
          <w:szCs w:val="24"/>
        </w:rPr>
        <w:t>Meijers</w:t>
      </w:r>
      <w:proofErr w:type="spellEnd"/>
      <w:r w:rsidRPr="00BF0020">
        <w:rPr>
          <w:rFonts w:ascii="Times New Roman" w:eastAsia="Calibri" w:hAnsi="Times New Roman" w:cs="Times New Roman"/>
          <w:sz w:val="24"/>
          <w:szCs w:val="24"/>
        </w:rPr>
        <w:t xml:space="preserve"> (Ed.), </w:t>
      </w:r>
      <w:r w:rsidRPr="00BF0020">
        <w:rPr>
          <w:rFonts w:ascii="Times New Roman" w:eastAsia="Calibri" w:hAnsi="Times New Roman" w:cs="Times New Roman"/>
          <w:i/>
          <w:iCs/>
          <w:sz w:val="24"/>
          <w:szCs w:val="24"/>
        </w:rPr>
        <w:t>Philosophy of technology and engineering sciences</w:t>
      </w:r>
      <w:r w:rsidRPr="00BF0020">
        <w:rPr>
          <w:rFonts w:ascii="Times New Roman" w:eastAsia="Calibri" w:hAnsi="Times New Roman" w:cs="Times New Roman"/>
          <w:sz w:val="24"/>
          <w:szCs w:val="24"/>
        </w:rPr>
        <w:t xml:space="preserve"> (Vol. 9, pp. 27-63). Burlington, MA: Elsevier.</w:t>
      </w:r>
    </w:p>
    <w:p w:rsidR="00BF0020" w:rsidRDefault="005120C0" w:rsidP="00BF002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definition of technology in the context of the philosophy of technology.  The authors note that reaching agreement on the definition of the subject of investigation is often a central point of debate in various disciplines.  This is true of </w:t>
      </w:r>
      <w:r>
        <w:rPr>
          <w:rFonts w:ascii="Times New Roman" w:eastAsia="Calibri" w:hAnsi="Times New Roman" w:cs="Times New Roman"/>
          <w:sz w:val="24"/>
          <w:szCs w:val="24"/>
        </w:rPr>
        <w:lastRenderedPageBreak/>
        <w:t xml:space="preserve">the philosophy of technology.  The authors identified five approaches to definition.  These approaches are etymological, conditional, </w:t>
      </w:r>
      <w:r w:rsidR="00B645DF">
        <w:rPr>
          <w:rFonts w:ascii="Times New Roman" w:eastAsia="Calibri" w:hAnsi="Times New Roman" w:cs="Times New Roman"/>
          <w:sz w:val="24"/>
          <w:szCs w:val="24"/>
        </w:rPr>
        <w:t xml:space="preserve">prescriptive, linguistic, and pragmatic.  The authors reviewed the discourse on technology to identify the various definitional strategies employed in science and engineering, the humanities, and the social sciences.   </w:t>
      </w:r>
      <w:r w:rsidR="00B925D6">
        <w:rPr>
          <w:rFonts w:ascii="Times New Roman" w:eastAsia="Calibri" w:hAnsi="Times New Roman" w:cs="Times New Roman"/>
          <w:sz w:val="24"/>
          <w:szCs w:val="24"/>
        </w:rPr>
        <w:t xml:space="preserve">They found that there were two distinct terms in European languages both of which were translated as </w:t>
      </w:r>
      <w:r w:rsidR="00B925D6" w:rsidRPr="00B925D6">
        <w:rPr>
          <w:rFonts w:ascii="Times New Roman" w:eastAsia="Calibri" w:hAnsi="Times New Roman" w:cs="Times New Roman"/>
          <w:i/>
          <w:sz w:val="24"/>
          <w:szCs w:val="24"/>
        </w:rPr>
        <w:t>technology</w:t>
      </w:r>
      <w:r w:rsidR="00B925D6">
        <w:rPr>
          <w:rFonts w:ascii="Times New Roman" w:eastAsia="Calibri" w:hAnsi="Times New Roman" w:cs="Times New Roman"/>
          <w:sz w:val="24"/>
          <w:szCs w:val="24"/>
        </w:rPr>
        <w:t xml:space="preserve"> in English.  </w:t>
      </w:r>
      <w:r w:rsidR="001B082B">
        <w:rPr>
          <w:rFonts w:ascii="Times New Roman" w:eastAsia="Calibri" w:hAnsi="Times New Roman" w:cs="Times New Roman"/>
          <w:sz w:val="24"/>
          <w:szCs w:val="24"/>
        </w:rPr>
        <w:t>One of the European terms referred to the discussion about practical, material arts.  The other referred to the actual processes and methods of the practical, material arts.</w:t>
      </w:r>
      <w:r w:rsidR="001B082B" w:rsidRPr="001B082B">
        <w:rPr>
          <w:rFonts w:ascii="Times New Roman" w:eastAsia="Calibri" w:hAnsi="Times New Roman" w:cs="Times New Roman"/>
          <w:sz w:val="24"/>
          <w:szCs w:val="24"/>
        </w:rPr>
        <w:t xml:space="preserve"> </w:t>
      </w:r>
      <w:r w:rsidR="001B082B">
        <w:rPr>
          <w:rFonts w:ascii="Times New Roman" w:eastAsia="Calibri" w:hAnsi="Times New Roman" w:cs="Times New Roman"/>
          <w:sz w:val="24"/>
          <w:szCs w:val="24"/>
        </w:rPr>
        <w:t xml:space="preserve"> </w:t>
      </w:r>
      <w:r w:rsidR="001B082B">
        <w:rPr>
          <w:rFonts w:ascii="Times New Roman" w:eastAsia="Calibri" w:hAnsi="Times New Roman" w:cs="Times New Roman"/>
          <w:sz w:val="24"/>
          <w:szCs w:val="24"/>
        </w:rPr>
        <w:t>This</w:t>
      </w:r>
      <w:r w:rsidR="001B082B">
        <w:rPr>
          <w:rFonts w:ascii="Times New Roman" w:eastAsia="Calibri" w:hAnsi="Times New Roman" w:cs="Times New Roman"/>
          <w:sz w:val="24"/>
          <w:szCs w:val="24"/>
        </w:rPr>
        <w:t xml:space="preserve"> inadequate translation</w:t>
      </w:r>
      <w:r w:rsidR="001B082B">
        <w:rPr>
          <w:rFonts w:ascii="Times New Roman" w:eastAsia="Calibri" w:hAnsi="Times New Roman" w:cs="Times New Roman"/>
          <w:sz w:val="24"/>
          <w:szCs w:val="24"/>
        </w:rPr>
        <w:t xml:space="preserve"> was a root cause of the difficulty in defining technology.</w:t>
      </w:r>
      <w:r w:rsidR="001B082B">
        <w:rPr>
          <w:rFonts w:ascii="Times New Roman" w:eastAsia="Calibri" w:hAnsi="Times New Roman" w:cs="Times New Roman"/>
          <w:sz w:val="24"/>
          <w:szCs w:val="24"/>
        </w:rPr>
        <w:t xml:space="preserve"> </w:t>
      </w:r>
      <w:r w:rsidR="00686DFD">
        <w:rPr>
          <w:rFonts w:ascii="Times New Roman" w:eastAsia="Calibri" w:hAnsi="Times New Roman" w:cs="Times New Roman"/>
          <w:sz w:val="24"/>
          <w:szCs w:val="24"/>
        </w:rPr>
        <w:t xml:space="preserve"> </w:t>
      </w:r>
      <w:r w:rsidR="00437A14">
        <w:rPr>
          <w:rFonts w:ascii="Times New Roman" w:eastAsia="Calibri" w:hAnsi="Times New Roman" w:cs="Times New Roman"/>
          <w:sz w:val="24"/>
          <w:szCs w:val="24"/>
        </w:rPr>
        <w:t xml:space="preserve">It has resulted in three distinct and somewhat incompatible modern definitions of technology in English speaking cultures.  The first definition is applied science, which is used in science and engineering.  The second is knowledge about the practical arts and the material artifacts produced by such methods, which is used in the humanities.  </w:t>
      </w:r>
      <w:r w:rsidR="0085228B">
        <w:rPr>
          <w:rFonts w:ascii="Times New Roman" w:eastAsia="Calibri" w:hAnsi="Times New Roman" w:cs="Times New Roman"/>
          <w:sz w:val="24"/>
          <w:szCs w:val="24"/>
        </w:rPr>
        <w:t>The third definition is means used to achieve ends</w:t>
      </w:r>
      <w:r w:rsidR="00437A14">
        <w:rPr>
          <w:rFonts w:ascii="Times New Roman" w:eastAsia="Calibri" w:hAnsi="Times New Roman" w:cs="Times New Roman"/>
          <w:sz w:val="24"/>
          <w:szCs w:val="24"/>
        </w:rPr>
        <w:t xml:space="preserve">, which is used primarily in the social sciences.  </w:t>
      </w:r>
      <w:r w:rsidR="00686DFD">
        <w:rPr>
          <w:rFonts w:ascii="Times New Roman" w:eastAsia="Calibri" w:hAnsi="Times New Roman" w:cs="Times New Roman"/>
          <w:sz w:val="24"/>
          <w:szCs w:val="24"/>
        </w:rPr>
        <w:t>The authors argue that the definition of technology should be contextual reflecting common language usage and natural phenomena.</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w:t>
      </w:r>
      <w:r>
        <w:rPr>
          <w:rFonts w:ascii="Times New Roman" w:eastAsia="Calibri" w:hAnsi="Times New Roman" w:cs="Times New Roman"/>
          <w:sz w:val="24"/>
          <w:szCs w:val="24"/>
        </w:rPr>
        <w:lastRenderedPageBreak/>
        <w:t xml:space="preserve">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3" w:name="PaperMunteanu2012"/>
      <w:bookmarkEnd w:id="23"/>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w:t>
      </w:r>
      <w:r w:rsidR="005E1421">
        <w:rPr>
          <w:rFonts w:ascii="Times New Roman" w:eastAsia="Calibri" w:hAnsi="Times New Roman" w:cs="Times New Roman"/>
          <w:sz w:val="24"/>
          <w:szCs w:val="24"/>
        </w:rPr>
        <w:lastRenderedPageBreak/>
        <w:t xml:space="preserve">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7034E8" w:rsidRDefault="007034E8" w:rsidP="00E562EE">
      <w:pPr>
        <w:spacing w:line="480" w:lineRule="auto"/>
        <w:ind w:left="720" w:hanging="720"/>
        <w:rPr>
          <w:rFonts w:ascii="Times New Roman" w:eastAsia="Calibri" w:hAnsi="Times New Roman" w:cs="Times New Roman"/>
          <w:sz w:val="24"/>
          <w:szCs w:val="24"/>
        </w:rPr>
      </w:pPr>
      <w:bookmarkStart w:id="24" w:name="BookSchatzberg2018"/>
      <w:bookmarkStart w:id="25" w:name="PaperRowley2007"/>
      <w:bookmarkEnd w:id="24"/>
      <w:bookmarkEnd w:id="25"/>
      <w:r w:rsidRPr="007034E8">
        <w:rPr>
          <w:rFonts w:ascii="Times New Roman" w:eastAsia="Calibri" w:hAnsi="Times New Roman" w:cs="Times New Roman"/>
          <w:sz w:val="24"/>
          <w:szCs w:val="24"/>
        </w:rPr>
        <w:t xml:space="preserve">Rowley, J. (2007). The wisdom hierarchy: representations of the DIKW hierarchy. </w:t>
      </w:r>
      <w:r w:rsidRPr="007034E8">
        <w:rPr>
          <w:rFonts w:ascii="Times New Roman" w:eastAsia="Calibri" w:hAnsi="Times New Roman" w:cs="Times New Roman"/>
          <w:i/>
          <w:iCs/>
          <w:sz w:val="24"/>
          <w:szCs w:val="24"/>
        </w:rPr>
        <w:t>Journal of information science, 33</w:t>
      </w:r>
      <w:r w:rsidRPr="007034E8">
        <w:rPr>
          <w:rFonts w:ascii="Times New Roman" w:eastAsia="Calibri" w:hAnsi="Times New Roman" w:cs="Times New Roman"/>
          <w:sz w:val="24"/>
          <w:szCs w:val="24"/>
        </w:rPr>
        <w:t xml:space="preserve">(2), 163-180. </w:t>
      </w:r>
      <w:proofErr w:type="spellStart"/>
      <w:proofErr w:type="gramStart"/>
      <w:r w:rsidRPr="007034E8">
        <w:rPr>
          <w:rFonts w:ascii="Times New Roman" w:eastAsia="Calibri" w:hAnsi="Times New Roman" w:cs="Times New Roman"/>
          <w:sz w:val="24"/>
          <w:szCs w:val="24"/>
        </w:rPr>
        <w:t>doi:https</w:t>
      </w:r>
      <w:proofErr w:type="spellEnd"/>
      <w:r w:rsidRPr="007034E8">
        <w:rPr>
          <w:rFonts w:ascii="Times New Roman" w:eastAsia="Calibri" w:hAnsi="Times New Roman" w:cs="Times New Roman"/>
          <w:sz w:val="24"/>
          <w:szCs w:val="24"/>
        </w:rPr>
        <w:t>://doi.org/10.1177%2F0165551506070706</w:t>
      </w:r>
      <w:proofErr w:type="gramEnd"/>
    </w:p>
    <w:p w:rsidR="007034E8" w:rsidRDefault="001C5AB6" w:rsidP="007034E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presented a theoretical examination of the data-information-knowledge-wisdom (DIKW) hierarchy.  The author’s objective was to understand the popular articulations of the hierarchy to which students and professionals are exposed.  Rowley reviewed how the hierarchy was explicitly and implicitly articulated in several recent textbooks for information systems and knowledge management.  </w:t>
      </w:r>
      <w:r w:rsidR="00FE7B83">
        <w:rPr>
          <w:rFonts w:ascii="Times New Roman" w:eastAsia="Calibri" w:hAnsi="Times New Roman" w:cs="Times New Roman"/>
          <w:sz w:val="24"/>
          <w:szCs w:val="24"/>
        </w:rPr>
        <w:t xml:space="preserve">She found that there was general agreement about the elements of the hierarchy, their definitions, and their ordering.  There was more disagreement about the processes that transformed an element to the next higher element in the hierarchy.  Moreover, Rowley observed that wisdom was generally neglected.  Additionally, she concluded </w:t>
      </w:r>
      <w:r w:rsidR="00FE7B83">
        <w:rPr>
          <w:rFonts w:ascii="Times New Roman" w:eastAsia="Calibri" w:hAnsi="Times New Roman" w:cs="Times New Roman"/>
          <w:sz w:val="24"/>
          <w:szCs w:val="24"/>
        </w:rPr>
        <w:lastRenderedPageBreak/>
        <w:t xml:space="preserve">that consideration of meaning and structure was necessary to distinguish between data and information, which influences where information is embodied.  Knowledge cannot be any more or </w:t>
      </w:r>
      <w:r w:rsidR="00530DE9">
        <w:rPr>
          <w:rFonts w:ascii="Times New Roman" w:eastAsia="Calibri" w:hAnsi="Times New Roman" w:cs="Times New Roman"/>
          <w:sz w:val="24"/>
          <w:szCs w:val="24"/>
        </w:rPr>
        <w:t xml:space="preserve">any </w:t>
      </w:r>
      <w:r w:rsidR="00FE7B83">
        <w:rPr>
          <w:rFonts w:ascii="Times New Roman" w:eastAsia="Calibri" w:hAnsi="Times New Roman" w:cs="Times New Roman"/>
          <w:sz w:val="24"/>
          <w:szCs w:val="24"/>
        </w:rPr>
        <w:t xml:space="preserve">less than information because it is dependent on human </w:t>
      </w:r>
      <w:r w:rsidR="00E23D52">
        <w:rPr>
          <w:rFonts w:ascii="Times New Roman" w:eastAsia="Calibri" w:hAnsi="Times New Roman" w:cs="Times New Roman"/>
          <w:sz w:val="24"/>
          <w:szCs w:val="24"/>
        </w:rPr>
        <w:t>mental faculties.  Rowley argued that the definitions of information and knowledge was an area for further research because current popular definitions overlapped.  Moreover, the wisdom element of the hierarchy warranted further research because it is largely ignored in the literature.  This source is relevant to defining technology for the purposes of public policy formulation and the planned study of the role development stage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w:t>
      </w:r>
      <w:r w:rsidR="0007397B">
        <w:rPr>
          <w:rFonts w:ascii="Times New Roman" w:eastAsia="Calibri" w:hAnsi="Times New Roman" w:cs="Times New Roman"/>
          <w:sz w:val="24"/>
          <w:szCs w:val="24"/>
        </w:rPr>
        <w:lastRenderedPageBreak/>
        <w:t xml:space="preserve">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6" w:name="BookStokes1997"/>
      <w:bookmarkEnd w:id="26"/>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w:t>
      </w:r>
      <w:r w:rsidR="008B22E2">
        <w:rPr>
          <w:rFonts w:ascii="Times New Roman" w:hAnsi="Times New Roman" w:cs="Times New Roman"/>
          <w:sz w:val="24"/>
        </w:rPr>
        <w:lastRenderedPageBreak/>
        <w:t xml:space="preserve">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7" w:name="BookStoneman2002"/>
      <w:bookmarkEnd w:id="27"/>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w:t>
      </w:r>
      <w:r w:rsidRPr="00BD333A">
        <w:rPr>
          <w:rFonts w:ascii="Times New Roman" w:hAnsi="Times New Roman" w:cs="Times New Roman"/>
          <w:sz w:val="24"/>
        </w:rPr>
        <w:lastRenderedPageBreak/>
        <w:t xml:space="preserve">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8" w:name="BookWilliams1990"/>
      <w:bookmarkEnd w:id="28"/>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w:t>
      </w:r>
      <w:r>
        <w:rPr>
          <w:rFonts w:ascii="Times New Roman" w:hAnsi="Times New Roman" w:cs="Times New Roman"/>
          <w:sz w:val="24"/>
        </w:rPr>
        <w:lastRenderedPageBreak/>
        <w:t xml:space="preserve">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AA3953">
        <w:rPr>
          <w:rFonts w:ascii="Times New Roman" w:hAnsi="Times New Roman" w:cs="Times New Roman"/>
          <w:sz w:val="24"/>
        </w:rPr>
        <w:t xml:space="preserve">These four dimensions were the technological innovation; the geographical, cultural, and political context; the legal, ethical, and economic aspects; and the social infrastructure.  </w:t>
      </w:r>
      <w:r w:rsidR="00701B5E">
        <w:rPr>
          <w:rFonts w:ascii="Times New Roman" w:hAnsi="Times New Roman" w:cs="Times New Roman"/>
          <w:sz w:val="24"/>
        </w:rPr>
        <w:t xml:space="preserve">The book also includes a bibliography of the literature on technology transfer and technological innovation.  The bibliography included sources that examined technology transfer along four dimensions.  </w:t>
      </w:r>
      <w:r w:rsidR="00AA3953">
        <w:rPr>
          <w:rFonts w:ascii="Times New Roman" w:hAnsi="Times New Roman" w:cs="Times New Roman"/>
          <w:sz w:val="24"/>
        </w:rPr>
        <w:t>This source seems only tangentially related to the planned study of the role of development stage in university technology transfer.  The definition of technology offered is the most useful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bookmarkStart w:id="29" w:name="PaperWu2015"/>
      <w:bookmarkEnd w:id="29"/>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6C2952"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paper examines the association of individual and institutional factors with university technology transfer.  The authors use patents assigned to universities as the </w:t>
      </w:r>
      <w:r>
        <w:rPr>
          <w:rFonts w:ascii="Times New Roman" w:hAnsi="Times New Roman" w:cs="Times New Roman"/>
          <w:sz w:val="24"/>
        </w:rPr>
        <w:lastRenderedPageBreak/>
        <w:t xml:space="preserve">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 to </w:t>
      </w:r>
      <w:r>
        <w:rPr>
          <w:rFonts w:ascii="Times New Roman" w:hAnsi="Times New Roman" w:cs="Times New Roman"/>
          <w:sz w:val="24"/>
        </w:rPr>
        <w:t>analyze a dataset of 675 patents obtained in 2006</w:t>
      </w:r>
      <w:r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technology transfer.  It provides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30" w:name="PaperYork2012"/>
      <w:bookmarkEnd w:id="30"/>
      <w:r w:rsidRPr="00250EF2">
        <w:rPr>
          <w:rFonts w:ascii="Times New Roman" w:hAnsi="Times New Roman" w:cs="Times New Roman"/>
          <w:sz w:val="24"/>
        </w:rPr>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lastRenderedPageBreak/>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xml:space="preserve">.  One represented successful 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 two primary topics for future research.  One is to examine multiple dimensions of institutional culture as potential explanatory factors in university technology transfer.  The other is testing the propositions they offer against a larger set of sample institutions.  This source provides further evidence that technology transfer studies tend to focus on the supply side.  Moreover, </w:t>
      </w:r>
      <w:r w:rsidR="008422AC">
        <w:rPr>
          <w:rFonts w:ascii="Times New Roman" w:hAnsi="Times New Roman" w:cs="Times New Roman"/>
          <w:sz w:val="24"/>
        </w:rPr>
        <w:t>it provides 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bookmarkStart w:id="31" w:name="_GoBack"/>
      <w:bookmarkEnd w:id="31"/>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7034E8">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22CAE">
      <w:rPr>
        <w:rFonts w:ascii="Times New Roman" w:hAnsi="Times New Roman" w:cs="Times New Roman"/>
        <w:noProof/>
        <w:sz w:val="24"/>
      </w:rPr>
      <w:t>34</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146C"/>
    <w:rsid w:val="000403AD"/>
    <w:rsid w:val="0004287B"/>
    <w:rsid w:val="00046A22"/>
    <w:rsid w:val="00056818"/>
    <w:rsid w:val="0006287E"/>
    <w:rsid w:val="00071B58"/>
    <w:rsid w:val="0007397B"/>
    <w:rsid w:val="0007517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5256B"/>
    <w:rsid w:val="0018738A"/>
    <w:rsid w:val="0019799F"/>
    <w:rsid w:val="001B082B"/>
    <w:rsid w:val="001B4DE8"/>
    <w:rsid w:val="001C5AB6"/>
    <w:rsid w:val="001C5E46"/>
    <w:rsid w:val="001C776A"/>
    <w:rsid w:val="001D13FE"/>
    <w:rsid w:val="001E533A"/>
    <w:rsid w:val="001F374B"/>
    <w:rsid w:val="002000D5"/>
    <w:rsid w:val="00203357"/>
    <w:rsid w:val="00204047"/>
    <w:rsid w:val="002146A5"/>
    <w:rsid w:val="002178F1"/>
    <w:rsid w:val="00222CAE"/>
    <w:rsid w:val="0022558E"/>
    <w:rsid w:val="00226213"/>
    <w:rsid w:val="00236C0F"/>
    <w:rsid w:val="00241C37"/>
    <w:rsid w:val="00250EF2"/>
    <w:rsid w:val="00260609"/>
    <w:rsid w:val="00262055"/>
    <w:rsid w:val="00271AED"/>
    <w:rsid w:val="00281783"/>
    <w:rsid w:val="002826B5"/>
    <w:rsid w:val="002829D8"/>
    <w:rsid w:val="0028566E"/>
    <w:rsid w:val="00293FAF"/>
    <w:rsid w:val="002A1326"/>
    <w:rsid w:val="002B7EED"/>
    <w:rsid w:val="002C36C8"/>
    <w:rsid w:val="002C6A1F"/>
    <w:rsid w:val="002D054F"/>
    <w:rsid w:val="002D0FA5"/>
    <w:rsid w:val="002D3C99"/>
    <w:rsid w:val="002F380E"/>
    <w:rsid w:val="002F7143"/>
    <w:rsid w:val="00302659"/>
    <w:rsid w:val="00302A45"/>
    <w:rsid w:val="003139A4"/>
    <w:rsid w:val="00316959"/>
    <w:rsid w:val="00316EC1"/>
    <w:rsid w:val="003346E8"/>
    <w:rsid w:val="00337FCA"/>
    <w:rsid w:val="0035047A"/>
    <w:rsid w:val="00357BE9"/>
    <w:rsid w:val="00381F13"/>
    <w:rsid w:val="00385698"/>
    <w:rsid w:val="0039582C"/>
    <w:rsid w:val="003A0288"/>
    <w:rsid w:val="003A15A0"/>
    <w:rsid w:val="003B71D7"/>
    <w:rsid w:val="003C0698"/>
    <w:rsid w:val="003C1183"/>
    <w:rsid w:val="003D4345"/>
    <w:rsid w:val="003E0D32"/>
    <w:rsid w:val="003E0F60"/>
    <w:rsid w:val="003E1C60"/>
    <w:rsid w:val="003E2A8D"/>
    <w:rsid w:val="003E4215"/>
    <w:rsid w:val="003E7953"/>
    <w:rsid w:val="00410B41"/>
    <w:rsid w:val="004118DE"/>
    <w:rsid w:val="00412855"/>
    <w:rsid w:val="00416543"/>
    <w:rsid w:val="00422D58"/>
    <w:rsid w:val="00437A14"/>
    <w:rsid w:val="00442366"/>
    <w:rsid w:val="00451D13"/>
    <w:rsid w:val="00455781"/>
    <w:rsid w:val="00457144"/>
    <w:rsid w:val="00474A1E"/>
    <w:rsid w:val="0047590A"/>
    <w:rsid w:val="004A5A8A"/>
    <w:rsid w:val="004B39A0"/>
    <w:rsid w:val="004C151D"/>
    <w:rsid w:val="004C29E6"/>
    <w:rsid w:val="004C3538"/>
    <w:rsid w:val="004C5EBC"/>
    <w:rsid w:val="004D3AE3"/>
    <w:rsid w:val="004D695B"/>
    <w:rsid w:val="004E4C01"/>
    <w:rsid w:val="005120C0"/>
    <w:rsid w:val="0051298E"/>
    <w:rsid w:val="00515F50"/>
    <w:rsid w:val="005174C2"/>
    <w:rsid w:val="00530DE9"/>
    <w:rsid w:val="0053653F"/>
    <w:rsid w:val="00536942"/>
    <w:rsid w:val="005414C2"/>
    <w:rsid w:val="00547E68"/>
    <w:rsid w:val="0057729D"/>
    <w:rsid w:val="0058184C"/>
    <w:rsid w:val="005A60DB"/>
    <w:rsid w:val="005C11A2"/>
    <w:rsid w:val="005C4525"/>
    <w:rsid w:val="005D2958"/>
    <w:rsid w:val="005D321D"/>
    <w:rsid w:val="005D7DC0"/>
    <w:rsid w:val="005E1421"/>
    <w:rsid w:val="00602A97"/>
    <w:rsid w:val="00607B20"/>
    <w:rsid w:val="00610543"/>
    <w:rsid w:val="00616A8F"/>
    <w:rsid w:val="00624136"/>
    <w:rsid w:val="00625984"/>
    <w:rsid w:val="006265BA"/>
    <w:rsid w:val="006301EE"/>
    <w:rsid w:val="00632260"/>
    <w:rsid w:val="00634E45"/>
    <w:rsid w:val="00654445"/>
    <w:rsid w:val="00655EB9"/>
    <w:rsid w:val="0066117E"/>
    <w:rsid w:val="00686DFD"/>
    <w:rsid w:val="00697B17"/>
    <w:rsid w:val="006A0894"/>
    <w:rsid w:val="006A6A74"/>
    <w:rsid w:val="006B2963"/>
    <w:rsid w:val="006C1FD4"/>
    <w:rsid w:val="006C2952"/>
    <w:rsid w:val="006E3839"/>
    <w:rsid w:val="00701B5E"/>
    <w:rsid w:val="007034E8"/>
    <w:rsid w:val="00722951"/>
    <w:rsid w:val="00730FC2"/>
    <w:rsid w:val="0073308D"/>
    <w:rsid w:val="0073676E"/>
    <w:rsid w:val="007442FC"/>
    <w:rsid w:val="00751955"/>
    <w:rsid w:val="00766999"/>
    <w:rsid w:val="00772FAD"/>
    <w:rsid w:val="00773D38"/>
    <w:rsid w:val="00785606"/>
    <w:rsid w:val="00787DAF"/>
    <w:rsid w:val="0079105C"/>
    <w:rsid w:val="0079465D"/>
    <w:rsid w:val="007A335F"/>
    <w:rsid w:val="007C3E02"/>
    <w:rsid w:val="007C4443"/>
    <w:rsid w:val="007E02BC"/>
    <w:rsid w:val="007E198F"/>
    <w:rsid w:val="0080267C"/>
    <w:rsid w:val="0080605C"/>
    <w:rsid w:val="0082696D"/>
    <w:rsid w:val="00835E0C"/>
    <w:rsid w:val="008422AC"/>
    <w:rsid w:val="00843774"/>
    <w:rsid w:val="0085228B"/>
    <w:rsid w:val="00853665"/>
    <w:rsid w:val="00875567"/>
    <w:rsid w:val="008A76AB"/>
    <w:rsid w:val="008B22E2"/>
    <w:rsid w:val="008B6884"/>
    <w:rsid w:val="008C1ECC"/>
    <w:rsid w:val="008D18BD"/>
    <w:rsid w:val="008E6589"/>
    <w:rsid w:val="008F02E9"/>
    <w:rsid w:val="008F1202"/>
    <w:rsid w:val="008F4FA0"/>
    <w:rsid w:val="009033D1"/>
    <w:rsid w:val="00907138"/>
    <w:rsid w:val="00917A0F"/>
    <w:rsid w:val="009267A4"/>
    <w:rsid w:val="009270D1"/>
    <w:rsid w:val="009346C6"/>
    <w:rsid w:val="00951F8F"/>
    <w:rsid w:val="00952A41"/>
    <w:rsid w:val="00963242"/>
    <w:rsid w:val="00963DCF"/>
    <w:rsid w:val="009650EB"/>
    <w:rsid w:val="009940FC"/>
    <w:rsid w:val="009969BA"/>
    <w:rsid w:val="009A3595"/>
    <w:rsid w:val="009B47E1"/>
    <w:rsid w:val="009C7AA7"/>
    <w:rsid w:val="009E210F"/>
    <w:rsid w:val="009F0BE3"/>
    <w:rsid w:val="009F0EEA"/>
    <w:rsid w:val="009F4EE2"/>
    <w:rsid w:val="00A04AE9"/>
    <w:rsid w:val="00A14719"/>
    <w:rsid w:val="00A25E94"/>
    <w:rsid w:val="00A26645"/>
    <w:rsid w:val="00A45902"/>
    <w:rsid w:val="00A566D5"/>
    <w:rsid w:val="00A60EC9"/>
    <w:rsid w:val="00A72A8D"/>
    <w:rsid w:val="00A8491E"/>
    <w:rsid w:val="00A96FA1"/>
    <w:rsid w:val="00AA3953"/>
    <w:rsid w:val="00AA6FA6"/>
    <w:rsid w:val="00AB1E0A"/>
    <w:rsid w:val="00AB2B6B"/>
    <w:rsid w:val="00AC28FE"/>
    <w:rsid w:val="00AC5B9D"/>
    <w:rsid w:val="00AC7A47"/>
    <w:rsid w:val="00AD7C32"/>
    <w:rsid w:val="00AE6369"/>
    <w:rsid w:val="00AF5162"/>
    <w:rsid w:val="00B0389B"/>
    <w:rsid w:val="00B041E1"/>
    <w:rsid w:val="00B16D23"/>
    <w:rsid w:val="00B42759"/>
    <w:rsid w:val="00B63D76"/>
    <w:rsid w:val="00B645DF"/>
    <w:rsid w:val="00B72B93"/>
    <w:rsid w:val="00B87089"/>
    <w:rsid w:val="00B925D6"/>
    <w:rsid w:val="00B92B1B"/>
    <w:rsid w:val="00BA7A13"/>
    <w:rsid w:val="00BC2CFF"/>
    <w:rsid w:val="00BC328F"/>
    <w:rsid w:val="00BC7652"/>
    <w:rsid w:val="00BD333A"/>
    <w:rsid w:val="00BE6449"/>
    <w:rsid w:val="00BE76FC"/>
    <w:rsid w:val="00BE7FAB"/>
    <w:rsid w:val="00BF0020"/>
    <w:rsid w:val="00BF6564"/>
    <w:rsid w:val="00C018D7"/>
    <w:rsid w:val="00C03A7E"/>
    <w:rsid w:val="00C07292"/>
    <w:rsid w:val="00C10C2B"/>
    <w:rsid w:val="00C10F24"/>
    <w:rsid w:val="00C13F34"/>
    <w:rsid w:val="00C17B99"/>
    <w:rsid w:val="00C2453F"/>
    <w:rsid w:val="00C25E4B"/>
    <w:rsid w:val="00C261D5"/>
    <w:rsid w:val="00C44FC0"/>
    <w:rsid w:val="00C45881"/>
    <w:rsid w:val="00C508DB"/>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B0903"/>
    <w:rsid w:val="00DD3FC6"/>
    <w:rsid w:val="00DD47E2"/>
    <w:rsid w:val="00DD4B42"/>
    <w:rsid w:val="00DF0A80"/>
    <w:rsid w:val="00E05114"/>
    <w:rsid w:val="00E1002E"/>
    <w:rsid w:val="00E14C00"/>
    <w:rsid w:val="00E172DF"/>
    <w:rsid w:val="00E21962"/>
    <w:rsid w:val="00E23D52"/>
    <w:rsid w:val="00E255D9"/>
    <w:rsid w:val="00E2708F"/>
    <w:rsid w:val="00E272BF"/>
    <w:rsid w:val="00E41E70"/>
    <w:rsid w:val="00E53807"/>
    <w:rsid w:val="00E562EE"/>
    <w:rsid w:val="00E863C0"/>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2D04"/>
    <w:rsid w:val="00F73069"/>
    <w:rsid w:val="00F82AD9"/>
    <w:rsid w:val="00F9361A"/>
    <w:rsid w:val="00F95217"/>
    <w:rsid w:val="00FB0DC9"/>
    <w:rsid w:val="00FC18B7"/>
    <w:rsid w:val="00FE0E13"/>
    <w:rsid w:val="00FE7B8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A4680"/>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6FD6B5-3D78-4998-A88F-1A87CF6292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1498</TotalTime>
  <Pages>34</Pages>
  <Words>8955</Words>
  <Characters>51048</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260</cp:revision>
  <dcterms:created xsi:type="dcterms:W3CDTF">2020-01-18T20:23:00Z</dcterms:created>
  <dcterms:modified xsi:type="dcterms:W3CDTF">2020-02-29T16:49:00Z</dcterms:modified>
</cp:coreProperties>
</file>