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government report explores the factors that drive the allocation of resources to early-stage technology development (ESTD) by private sector organizations.  The authors define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31 company chief executive officers, senior executives, and technology managers across eight (8) industries and </w:t>
      </w:r>
      <w:r w:rsidR="00D4602E">
        <w:rPr>
          <w:rFonts w:ascii="Times New Roman" w:eastAsia="Calibri" w:hAnsi="Times New Roman" w:cs="Times New Roman"/>
          <w:iCs/>
          <w:sz w:val="24"/>
          <w:szCs w:val="24"/>
        </w:rPr>
        <w:t xml:space="preserve">eight (8) </w:t>
      </w:r>
      <w:r>
        <w:rPr>
          <w:rFonts w:ascii="Times New Roman" w:eastAsia="Calibri" w:hAnsi="Times New Roman" w:cs="Times New Roman"/>
          <w:iCs/>
          <w:sz w:val="24"/>
          <w:szCs w:val="24"/>
        </w:rPr>
        <w:t>venture capitalist</w:t>
      </w:r>
      <w:r w:rsidR="00D4602E">
        <w:rPr>
          <w:rFonts w:ascii="Times New Roman" w:eastAsia="Calibri" w:hAnsi="Times New Roman" w:cs="Times New Roman"/>
          <w:iCs/>
          <w:sz w:val="24"/>
          <w:szCs w:val="24"/>
        </w:rPr>
        <w:t xml:space="preserve">s.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w:t>
      </w:r>
      <w:r w:rsidR="007A4B20">
        <w:rPr>
          <w:rFonts w:ascii="Times New Roman" w:eastAsia="Calibri" w:hAnsi="Times New Roman" w:cs="Times New Roman"/>
          <w:iCs/>
          <w:sz w:val="24"/>
          <w:szCs w:val="24"/>
        </w:rPr>
        <w:lastRenderedPageBreak/>
        <w:t xml:space="preserve">firm’s core business is subjective.  </w:t>
      </w:r>
      <w:r w:rsidR="007867C0">
        <w:rPr>
          <w:rFonts w:ascii="Times New Roman" w:eastAsia="Calibri" w:hAnsi="Times New Roman" w:cs="Times New Roman"/>
          <w:iCs/>
          <w:sz w:val="24"/>
          <w:szCs w:val="24"/>
        </w:rPr>
        <w:t>Moreover, 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 xml:space="preserve">be necessary to facilitate the efforts of even larger private sector organizations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Some</w:t>
      </w:r>
      <w:r w:rsidR="000F5DFB">
        <w:rPr>
          <w:rFonts w:ascii="Times New Roman" w:eastAsia="Calibri" w:hAnsi="Times New Roman" w:cs="Times New Roman"/>
          <w:iCs/>
          <w:sz w:val="24"/>
          <w:szCs w:val="24"/>
        </w:rPr>
        <w:t xml:space="preserve"> interview responses also suggest that it might be beneficial to re-conceptualize development stage as relative to the point of being able to enter the market (backward referencing) rather than from the point of project initiation (forward referencing</w:t>
      </w:r>
      <w:r w:rsidR="0005043C">
        <w:rPr>
          <w:rFonts w:ascii="Times New Roman" w:eastAsia="Calibri" w:hAnsi="Times New Roman" w:cs="Times New Roman"/>
          <w:iCs/>
          <w:sz w:val="24"/>
          <w:szCs w:val="24"/>
        </w:rPr>
        <w:t>), which is consistent with the observation by Mankins (2009a) about the technology readiness level (TRL) scale</w:t>
      </w:r>
      <w:r w:rsidR="00FB4A29">
        <w:rPr>
          <w:rFonts w:ascii="Times New Roman" w:eastAsia="Calibri" w:hAnsi="Times New Roman" w:cs="Times New Roman"/>
          <w:iCs/>
          <w:sz w:val="24"/>
          <w:szCs w:val="24"/>
        </w:rPr>
        <w:t xml:space="preserve"> not capturing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DF0C30"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examines</w:t>
      </w:r>
      <w:r w:rsidR="00A640F9">
        <w:rPr>
          <w:rFonts w:ascii="Times New Roman" w:eastAsia="Calibri" w:hAnsi="Times New Roman" w:cs="Times New Roman"/>
          <w:iCs/>
          <w:sz w:val="24"/>
          <w:szCs w:val="24"/>
        </w:rPr>
        <w:t xml:space="preserve"> the question of why </w:t>
      </w:r>
      <w:r>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Pr>
          <w:rFonts w:ascii="Times New Roman" w:eastAsia="Calibri" w:hAnsi="Times New Roman" w:cs="Times New Roman"/>
          <w:iCs/>
          <w:sz w:val="24"/>
          <w:szCs w:val="24"/>
        </w:rPr>
        <w:t>The author refers to such ideas as “</w:t>
      </w:r>
      <w:proofErr w:type="spellStart"/>
      <w:r>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Both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which politics will set in and it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and 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w:t>
      </w:r>
      <w:r w:rsidR="00984DBC">
        <w:rPr>
          <w:rFonts w:ascii="Times New Roman" w:eastAsia="Calibri" w:hAnsi="Times New Roman" w:cs="Times New Roman"/>
          <w:iCs/>
          <w:sz w:val="24"/>
          <w:szCs w:val="24"/>
        </w:rPr>
        <w:lastRenderedPageBreak/>
        <w:t xml:space="preserve">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which is essentially 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w:t>
      </w:r>
      <w:r>
        <w:rPr>
          <w:rFonts w:ascii="Times New Roman" w:eastAsia="Calibri" w:hAnsi="Times New Roman" w:cs="Times New Roman"/>
          <w:iCs/>
          <w:sz w:val="24"/>
          <w:szCs w:val="24"/>
        </w:rPr>
        <w:lastRenderedPageBreak/>
        <w:t xml:space="preserve">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w:t>
      </w:r>
      <w:r w:rsidR="00A61DD3">
        <w:rPr>
          <w:rFonts w:ascii="Times New Roman" w:eastAsia="Calibri" w:hAnsi="Times New Roman" w:cs="Times New Roman"/>
          <w:iCs/>
          <w:sz w:val="24"/>
          <w:szCs w:val="24"/>
        </w:rPr>
        <w:lastRenderedPageBreak/>
        <w:t xml:space="preserve">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lastRenderedPageBreak/>
        <w:t>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lastRenderedPageBreak/>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760D7D" w:rsidRDefault="00760D7D" w:rsidP="00E562EE">
      <w:pPr>
        <w:spacing w:line="480" w:lineRule="auto"/>
        <w:ind w:left="720" w:hanging="720"/>
        <w:rPr>
          <w:rFonts w:ascii="Times New Roman" w:eastAsia="Calibri" w:hAnsi="Times New Roman" w:cs="Times New Roman"/>
          <w:iCs/>
          <w:sz w:val="24"/>
          <w:szCs w:val="24"/>
        </w:rPr>
      </w:pPr>
      <w:r w:rsidRPr="00760D7D">
        <w:rPr>
          <w:rFonts w:ascii="Times New Roman" w:eastAsia="Calibri" w:hAnsi="Times New Roman" w:cs="Times New Roman"/>
          <w:iCs/>
          <w:sz w:val="24"/>
          <w:szCs w:val="24"/>
        </w:rPr>
        <w:t xml:space="preserve">Estep, J. (2017). Development of a technology transfer score for evaluating research proposals: Case study of demand response technologies in the Pacific Northwest. </w:t>
      </w:r>
      <w:r w:rsidRPr="00760D7D">
        <w:rPr>
          <w:rFonts w:ascii="Times New Roman" w:eastAsia="Calibri" w:hAnsi="Times New Roman" w:cs="Times New Roman"/>
          <w:i/>
          <w:iCs/>
          <w:sz w:val="24"/>
          <w:szCs w:val="24"/>
        </w:rPr>
        <w:t>Dissertation and Theses</w:t>
      </w:r>
      <w:r w:rsidRPr="00760D7D">
        <w:rPr>
          <w:rFonts w:ascii="Times New Roman" w:eastAsia="Calibri" w:hAnsi="Times New Roman" w:cs="Times New Roman"/>
          <w:iCs/>
          <w:sz w:val="24"/>
          <w:szCs w:val="24"/>
        </w:rPr>
        <w:t xml:space="preserve">, Paper 3479. </w:t>
      </w:r>
      <w:proofErr w:type="spellStart"/>
      <w:proofErr w:type="gramStart"/>
      <w:r w:rsidRPr="00760D7D">
        <w:rPr>
          <w:rFonts w:ascii="Times New Roman" w:eastAsia="Calibri" w:hAnsi="Times New Roman" w:cs="Times New Roman"/>
          <w:iCs/>
          <w:sz w:val="24"/>
          <w:szCs w:val="24"/>
        </w:rPr>
        <w:t>doi:</w:t>
      </w:r>
      <w:r w:rsidRPr="00760D7D">
        <w:rPr>
          <w:rFonts w:ascii="Times New Roman" w:eastAsia="Calibri" w:hAnsi="Times New Roman" w:cs="Times New Roman"/>
          <w:sz w:val="24"/>
          <w:szCs w:val="24"/>
        </w:rPr>
        <w:t>https</w:t>
      </w:r>
      <w:proofErr w:type="spellEnd"/>
      <w:r w:rsidRPr="00760D7D">
        <w:rPr>
          <w:rFonts w:ascii="Times New Roman" w:eastAsia="Calibri" w:hAnsi="Times New Roman" w:cs="Times New Roman"/>
          <w:sz w:val="24"/>
          <w:szCs w:val="24"/>
        </w:rPr>
        <w:t>://doi.org/10.15760/etd.5363</w:t>
      </w:r>
      <w:proofErr w:type="gramEnd"/>
    </w:p>
    <w:p w:rsidR="00760D7D" w:rsidRDefault="00760D7D" w:rsidP="00760D7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dissertation aimed to provide a framework to </w:t>
      </w:r>
      <w:r w:rsidR="00B60A2A">
        <w:rPr>
          <w:rFonts w:ascii="Times New Roman" w:eastAsia="Calibri" w:hAnsi="Times New Roman" w:cs="Times New Roman"/>
          <w:iCs/>
          <w:sz w:val="24"/>
          <w:szCs w:val="24"/>
        </w:rPr>
        <w:t>explain</w:t>
      </w:r>
      <w:r>
        <w:rPr>
          <w:rFonts w:ascii="Times New Roman" w:eastAsia="Calibri" w:hAnsi="Times New Roman" w:cs="Times New Roman"/>
          <w:iCs/>
          <w:sz w:val="24"/>
          <w:szCs w:val="24"/>
        </w:rPr>
        <w:t xml:space="preserve"> how succes</w:t>
      </w:r>
      <w:r w:rsidR="005932CB">
        <w:rPr>
          <w:rFonts w:ascii="Times New Roman" w:eastAsia="Calibri" w:hAnsi="Times New Roman" w:cs="Times New Roman"/>
          <w:iCs/>
          <w:sz w:val="24"/>
          <w:szCs w:val="24"/>
        </w:rPr>
        <w:t xml:space="preserve">sful technology transfer occurs that could serve as a decision model to enable </w:t>
      </w:r>
      <w:r w:rsidR="00D11A91">
        <w:rPr>
          <w:rFonts w:ascii="Times New Roman" w:eastAsia="Calibri" w:hAnsi="Times New Roman" w:cs="Times New Roman"/>
          <w:iCs/>
          <w:sz w:val="24"/>
          <w:szCs w:val="24"/>
        </w:rPr>
        <w:t xml:space="preserve">supply-side </w:t>
      </w:r>
      <w:r w:rsidR="005932CB">
        <w:rPr>
          <w:rFonts w:ascii="Times New Roman" w:eastAsia="Calibri" w:hAnsi="Times New Roman" w:cs="Times New Roman"/>
          <w:iCs/>
          <w:sz w:val="24"/>
          <w:szCs w:val="24"/>
        </w:rPr>
        <w:t xml:space="preserve">practitioners to identify </w:t>
      </w:r>
      <w:r w:rsidR="00B744E9">
        <w:rPr>
          <w:rFonts w:ascii="Times New Roman" w:eastAsia="Calibri" w:hAnsi="Times New Roman" w:cs="Times New Roman"/>
          <w:iCs/>
          <w:sz w:val="24"/>
          <w:szCs w:val="24"/>
        </w:rPr>
        <w:t xml:space="preserve">research proposals with high probabilities for successful </w:t>
      </w:r>
      <w:r w:rsidR="005932CB">
        <w:rPr>
          <w:rFonts w:ascii="Times New Roman" w:eastAsia="Calibri" w:hAnsi="Times New Roman" w:cs="Times New Roman"/>
          <w:iCs/>
          <w:sz w:val="24"/>
          <w:szCs w:val="24"/>
        </w:rPr>
        <w:t>technology transfer.</w:t>
      </w:r>
      <w:r w:rsidR="000B33F0">
        <w:rPr>
          <w:rFonts w:ascii="Times New Roman" w:eastAsia="Calibri" w:hAnsi="Times New Roman" w:cs="Times New Roman"/>
          <w:iCs/>
          <w:sz w:val="24"/>
          <w:szCs w:val="24"/>
        </w:rPr>
        <w:t xml:space="preserve">  The author focused specifically on the energy sector in the United States.  Based on the normative supposition that success attributes should be considered before a decision is made to develop a given technology, the author argues that </w:t>
      </w:r>
      <w:r w:rsidR="00D11A91">
        <w:rPr>
          <w:rFonts w:ascii="Times New Roman" w:eastAsia="Calibri" w:hAnsi="Times New Roman" w:cs="Times New Roman"/>
          <w:iCs/>
          <w:sz w:val="24"/>
          <w:szCs w:val="24"/>
        </w:rPr>
        <w:t>understanding the</w:t>
      </w:r>
      <w:r w:rsidR="000B33F0">
        <w:rPr>
          <w:rFonts w:ascii="Times New Roman" w:eastAsia="Calibri" w:hAnsi="Times New Roman" w:cs="Times New Roman"/>
          <w:iCs/>
          <w:sz w:val="24"/>
          <w:szCs w:val="24"/>
        </w:rPr>
        <w:t xml:space="preserve"> point </w:t>
      </w:r>
      <w:r w:rsidR="00D11A91">
        <w:rPr>
          <w:rFonts w:ascii="Times New Roman" w:eastAsia="Calibri" w:hAnsi="Times New Roman" w:cs="Times New Roman"/>
          <w:iCs/>
          <w:sz w:val="24"/>
          <w:szCs w:val="24"/>
        </w:rPr>
        <w:t xml:space="preserve">when technology transfer is considered </w:t>
      </w:r>
      <w:r w:rsidR="00D11A91">
        <w:rPr>
          <w:rFonts w:ascii="Times New Roman" w:eastAsia="Calibri" w:hAnsi="Times New Roman" w:cs="Times New Roman"/>
          <w:iCs/>
          <w:sz w:val="24"/>
          <w:szCs w:val="24"/>
        </w:rPr>
        <w:t xml:space="preserve">within the process </w:t>
      </w:r>
      <w:r w:rsidR="00C24D6B">
        <w:rPr>
          <w:rFonts w:ascii="Times New Roman" w:eastAsia="Calibri" w:hAnsi="Times New Roman" w:cs="Times New Roman"/>
          <w:iCs/>
          <w:sz w:val="24"/>
          <w:szCs w:val="24"/>
        </w:rPr>
        <w:t xml:space="preserve">of making funding decisions </w:t>
      </w:r>
      <w:r w:rsidR="000B33F0">
        <w:rPr>
          <w:rFonts w:ascii="Times New Roman" w:eastAsia="Calibri" w:hAnsi="Times New Roman" w:cs="Times New Roman"/>
          <w:iCs/>
          <w:sz w:val="24"/>
          <w:szCs w:val="24"/>
        </w:rPr>
        <w:t xml:space="preserve">is </w:t>
      </w:r>
      <w:r w:rsidR="00C24D6B">
        <w:rPr>
          <w:rFonts w:ascii="Times New Roman" w:eastAsia="Calibri" w:hAnsi="Times New Roman" w:cs="Times New Roman"/>
          <w:iCs/>
          <w:sz w:val="24"/>
          <w:szCs w:val="24"/>
        </w:rPr>
        <w:t>important</w:t>
      </w:r>
      <w:r w:rsidR="000B33F0">
        <w:rPr>
          <w:rFonts w:ascii="Times New Roman" w:eastAsia="Calibri" w:hAnsi="Times New Roman" w:cs="Times New Roman"/>
          <w:iCs/>
          <w:sz w:val="24"/>
          <w:szCs w:val="24"/>
        </w:rPr>
        <w:t>.</w:t>
      </w:r>
      <w:r w:rsidR="00716E25">
        <w:rPr>
          <w:rFonts w:ascii="Times New Roman" w:eastAsia="Calibri" w:hAnsi="Times New Roman" w:cs="Times New Roman"/>
          <w:iCs/>
          <w:sz w:val="24"/>
          <w:szCs w:val="24"/>
        </w:rPr>
        <w:t xml:space="preserve">  The author focuses on how federal agencies, specifically the U.S. Department of Energy (DOE), evaluates proposals for research and development, which is a supply-side perspective.</w:t>
      </w:r>
      <w:r w:rsidR="00DC63BC">
        <w:rPr>
          <w:rFonts w:ascii="Times New Roman" w:eastAsia="Calibri" w:hAnsi="Times New Roman" w:cs="Times New Roman"/>
          <w:iCs/>
          <w:sz w:val="24"/>
          <w:szCs w:val="24"/>
        </w:rPr>
        <w:t xml:space="preserve">  The author identified literature that indicated sponsorship by a private sector organization early in the research and development (R&amp;D) process was an important criterion in </w:t>
      </w:r>
      <w:r w:rsidR="00C24D6B">
        <w:rPr>
          <w:rFonts w:ascii="Times New Roman" w:eastAsia="Calibri" w:hAnsi="Times New Roman" w:cs="Times New Roman"/>
          <w:iCs/>
          <w:sz w:val="24"/>
          <w:szCs w:val="24"/>
        </w:rPr>
        <w:t xml:space="preserve">funding decisions about </w:t>
      </w:r>
      <w:r w:rsidR="00DC63BC">
        <w:rPr>
          <w:rFonts w:ascii="Times New Roman" w:eastAsia="Calibri" w:hAnsi="Times New Roman" w:cs="Times New Roman"/>
          <w:iCs/>
          <w:sz w:val="24"/>
          <w:szCs w:val="24"/>
        </w:rPr>
        <w:t>an R&amp;D project but there was no indication under what circumstances a private sector organization was likely to commit to sponsorship of a technology.</w:t>
      </w:r>
      <w:r w:rsidR="005B704C">
        <w:rPr>
          <w:rFonts w:ascii="Times New Roman" w:eastAsia="Calibri" w:hAnsi="Times New Roman" w:cs="Times New Roman"/>
          <w:iCs/>
          <w:sz w:val="24"/>
          <w:szCs w:val="24"/>
        </w:rPr>
        <w:t xml:space="preserve">  Technology maturity was among the factors the author identified in the literature as associated with technology transfer outcomes but there was no indication </w:t>
      </w:r>
      <w:r w:rsidR="005B704C">
        <w:rPr>
          <w:rFonts w:ascii="Times New Roman" w:eastAsia="Calibri" w:hAnsi="Times New Roman" w:cs="Times New Roman"/>
          <w:iCs/>
          <w:sz w:val="24"/>
          <w:szCs w:val="24"/>
        </w:rPr>
        <w:lastRenderedPageBreak/>
        <w:t>of how mature a technology generally had to be before a private sector organization was willing to assimilate it.  The author highlighted literature that asserted interest in a</w:t>
      </w:r>
      <w:r w:rsidR="002F0626">
        <w:rPr>
          <w:rFonts w:ascii="Times New Roman" w:eastAsia="Calibri" w:hAnsi="Times New Roman" w:cs="Times New Roman"/>
          <w:iCs/>
          <w:sz w:val="24"/>
          <w:szCs w:val="24"/>
        </w:rPr>
        <w:t>n</w:t>
      </w:r>
      <w:r w:rsidR="005B704C">
        <w:rPr>
          <w:rFonts w:ascii="Times New Roman" w:eastAsia="Calibri" w:hAnsi="Times New Roman" w:cs="Times New Roman"/>
          <w:iCs/>
          <w:sz w:val="24"/>
          <w:szCs w:val="24"/>
        </w:rPr>
        <w:t xml:space="preserve"> </w:t>
      </w:r>
      <w:r w:rsidR="002F0626">
        <w:rPr>
          <w:rFonts w:ascii="Times New Roman" w:eastAsia="Calibri" w:hAnsi="Times New Roman" w:cs="Times New Roman"/>
          <w:iCs/>
          <w:sz w:val="24"/>
          <w:szCs w:val="24"/>
        </w:rPr>
        <w:t xml:space="preserve">energy-related </w:t>
      </w:r>
      <w:r w:rsidR="005B704C">
        <w:rPr>
          <w:rFonts w:ascii="Times New Roman" w:eastAsia="Calibri" w:hAnsi="Times New Roman" w:cs="Times New Roman"/>
          <w:iCs/>
          <w:sz w:val="24"/>
          <w:szCs w:val="24"/>
        </w:rPr>
        <w:t xml:space="preserve">technology is increased when there have been successful demonstration projects.  </w:t>
      </w:r>
      <w:proofErr w:type="gramStart"/>
      <w:r w:rsidR="005B704C">
        <w:rPr>
          <w:rFonts w:ascii="Times New Roman" w:eastAsia="Calibri" w:hAnsi="Times New Roman" w:cs="Times New Roman"/>
          <w:iCs/>
          <w:sz w:val="24"/>
          <w:szCs w:val="24"/>
        </w:rPr>
        <w:t>According to</w:t>
      </w:r>
      <w:proofErr w:type="gramEnd"/>
      <w:r w:rsidR="005B704C">
        <w:rPr>
          <w:rFonts w:ascii="Times New Roman" w:eastAsia="Calibri" w:hAnsi="Times New Roman" w:cs="Times New Roman"/>
          <w:iCs/>
          <w:sz w:val="24"/>
          <w:szCs w:val="24"/>
        </w:rPr>
        <w:t xml:space="preserve"> the author, technologies that are at least at TRL-8 on the technology readiness level (TRL) scale are ready for demonstration</w:t>
      </w:r>
      <w:r w:rsidR="009B1685">
        <w:rPr>
          <w:rFonts w:ascii="Times New Roman" w:eastAsia="Calibri" w:hAnsi="Times New Roman" w:cs="Times New Roman"/>
          <w:iCs/>
          <w:sz w:val="24"/>
          <w:szCs w:val="24"/>
        </w:rPr>
        <w:t xml:space="preserve"> (although the author later contradicts this by attributing TRL-6 as ready for demonstration [p. 141])</w:t>
      </w:r>
      <w:r w:rsidR="005B704C">
        <w:rPr>
          <w:rFonts w:ascii="Times New Roman" w:eastAsia="Calibri" w:hAnsi="Times New Roman" w:cs="Times New Roman"/>
          <w:iCs/>
          <w:sz w:val="24"/>
          <w:szCs w:val="24"/>
        </w:rPr>
        <w:t>.  As such, one could infer that development stage influences technology transfer outcomes.</w:t>
      </w:r>
      <w:r w:rsidR="005658BF">
        <w:rPr>
          <w:rFonts w:ascii="Times New Roman" w:eastAsia="Calibri" w:hAnsi="Times New Roman" w:cs="Times New Roman"/>
          <w:iCs/>
          <w:sz w:val="24"/>
          <w:szCs w:val="24"/>
        </w:rPr>
        <w:t xml:space="preserve">  However, there was no empirical evidence referenced to support this assertion.</w:t>
      </w:r>
      <w:r w:rsidR="0069436B">
        <w:rPr>
          <w:rFonts w:ascii="Times New Roman" w:eastAsia="Calibri" w:hAnsi="Times New Roman" w:cs="Times New Roman"/>
          <w:iCs/>
          <w:sz w:val="24"/>
          <w:szCs w:val="24"/>
        </w:rPr>
        <w:t xml:space="preserve">  The author also referenced literature that elucidated the social aspect of technology transfer, specifically the necessity of support from individuals in roles in the top levels of the hierarchy (i.e., top management) of the private sector organization that is assimilating the technology.</w:t>
      </w:r>
      <w:r w:rsidR="00B744E9">
        <w:rPr>
          <w:rFonts w:ascii="Times New Roman" w:eastAsia="Calibri" w:hAnsi="Times New Roman" w:cs="Times New Roman"/>
          <w:iCs/>
          <w:sz w:val="24"/>
          <w:szCs w:val="24"/>
        </w:rPr>
        <w:t xml:space="preserve">  The technology transfer scoring instrument the author developed aims to comprehensively consider attributes that predict successful technology tran</w:t>
      </w:r>
      <w:r w:rsidR="00864A37">
        <w:rPr>
          <w:rFonts w:ascii="Times New Roman" w:eastAsia="Calibri" w:hAnsi="Times New Roman" w:cs="Times New Roman"/>
          <w:iCs/>
          <w:sz w:val="24"/>
          <w:szCs w:val="24"/>
        </w:rPr>
        <w:t xml:space="preserve">sfer, which supply-side </w:t>
      </w:r>
      <w:r w:rsidR="00B744E9">
        <w:rPr>
          <w:rFonts w:ascii="Times New Roman" w:eastAsia="Calibri" w:hAnsi="Times New Roman" w:cs="Times New Roman"/>
          <w:iCs/>
          <w:sz w:val="24"/>
          <w:szCs w:val="24"/>
        </w:rPr>
        <w:t>organization</w:t>
      </w:r>
      <w:r w:rsidR="00864A37">
        <w:rPr>
          <w:rFonts w:ascii="Times New Roman" w:eastAsia="Calibri" w:hAnsi="Times New Roman" w:cs="Times New Roman"/>
          <w:iCs/>
          <w:sz w:val="24"/>
          <w:szCs w:val="24"/>
        </w:rPr>
        <w:t>s</w:t>
      </w:r>
      <w:r w:rsidR="00B744E9">
        <w:rPr>
          <w:rFonts w:ascii="Times New Roman" w:eastAsia="Calibri" w:hAnsi="Times New Roman" w:cs="Times New Roman"/>
          <w:iCs/>
          <w:sz w:val="24"/>
          <w:szCs w:val="24"/>
        </w:rPr>
        <w:t xml:space="preserve"> could use to make decisions about whether to pursue a given R&amp;D project.  </w:t>
      </w:r>
      <w:r w:rsidR="00864A37">
        <w:rPr>
          <w:rFonts w:ascii="Times New Roman" w:eastAsia="Calibri" w:hAnsi="Times New Roman" w:cs="Times New Roman"/>
          <w:iCs/>
          <w:sz w:val="24"/>
          <w:szCs w:val="24"/>
        </w:rPr>
        <w:t xml:space="preserve">Interestingly, development stage is not among the attributes included in the instrument.  </w:t>
      </w:r>
      <w:r w:rsidR="009B1685">
        <w:rPr>
          <w:rFonts w:ascii="Times New Roman" w:eastAsia="Calibri" w:hAnsi="Times New Roman" w:cs="Times New Roman"/>
          <w:iCs/>
          <w:sz w:val="24"/>
          <w:szCs w:val="24"/>
        </w:rPr>
        <w:t xml:space="preserve">Moreover, the author did not take the step of </w:t>
      </w:r>
      <w:r w:rsidR="00D16397">
        <w:rPr>
          <w:rFonts w:ascii="Times New Roman" w:eastAsia="Calibri" w:hAnsi="Times New Roman" w:cs="Times New Roman"/>
          <w:iCs/>
          <w:sz w:val="24"/>
          <w:szCs w:val="24"/>
        </w:rPr>
        <w:t xml:space="preserve">determining if there was a correlation between technology transfer scores as determined by the instrument and actual technology transfer outcomes.  This seems like a major shortcoming of the study.  But it does present an opportunity for future research that could fill a significant gap in the knowledge base about technology transfer.  </w:t>
      </w:r>
      <w:r w:rsidR="00C24D6B">
        <w:rPr>
          <w:rFonts w:ascii="Times New Roman" w:eastAsia="Calibri" w:hAnsi="Times New Roman" w:cs="Times New Roman"/>
          <w:iCs/>
          <w:sz w:val="24"/>
          <w:szCs w:val="24"/>
        </w:rPr>
        <w:t>T</w:t>
      </w:r>
      <w:r w:rsidR="00B744E9">
        <w:rPr>
          <w:rFonts w:ascii="Times New Roman" w:eastAsia="Calibri" w:hAnsi="Times New Roman" w:cs="Times New Roman"/>
          <w:iCs/>
          <w:sz w:val="24"/>
          <w:szCs w:val="24"/>
        </w:rPr>
        <w:t xml:space="preserve">he general approach </w:t>
      </w:r>
      <w:r w:rsidR="00C24D6B">
        <w:rPr>
          <w:rFonts w:ascii="Times New Roman" w:eastAsia="Calibri" w:hAnsi="Times New Roman" w:cs="Times New Roman"/>
          <w:iCs/>
          <w:sz w:val="24"/>
          <w:szCs w:val="24"/>
        </w:rPr>
        <w:t xml:space="preserve">used to develop the technology transfer scoring instruments </w:t>
      </w:r>
      <w:r w:rsidR="00B744E9">
        <w:rPr>
          <w:rFonts w:ascii="Times New Roman" w:eastAsia="Calibri" w:hAnsi="Times New Roman" w:cs="Times New Roman"/>
          <w:iCs/>
          <w:sz w:val="24"/>
          <w:szCs w:val="24"/>
        </w:rPr>
        <w:t xml:space="preserve">can likely be </w:t>
      </w:r>
      <w:r w:rsidR="00B744E9">
        <w:rPr>
          <w:rFonts w:ascii="Times New Roman" w:eastAsia="Calibri" w:hAnsi="Times New Roman" w:cs="Times New Roman"/>
          <w:iCs/>
          <w:sz w:val="24"/>
          <w:szCs w:val="24"/>
        </w:rPr>
        <w:lastRenderedPageBreak/>
        <w:t xml:space="preserve">adapted to develop an instrument to quantitatively assess </w:t>
      </w:r>
      <w:r w:rsidR="00864A37">
        <w:rPr>
          <w:rFonts w:ascii="Times New Roman" w:eastAsia="Calibri" w:hAnsi="Times New Roman" w:cs="Times New Roman"/>
          <w:iCs/>
          <w:sz w:val="24"/>
          <w:szCs w:val="24"/>
        </w:rPr>
        <w:t xml:space="preserve">technology </w:t>
      </w:r>
      <w:r w:rsidR="00B744E9">
        <w:rPr>
          <w:rFonts w:ascii="Times New Roman" w:eastAsia="Calibri" w:hAnsi="Times New Roman" w:cs="Times New Roman"/>
          <w:iCs/>
          <w:sz w:val="24"/>
          <w:szCs w:val="24"/>
        </w:rPr>
        <w:t>development stage.</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w:t>
      </w:r>
      <w:r w:rsidR="000318EC">
        <w:rPr>
          <w:rFonts w:ascii="Times New Roman" w:eastAsia="Calibri" w:hAnsi="Times New Roman" w:cs="Times New Roman"/>
          <w:iCs/>
          <w:sz w:val="24"/>
          <w:szCs w:val="24"/>
        </w:rPr>
        <w:lastRenderedPageBreak/>
        <w:t xml:space="preserve">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 xml:space="preserve">The act of technology transfer can also be considered an act of organizational change </w:t>
      </w:r>
      <w:r w:rsidR="006C10DC">
        <w:rPr>
          <w:rFonts w:ascii="Times New Roman" w:eastAsia="Calibri" w:hAnsi="Times New Roman" w:cs="Times New Roman"/>
          <w:iCs/>
          <w:sz w:val="24"/>
          <w:szCs w:val="24"/>
        </w:rPr>
        <w:lastRenderedPageBreak/>
        <w:t>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w:t>
      </w:r>
      <w:r>
        <w:rPr>
          <w:rFonts w:ascii="Times New Roman" w:eastAsia="Calibri" w:hAnsi="Times New Roman" w:cs="Times New Roman"/>
          <w:iCs/>
          <w:sz w:val="24"/>
          <w:szCs w:val="24"/>
        </w:rPr>
        <w:lastRenderedPageBreak/>
        <w:t xml:space="preserve">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w:t>
      </w:r>
      <w:r>
        <w:rPr>
          <w:rFonts w:ascii="Times New Roman" w:eastAsia="Calibri" w:hAnsi="Times New Roman" w:cs="Times New Roman"/>
          <w:iCs/>
          <w:sz w:val="24"/>
          <w:szCs w:val="24"/>
        </w:rPr>
        <w:lastRenderedPageBreak/>
        <w:t xml:space="preserve">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development.  Moreover, he offers the opinion that funding at TRL-4 and greater 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The author notes that there is a difference between motivation and behavior.  </w:t>
      </w:r>
      <w:r w:rsidR="00C0084F">
        <w:rPr>
          <w:rFonts w:ascii="Times New Roman" w:eastAsia="Calibri" w:hAnsi="Times New Roman" w:cs="Times New Roman"/>
          <w:iCs/>
          <w:sz w:val="24"/>
          <w:szCs w:val="24"/>
        </w:rPr>
        <w:t>All behavior is determined. 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w:t>
      </w:r>
      <w:r w:rsidR="00C0084F">
        <w:rPr>
          <w:rFonts w:ascii="Times New Roman" w:eastAsia="Calibri" w:hAnsi="Times New Roman" w:cs="Times New Roman"/>
          <w:iCs/>
          <w:sz w:val="24"/>
          <w:szCs w:val="24"/>
        </w:rPr>
        <w:lastRenderedPageBreak/>
        <w:t xml:space="preserve">subject to the influence of multiple determinants, including multiple motivations.  </w:t>
      </w:r>
      <w:r w:rsidR="00AA21FA">
        <w:rPr>
          <w:rFonts w:ascii="Times New Roman" w:eastAsia="Calibri" w:hAnsi="Times New Roman" w:cs="Times New Roman"/>
          <w:iCs/>
          <w:sz w:val="24"/>
          <w:szCs w:val="24"/>
        </w:rPr>
        <w:t xml:space="preserve">The author presents a hierarchy of basic needs that motivate behavior in humans.  The hierarchy </w:t>
      </w:r>
      <w:r w:rsidR="000334DE">
        <w:rPr>
          <w:rFonts w:ascii="Times New Roman" w:eastAsia="Calibri" w:hAnsi="Times New Roman" w:cs="Times New Roman"/>
          <w:iCs/>
          <w:sz w:val="24"/>
          <w:szCs w:val="24"/>
        </w:rPr>
        <w:t>of basic needs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the general order of predominance and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xml:space="preserve">, the author points out that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 xml:space="preserve">needs in the hierarchy.  </w:t>
      </w:r>
      <w:proofErr w:type="gramStart"/>
      <w:r w:rsidR="00AA21FA">
        <w:rPr>
          <w:rFonts w:ascii="Times New Roman" w:eastAsia="Calibri" w:hAnsi="Times New Roman" w:cs="Times New Roman"/>
          <w:iCs/>
          <w:sz w:val="24"/>
          <w:szCs w:val="24"/>
        </w:rPr>
        <w:t>According to</w:t>
      </w:r>
      <w:proofErr w:type="gramEnd"/>
      <w:r w:rsidR="00AA21FA">
        <w:rPr>
          <w:rFonts w:ascii="Times New Roman" w:eastAsia="Calibri" w:hAnsi="Times New Roman" w:cs="Times New Roman"/>
          <w:iCs/>
          <w:sz w:val="24"/>
          <w:szCs w:val="24"/>
        </w:rPr>
        <w:t xml:space="preserve">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proofErr w:type="gramStart"/>
      <w:r w:rsidR="00C0084F">
        <w:rPr>
          <w:rFonts w:ascii="Times New Roman" w:eastAsia="Calibri" w:hAnsi="Times New Roman" w:cs="Times New Roman"/>
          <w:iCs/>
          <w:sz w:val="24"/>
          <w:szCs w:val="24"/>
        </w:rPr>
        <w:t>According to</w:t>
      </w:r>
      <w:proofErr w:type="gramEnd"/>
      <w:r w:rsidR="00C0084F">
        <w:rPr>
          <w:rFonts w:ascii="Times New Roman" w:eastAsia="Calibri" w:hAnsi="Times New Roman" w:cs="Times New Roman"/>
          <w:iCs/>
          <w:sz w:val="24"/>
          <w:szCs w:val="24"/>
        </w:rPr>
        <w:t xml:space="preserve"> the theory the author presents,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satisfied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satisfied as being non-existent when trying to understand what </w:t>
      </w:r>
      <w:proofErr w:type="gramStart"/>
      <w:r w:rsidR="00C0084F">
        <w:rPr>
          <w:rFonts w:ascii="Times New Roman" w:eastAsia="Calibri" w:hAnsi="Times New Roman" w:cs="Times New Roman"/>
          <w:iCs/>
          <w:sz w:val="24"/>
          <w:szCs w:val="24"/>
        </w:rPr>
        <w:t>actually motivates</w:t>
      </w:r>
      <w:proofErr w:type="gramEnd"/>
      <w:r w:rsidR="00C0084F">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the organization to guide the proposed dissertation study that does not reify the construct of the organization.  As such, the theoretical framework selected for the proposed dissertation study must somehow account for human behavior when describing organizational-level phenomenon.</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w:t>
      </w:r>
      <w:r w:rsidR="00123DFD">
        <w:rPr>
          <w:rFonts w:ascii="Times New Roman" w:eastAsia="Calibri" w:hAnsi="Times New Roman" w:cs="Times New Roman"/>
          <w:iCs/>
          <w:sz w:val="24"/>
          <w:szCs w:val="24"/>
        </w:rPr>
        <w:lastRenderedPageBreak/>
        <w:t>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excluded studies conducted at the department, university, and country level of analysis and case studies of specific universities that were limited to the </w:t>
      </w:r>
      <w:r w:rsidR="00463417">
        <w:rPr>
          <w:rFonts w:ascii="Times New Roman" w:eastAsia="Calibri" w:hAnsi="Times New Roman" w:cs="Times New Roman"/>
          <w:iCs/>
          <w:sz w:val="24"/>
          <w:szCs w:val="24"/>
        </w:rPr>
        <w:lastRenderedPageBreak/>
        <w:t>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his limitation may manifest as one or more decision premises 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lastRenderedPageBreak/>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w:t>
      </w:r>
      <w:r w:rsidR="008635A2">
        <w:rPr>
          <w:rFonts w:ascii="Times New Roman" w:eastAsia="Calibri" w:hAnsi="Times New Roman" w:cs="Times New Roman"/>
          <w:iCs/>
          <w:sz w:val="24"/>
          <w:szCs w:val="24"/>
        </w:rPr>
        <w:lastRenderedPageBreak/>
        <w:t xml:space="preserve">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lastRenderedPageBreak/>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lastRenderedPageBreak/>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w:t>
      </w:r>
      <w:r w:rsidR="000A67F9">
        <w:rPr>
          <w:rFonts w:ascii="Times New Roman" w:eastAsia="Calibri" w:hAnsi="Times New Roman" w:cs="Times New Roman"/>
          <w:iCs/>
          <w:sz w:val="24"/>
          <w:szCs w:val="24"/>
        </w:rPr>
        <w:lastRenderedPageBreak/>
        <w:t xml:space="preserve">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w:t>
      </w:r>
      <w:r w:rsidR="00F82A4A">
        <w:rPr>
          <w:rFonts w:ascii="Times New Roman" w:hAnsi="Times New Roman" w:cs="Times New Roman"/>
          <w:sz w:val="24"/>
        </w:rPr>
        <w:lastRenderedPageBreak/>
        <w:t>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p w:rsidR="001D53CD" w:rsidRDefault="001D53CD" w:rsidP="001D53CD">
      <w:pPr>
        <w:tabs>
          <w:tab w:val="left" w:pos="1080"/>
        </w:tabs>
        <w:spacing w:line="480" w:lineRule="auto"/>
        <w:ind w:left="720" w:hanging="720"/>
        <w:rPr>
          <w:rFonts w:ascii="Times New Roman" w:hAnsi="Times New Roman" w:cs="Times New Roman"/>
          <w:sz w:val="24"/>
        </w:rPr>
      </w:pPr>
      <w:proofErr w:type="spellStart"/>
      <w:r w:rsidRPr="001D53CD">
        <w:rPr>
          <w:rFonts w:ascii="Times New Roman" w:hAnsi="Times New Roman" w:cs="Times New Roman"/>
          <w:sz w:val="24"/>
        </w:rPr>
        <w:t>Weirich</w:t>
      </w:r>
      <w:proofErr w:type="spellEnd"/>
      <w:r w:rsidRPr="001D53CD">
        <w:rPr>
          <w:rFonts w:ascii="Times New Roman" w:hAnsi="Times New Roman" w:cs="Times New Roman"/>
          <w:sz w:val="24"/>
        </w:rPr>
        <w:t xml:space="preserve">, P. (2004). </w:t>
      </w:r>
      <w:r w:rsidRPr="001D53CD">
        <w:rPr>
          <w:rFonts w:ascii="Times New Roman" w:hAnsi="Times New Roman" w:cs="Times New Roman"/>
          <w:i/>
          <w:iCs/>
          <w:sz w:val="24"/>
        </w:rPr>
        <w:t xml:space="preserve">Realistic decision theory: Rules for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agents in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circumstances</w:t>
      </w:r>
      <w:r w:rsidRPr="001D53CD">
        <w:rPr>
          <w:rFonts w:ascii="Times New Roman" w:hAnsi="Times New Roman" w:cs="Times New Roman"/>
          <w:sz w:val="24"/>
        </w:rPr>
        <w:t>. New York, NY: Oxford University Press.</w:t>
      </w:r>
    </w:p>
    <w:p w:rsidR="001D53CD" w:rsidRPr="00BD333A" w:rsidRDefault="001314CF" w:rsidP="001314C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 xml:space="preserve">This book discusses normative decision principles that the author argues are more practical for </w:t>
      </w:r>
      <w:r w:rsidR="00C90DEF">
        <w:rPr>
          <w:rFonts w:ascii="Times New Roman" w:hAnsi="Times New Roman" w:cs="Times New Roman"/>
          <w:sz w:val="24"/>
        </w:rPr>
        <w:t>real world application.  As the author notes, traditional normative decision theory is based on the assumptions of ideal agents acting under ideal conditions.  The author systematically relaxes these idealizations and provides decision principles that he argues will allow individuals to make better decisions that are consistent with the objectives of rationality and utility maximization.  The author distinguishes between assumptions that identify and control for factors that explain phenomenon (idealization</w:t>
      </w:r>
      <w:r w:rsidR="000A10C0">
        <w:rPr>
          <w:rFonts w:ascii="Times New Roman" w:hAnsi="Times New Roman" w:cs="Times New Roman"/>
          <w:sz w:val="24"/>
        </w:rPr>
        <w:t>s</w:t>
      </w:r>
      <w:r w:rsidR="00C90DEF">
        <w:rPr>
          <w:rFonts w:ascii="Times New Roman" w:hAnsi="Times New Roman" w:cs="Times New Roman"/>
          <w:sz w:val="24"/>
        </w:rPr>
        <w:t xml:space="preserve">) and assumptions </w:t>
      </w:r>
      <w:r w:rsidR="000A10C0">
        <w:rPr>
          <w:rFonts w:ascii="Times New Roman" w:hAnsi="Times New Roman" w:cs="Times New Roman"/>
          <w:sz w:val="24"/>
        </w:rPr>
        <w:t xml:space="preserve">only </w:t>
      </w:r>
      <w:r w:rsidR="00C90DEF">
        <w:rPr>
          <w:rFonts w:ascii="Times New Roman" w:hAnsi="Times New Roman" w:cs="Times New Roman"/>
          <w:sz w:val="24"/>
        </w:rPr>
        <w:t xml:space="preserve">meant to simplify the </w:t>
      </w:r>
      <w:r w:rsidR="000A10C0">
        <w:rPr>
          <w:rFonts w:ascii="Times New Roman" w:hAnsi="Times New Roman" w:cs="Times New Roman"/>
          <w:sz w:val="24"/>
        </w:rPr>
        <w:t xml:space="preserve">analysis of a phenomenon by controlling for non-explanatory factors </w:t>
      </w:r>
      <w:r w:rsidR="00921176">
        <w:rPr>
          <w:rFonts w:ascii="Times New Roman" w:hAnsi="Times New Roman" w:cs="Times New Roman"/>
          <w:sz w:val="24"/>
        </w:rPr>
        <w:t xml:space="preserve">such as intractable cases </w:t>
      </w:r>
      <w:r w:rsidR="000A10C0">
        <w:rPr>
          <w:rFonts w:ascii="Times New Roman" w:hAnsi="Times New Roman" w:cs="Times New Roman"/>
          <w:sz w:val="24"/>
        </w:rPr>
        <w:t xml:space="preserve">(restrictions).  In controlling for some explanatory factors, idealizations help reveal </w:t>
      </w:r>
      <w:r w:rsidR="000A10C0">
        <w:rPr>
          <w:rFonts w:ascii="Times New Roman" w:hAnsi="Times New Roman" w:cs="Times New Roman"/>
          <w:sz w:val="24"/>
        </w:rPr>
        <w:lastRenderedPageBreak/>
        <w:t>partial explanations of the phenomenon under examination by highlighting the role of the factors not controlled for by the idealization.</w:t>
      </w:r>
      <w:r w:rsidR="00242EA5">
        <w:rPr>
          <w:rFonts w:ascii="Times New Roman" w:hAnsi="Times New Roman" w:cs="Times New Roman"/>
          <w:sz w:val="24"/>
        </w:rPr>
        <w:t xml:space="preserve">  This source is not directly relevant to the proposed dissertation study because it focuses on explaining how one should make decisions (i.e., normative principles).  A theoretical and conceptual framework that describes how members of an organization </w:t>
      </w:r>
      <w:proofErr w:type="gramStart"/>
      <w:r w:rsidR="00242EA5">
        <w:rPr>
          <w:rFonts w:ascii="Times New Roman" w:hAnsi="Times New Roman" w:cs="Times New Roman"/>
          <w:sz w:val="24"/>
        </w:rPr>
        <w:t>actually make</w:t>
      </w:r>
      <w:proofErr w:type="gramEnd"/>
      <w:r w:rsidR="00242EA5">
        <w:rPr>
          <w:rFonts w:ascii="Times New Roman" w:hAnsi="Times New Roman" w:cs="Times New Roman"/>
          <w:sz w:val="24"/>
        </w:rPr>
        <w:t xml:space="preserve"> decisions (i.e., positive or descriptive theory) is desired for the proposed dissertation study.  However, the authors discussion about idealizations versus restrictions and the specific idealizations that the author addresses provide insight that will be useful in determining the theoretical and conceptual framework for the proposed dissertation study. </w:t>
      </w:r>
    </w:p>
    <w:sectPr w:rsidR="001D53CD"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294FB6">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294FB6">
      <w:rPr>
        <w:rFonts w:ascii="Times New Roman" w:hAnsi="Times New Roman" w:cs="Times New Roman"/>
        <w:noProof/>
        <w:sz w:val="24"/>
      </w:rPr>
      <w:t>20</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3BFE"/>
    <w:rsid w:val="00006E47"/>
    <w:rsid w:val="000071D3"/>
    <w:rsid w:val="0001146C"/>
    <w:rsid w:val="00013605"/>
    <w:rsid w:val="0002471B"/>
    <w:rsid w:val="000318EC"/>
    <w:rsid w:val="00032D1C"/>
    <w:rsid w:val="000334DE"/>
    <w:rsid w:val="00034B41"/>
    <w:rsid w:val="000403AD"/>
    <w:rsid w:val="0004287B"/>
    <w:rsid w:val="00046A22"/>
    <w:rsid w:val="0005043C"/>
    <w:rsid w:val="00052F31"/>
    <w:rsid w:val="00056818"/>
    <w:rsid w:val="0006287E"/>
    <w:rsid w:val="00071B58"/>
    <w:rsid w:val="000730FA"/>
    <w:rsid w:val="0007397B"/>
    <w:rsid w:val="00075170"/>
    <w:rsid w:val="00075220"/>
    <w:rsid w:val="00075426"/>
    <w:rsid w:val="00086045"/>
    <w:rsid w:val="0008616D"/>
    <w:rsid w:val="00087C61"/>
    <w:rsid w:val="00087E56"/>
    <w:rsid w:val="000970BA"/>
    <w:rsid w:val="000A10C0"/>
    <w:rsid w:val="000A5EFC"/>
    <w:rsid w:val="000A67F9"/>
    <w:rsid w:val="000B0C27"/>
    <w:rsid w:val="000B14CD"/>
    <w:rsid w:val="000B33F0"/>
    <w:rsid w:val="000B4D21"/>
    <w:rsid w:val="000B57C9"/>
    <w:rsid w:val="000B5C5B"/>
    <w:rsid w:val="000C22CD"/>
    <w:rsid w:val="000D2CCD"/>
    <w:rsid w:val="000D6109"/>
    <w:rsid w:val="000D679D"/>
    <w:rsid w:val="000E077A"/>
    <w:rsid w:val="000F5784"/>
    <w:rsid w:val="000F580C"/>
    <w:rsid w:val="000F5DFB"/>
    <w:rsid w:val="000F7087"/>
    <w:rsid w:val="00100BD6"/>
    <w:rsid w:val="00102281"/>
    <w:rsid w:val="00105599"/>
    <w:rsid w:val="001163AE"/>
    <w:rsid w:val="00120E99"/>
    <w:rsid w:val="00122D76"/>
    <w:rsid w:val="0012352C"/>
    <w:rsid w:val="00123DFD"/>
    <w:rsid w:val="001314CF"/>
    <w:rsid w:val="0014711A"/>
    <w:rsid w:val="0015256B"/>
    <w:rsid w:val="001531FC"/>
    <w:rsid w:val="001558FA"/>
    <w:rsid w:val="00165B2E"/>
    <w:rsid w:val="00175291"/>
    <w:rsid w:val="001761A4"/>
    <w:rsid w:val="00177D82"/>
    <w:rsid w:val="0018738A"/>
    <w:rsid w:val="00191382"/>
    <w:rsid w:val="0019799F"/>
    <w:rsid w:val="001A6417"/>
    <w:rsid w:val="001B082B"/>
    <w:rsid w:val="001B4DE8"/>
    <w:rsid w:val="001C3C91"/>
    <w:rsid w:val="001C5AB6"/>
    <w:rsid w:val="001C5E46"/>
    <w:rsid w:val="001C776A"/>
    <w:rsid w:val="001D13FE"/>
    <w:rsid w:val="001D53CD"/>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4736"/>
    <w:rsid w:val="0022558E"/>
    <w:rsid w:val="00226213"/>
    <w:rsid w:val="002271B6"/>
    <w:rsid w:val="00231C94"/>
    <w:rsid w:val="00236C0F"/>
    <w:rsid w:val="00241C37"/>
    <w:rsid w:val="00242EA5"/>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94FB6"/>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626"/>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42D44"/>
    <w:rsid w:val="00346FCD"/>
    <w:rsid w:val="0035047A"/>
    <w:rsid w:val="0035311F"/>
    <w:rsid w:val="00357BE9"/>
    <w:rsid w:val="003757B8"/>
    <w:rsid w:val="00381F13"/>
    <w:rsid w:val="00385698"/>
    <w:rsid w:val="00385918"/>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C0D92"/>
    <w:rsid w:val="004C151D"/>
    <w:rsid w:val="004C29E6"/>
    <w:rsid w:val="004C3538"/>
    <w:rsid w:val="004C5EBC"/>
    <w:rsid w:val="004D3030"/>
    <w:rsid w:val="004D3AE3"/>
    <w:rsid w:val="004D695B"/>
    <w:rsid w:val="004E4C01"/>
    <w:rsid w:val="00503501"/>
    <w:rsid w:val="00506F24"/>
    <w:rsid w:val="005120C0"/>
    <w:rsid w:val="0051298E"/>
    <w:rsid w:val="00515F50"/>
    <w:rsid w:val="005174C2"/>
    <w:rsid w:val="00530DE9"/>
    <w:rsid w:val="0053653F"/>
    <w:rsid w:val="00536942"/>
    <w:rsid w:val="005414C2"/>
    <w:rsid w:val="00542091"/>
    <w:rsid w:val="00547E68"/>
    <w:rsid w:val="00557CA3"/>
    <w:rsid w:val="005658BF"/>
    <w:rsid w:val="00572BCC"/>
    <w:rsid w:val="0057729D"/>
    <w:rsid w:val="005805B7"/>
    <w:rsid w:val="005806F4"/>
    <w:rsid w:val="0058184C"/>
    <w:rsid w:val="00586218"/>
    <w:rsid w:val="005932CB"/>
    <w:rsid w:val="005A3032"/>
    <w:rsid w:val="005A3831"/>
    <w:rsid w:val="005A60DB"/>
    <w:rsid w:val="005A6745"/>
    <w:rsid w:val="005B704C"/>
    <w:rsid w:val="005C11A2"/>
    <w:rsid w:val="005C4525"/>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4445"/>
    <w:rsid w:val="00655EB9"/>
    <w:rsid w:val="0066117E"/>
    <w:rsid w:val="0067738C"/>
    <w:rsid w:val="006807E0"/>
    <w:rsid w:val="00683CAA"/>
    <w:rsid w:val="00686DFD"/>
    <w:rsid w:val="00691608"/>
    <w:rsid w:val="00693004"/>
    <w:rsid w:val="0069436B"/>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6E25"/>
    <w:rsid w:val="00717F51"/>
    <w:rsid w:val="00722951"/>
    <w:rsid w:val="007231A1"/>
    <w:rsid w:val="007309D9"/>
    <w:rsid w:val="00730FC2"/>
    <w:rsid w:val="0073308D"/>
    <w:rsid w:val="00734FD9"/>
    <w:rsid w:val="0073676E"/>
    <w:rsid w:val="007442FC"/>
    <w:rsid w:val="0075107D"/>
    <w:rsid w:val="00751955"/>
    <w:rsid w:val="007570ED"/>
    <w:rsid w:val="00760D7D"/>
    <w:rsid w:val="00766999"/>
    <w:rsid w:val="00772FAD"/>
    <w:rsid w:val="00773D38"/>
    <w:rsid w:val="00776FDF"/>
    <w:rsid w:val="00785606"/>
    <w:rsid w:val="007867C0"/>
    <w:rsid w:val="00787DAF"/>
    <w:rsid w:val="0079105C"/>
    <w:rsid w:val="0079465D"/>
    <w:rsid w:val="00797687"/>
    <w:rsid w:val="007A335F"/>
    <w:rsid w:val="007A3CAD"/>
    <w:rsid w:val="007A4B20"/>
    <w:rsid w:val="007A7618"/>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277B"/>
    <w:rsid w:val="00835E0C"/>
    <w:rsid w:val="008422AC"/>
    <w:rsid w:val="00843774"/>
    <w:rsid w:val="0085228B"/>
    <w:rsid w:val="00853665"/>
    <w:rsid w:val="00860123"/>
    <w:rsid w:val="008611DF"/>
    <w:rsid w:val="008612A5"/>
    <w:rsid w:val="008635A2"/>
    <w:rsid w:val="00864A37"/>
    <w:rsid w:val="008667D4"/>
    <w:rsid w:val="00872635"/>
    <w:rsid w:val="00873C0F"/>
    <w:rsid w:val="00875567"/>
    <w:rsid w:val="0088199A"/>
    <w:rsid w:val="00891BE2"/>
    <w:rsid w:val="008A76AB"/>
    <w:rsid w:val="008B22E2"/>
    <w:rsid w:val="008B6884"/>
    <w:rsid w:val="008C1ECC"/>
    <w:rsid w:val="008D18BD"/>
    <w:rsid w:val="008D25E4"/>
    <w:rsid w:val="008D52A9"/>
    <w:rsid w:val="008E4256"/>
    <w:rsid w:val="008E6589"/>
    <w:rsid w:val="008F02E9"/>
    <w:rsid w:val="008F1202"/>
    <w:rsid w:val="008F4FA0"/>
    <w:rsid w:val="009028AB"/>
    <w:rsid w:val="009033D1"/>
    <w:rsid w:val="0090451E"/>
    <w:rsid w:val="00907138"/>
    <w:rsid w:val="00917A0F"/>
    <w:rsid w:val="00921176"/>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DBC"/>
    <w:rsid w:val="009911EC"/>
    <w:rsid w:val="009940FC"/>
    <w:rsid w:val="009969BA"/>
    <w:rsid w:val="009A151A"/>
    <w:rsid w:val="009A3595"/>
    <w:rsid w:val="009A3AEB"/>
    <w:rsid w:val="009B1685"/>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271AE"/>
    <w:rsid w:val="00A40816"/>
    <w:rsid w:val="00A41A1E"/>
    <w:rsid w:val="00A45902"/>
    <w:rsid w:val="00A479D8"/>
    <w:rsid w:val="00A566D5"/>
    <w:rsid w:val="00A60329"/>
    <w:rsid w:val="00A60EC9"/>
    <w:rsid w:val="00A61DD3"/>
    <w:rsid w:val="00A640F9"/>
    <w:rsid w:val="00A72A8D"/>
    <w:rsid w:val="00A80B1B"/>
    <w:rsid w:val="00A8491E"/>
    <w:rsid w:val="00A908A8"/>
    <w:rsid w:val="00A96FA1"/>
    <w:rsid w:val="00AA21FA"/>
    <w:rsid w:val="00AA3895"/>
    <w:rsid w:val="00AA3953"/>
    <w:rsid w:val="00AA6FA6"/>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7D8"/>
    <w:rsid w:val="00B40EB6"/>
    <w:rsid w:val="00B41553"/>
    <w:rsid w:val="00B42759"/>
    <w:rsid w:val="00B551E8"/>
    <w:rsid w:val="00B60A2A"/>
    <w:rsid w:val="00B612ED"/>
    <w:rsid w:val="00B63D76"/>
    <w:rsid w:val="00B645DF"/>
    <w:rsid w:val="00B64934"/>
    <w:rsid w:val="00B654B0"/>
    <w:rsid w:val="00B674B9"/>
    <w:rsid w:val="00B72B93"/>
    <w:rsid w:val="00B744E9"/>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AD3"/>
    <w:rsid w:val="00BD44C0"/>
    <w:rsid w:val="00BE6449"/>
    <w:rsid w:val="00BE703A"/>
    <w:rsid w:val="00BE76FC"/>
    <w:rsid w:val="00BE7FAB"/>
    <w:rsid w:val="00BF0020"/>
    <w:rsid w:val="00BF6564"/>
    <w:rsid w:val="00C0084F"/>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4D6B"/>
    <w:rsid w:val="00C25E4B"/>
    <w:rsid w:val="00C261D5"/>
    <w:rsid w:val="00C44FC0"/>
    <w:rsid w:val="00C45881"/>
    <w:rsid w:val="00C508DB"/>
    <w:rsid w:val="00C51850"/>
    <w:rsid w:val="00C57A73"/>
    <w:rsid w:val="00C57FB5"/>
    <w:rsid w:val="00C631D3"/>
    <w:rsid w:val="00C63338"/>
    <w:rsid w:val="00C65E62"/>
    <w:rsid w:val="00C67085"/>
    <w:rsid w:val="00C702D5"/>
    <w:rsid w:val="00C85D3A"/>
    <w:rsid w:val="00C86696"/>
    <w:rsid w:val="00C90DEF"/>
    <w:rsid w:val="00C932F4"/>
    <w:rsid w:val="00C9542C"/>
    <w:rsid w:val="00CA03F3"/>
    <w:rsid w:val="00CA05AB"/>
    <w:rsid w:val="00CA0A66"/>
    <w:rsid w:val="00CA3435"/>
    <w:rsid w:val="00CA5CC7"/>
    <w:rsid w:val="00CA7BC9"/>
    <w:rsid w:val="00CB1AC8"/>
    <w:rsid w:val="00CB4944"/>
    <w:rsid w:val="00CC0C28"/>
    <w:rsid w:val="00CC0F46"/>
    <w:rsid w:val="00CC22F9"/>
    <w:rsid w:val="00CC514A"/>
    <w:rsid w:val="00CD2BC8"/>
    <w:rsid w:val="00CD34E7"/>
    <w:rsid w:val="00CD3CD0"/>
    <w:rsid w:val="00CD481A"/>
    <w:rsid w:val="00CD4F9C"/>
    <w:rsid w:val="00CE061A"/>
    <w:rsid w:val="00D11A91"/>
    <w:rsid w:val="00D15341"/>
    <w:rsid w:val="00D16397"/>
    <w:rsid w:val="00D2050E"/>
    <w:rsid w:val="00D236BB"/>
    <w:rsid w:val="00D32002"/>
    <w:rsid w:val="00D33C90"/>
    <w:rsid w:val="00D362E5"/>
    <w:rsid w:val="00D3640B"/>
    <w:rsid w:val="00D37060"/>
    <w:rsid w:val="00D370FD"/>
    <w:rsid w:val="00D4602E"/>
    <w:rsid w:val="00D62543"/>
    <w:rsid w:val="00D71AB4"/>
    <w:rsid w:val="00D7529B"/>
    <w:rsid w:val="00D84973"/>
    <w:rsid w:val="00D84E72"/>
    <w:rsid w:val="00D8676D"/>
    <w:rsid w:val="00D92012"/>
    <w:rsid w:val="00D96170"/>
    <w:rsid w:val="00DA4E3F"/>
    <w:rsid w:val="00DA5ED7"/>
    <w:rsid w:val="00DB0903"/>
    <w:rsid w:val="00DB3F40"/>
    <w:rsid w:val="00DB59A4"/>
    <w:rsid w:val="00DC63BC"/>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62CDE"/>
    <w:rsid w:val="00E71F6C"/>
    <w:rsid w:val="00E863C0"/>
    <w:rsid w:val="00E92503"/>
    <w:rsid w:val="00E934BE"/>
    <w:rsid w:val="00E94AC6"/>
    <w:rsid w:val="00EA05DE"/>
    <w:rsid w:val="00EB2301"/>
    <w:rsid w:val="00EB290A"/>
    <w:rsid w:val="00EB4C15"/>
    <w:rsid w:val="00EB5B4F"/>
    <w:rsid w:val="00EB6C05"/>
    <w:rsid w:val="00EC04C6"/>
    <w:rsid w:val="00ED6CB0"/>
    <w:rsid w:val="00EF382C"/>
    <w:rsid w:val="00EF7630"/>
    <w:rsid w:val="00F01A56"/>
    <w:rsid w:val="00F03B0C"/>
    <w:rsid w:val="00F06E6B"/>
    <w:rsid w:val="00F0751C"/>
    <w:rsid w:val="00F111FA"/>
    <w:rsid w:val="00F112FE"/>
    <w:rsid w:val="00F11D6C"/>
    <w:rsid w:val="00F12B64"/>
    <w:rsid w:val="00F12CA3"/>
    <w:rsid w:val="00F24A21"/>
    <w:rsid w:val="00F266FD"/>
    <w:rsid w:val="00F318C2"/>
    <w:rsid w:val="00F32A9B"/>
    <w:rsid w:val="00F334D6"/>
    <w:rsid w:val="00F34883"/>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0D27B781"/>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8CF91-BD68-4AA3-A968-87062E35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3552</TotalTime>
  <Pages>31</Pages>
  <Words>7909</Words>
  <Characters>45084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496</cp:revision>
  <dcterms:created xsi:type="dcterms:W3CDTF">2020-01-18T20:23:00Z</dcterms:created>
  <dcterms:modified xsi:type="dcterms:W3CDTF">2020-09-18T22:26:00Z</dcterms:modified>
</cp:coreProperties>
</file>