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75291" w:rsidRDefault="00175291" w:rsidP="001A6417">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sidRPr="00175291">
        <w:rPr>
          <w:rFonts w:ascii="Times New Roman" w:eastAsia="Calibri" w:hAnsi="Times New Roman" w:cs="Times New Roman"/>
          <w:iCs/>
          <w:sz w:val="24"/>
          <w:szCs w:val="24"/>
        </w:rPr>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DF0C30"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examines</w:t>
      </w:r>
      <w:r w:rsidR="00A640F9">
        <w:rPr>
          <w:rFonts w:ascii="Times New Roman" w:eastAsia="Calibri" w:hAnsi="Times New Roman" w:cs="Times New Roman"/>
          <w:iCs/>
          <w:sz w:val="24"/>
          <w:szCs w:val="24"/>
        </w:rPr>
        <w:t xml:space="preserve"> the question of why </w:t>
      </w:r>
      <w:r>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Pr>
          <w:rFonts w:ascii="Times New Roman" w:eastAsia="Calibri" w:hAnsi="Times New Roman" w:cs="Times New Roman"/>
          <w:iCs/>
          <w:sz w:val="24"/>
          <w:szCs w:val="24"/>
        </w:rPr>
        <w:t>The author refers to such ideas as “</w:t>
      </w:r>
      <w:proofErr w:type="spellStart"/>
      <w:r>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characteristic of matter in which a molecule behaves like a liquid in one co</w:t>
      </w:r>
      <w:bookmarkStart w:id="3" w:name="_GoBack"/>
      <w:bookmarkEnd w:id="3"/>
      <w:r w:rsidR="001761A4">
        <w:rPr>
          <w:rFonts w:ascii="Times New Roman" w:eastAsia="Calibri" w:hAnsi="Times New Roman" w:cs="Times New Roman"/>
          <w:iCs/>
          <w:sz w:val="24"/>
          <w:szCs w:val="24"/>
        </w:rPr>
        <w:t xml:space="preserve">ntext and a solid in another.  The simple example is water which is liquid at temperatures above 32 degrees Fahrenheit and a solid below this temperature.  Both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which politics will set in and it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w:t>
      </w:r>
      <w:r w:rsidR="00EC04C6">
        <w:rPr>
          <w:rFonts w:ascii="Times New Roman" w:eastAsia="Calibri" w:hAnsi="Times New Roman" w:cs="Times New Roman"/>
          <w:iCs/>
          <w:sz w:val="24"/>
          <w:szCs w:val="24"/>
        </w:rPr>
        <w:lastRenderedPageBreak/>
        <w:t>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and 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which is essentially 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lastRenderedPageBreak/>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xml:space="preserve">) Core Collection as the bibliographic database.  This review was more comprehensive than previous bibliometric studies of technology transfer which tend to focus on specific areas of research interests, a more limited number of publications, or shorter periods </w:t>
      </w:r>
      <w:r>
        <w:rPr>
          <w:rFonts w:ascii="Times New Roman" w:eastAsia="Calibri" w:hAnsi="Times New Roman" w:cs="Times New Roman"/>
          <w:iCs/>
          <w:sz w:val="24"/>
          <w:szCs w:val="24"/>
        </w:rPr>
        <w:lastRenderedPageBreak/>
        <w:t>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lastRenderedPageBreak/>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w:t>
      </w:r>
      <w:r w:rsidR="007F1BA4">
        <w:rPr>
          <w:rFonts w:ascii="Times New Roman" w:eastAsia="Calibri" w:hAnsi="Times New Roman" w:cs="Times New Roman"/>
          <w:iCs/>
          <w:sz w:val="24"/>
          <w:szCs w:val="24"/>
        </w:rPr>
        <w:lastRenderedPageBreak/>
        <w:t xml:space="preserve">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w:t>
      </w:r>
      <w:r>
        <w:rPr>
          <w:rFonts w:ascii="Times New Roman" w:eastAsia="Calibri" w:hAnsi="Times New Roman" w:cs="Times New Roman"/>
          <w:iCs/>
          <w:sz w:val="24"/>
          <w:szCs w:val="24"/>
        </w:rPr>
        <w:lastRenderedPageBreak/>
        <w:t>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w:t>
      </w:r>
      <w:r w:rsidR="00467989">
        <w:rPr>
          <w:rFonts w:ascii="Times New Roman" w:eastAsia="Calibri" w:hAnsi="Times New Roman" w:cs="Times New Roman"/>
          <w:iCs/>
          <w:sz w:val="24"/>
          <w:szCs w:val="24"/>
        </w:rPr>
        <w:lastRenderedPageBreak/>
        <w:t xml:space="preserve">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w:t>
      </w:r>
      <w:r w:rsidR="002E7A5B">
        <w:rPr>
          <w:rFonts w:ascii="Times New Roman" w:eastAsia="Calibri" w:hAnsi="Times New Roman" w:cs="Times New Roman"/>
          <w:iCs/>
          <w:sz w:val="24"/>
          <w:szCs w:val="24"/>
        </w:rPr>
        <w:lastRenderedPageBreak/>
        <w:t>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lastRenderedPageBreak/>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lastRenderedPageBreak/>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development.  Moreover, he offers the opinion that funding at TRL-4 and greater 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w:t>
      </w:r>
      <w:r w:rsidR="00123DFD">
        <w:rPr>
          <w:rFonts w:ascii="Times New Roman" w:eastAsia="Calibri" w:hAnsi="Times New Roman" w:cs="Times New Roman"/>
          <w:iCs/>
          <w:sz w:val="24"/>
          <w:szCs w:val="24"/>
        </w:rPr>
        <w:lastRenderedPageBreak/>
        <w:t>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w:t>
      </w:r>
      <w:r w:rsidR="00463417">
        <w:rPr>
          <w:rFonts w:ascii="Times New Roman" w:eastAsia="Calibri" w:hAnsi="Times New Roman" w:cs="Times New Roman"/>
          <w:iCs/>
          <w:sz w:val="24"/>
          <w:szCs w:val="24"/>
        </w:rPr>
        <w:lastRenderedPageBreak/>
        <w:t>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lastRenderedPageBreak/>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w:t>
      </w:r>
      <w:r w:rsidR="008635A2">
        <w:rPr>
          <w:rFonts w:ascii="Times New Roman" w:eastAsia="Calibri" w:hAnsi="Times New Roman" w:cs="Times New Roman"/>
          <w:iCs/>
          <w:sz w:val="24"/>
          <w:szCs w:val="24"/>
        </w:rPr>
        <w:lastRenderedPageBreak/>
        <w:t xml:space="preserve">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lastRenderedPageBreak/>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lastRenderedPageBreak/>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w:t>
      </w:r>
      <w:r w:rsidR="000A67F9">
        <w:rPr>
          <w:rFonts w:ascii="Times New Roman" w:eastAsia="Calibri" w:hAnsi="Times New Roman" w:cs="Times New Roman"/>
          <w:iCs/>
          <w:sz w:val="24"/>
          <w:szCs w:val="24"/>
        </w:rPr>
        <w:lastRenderedPageBreak/>
        <w:t xml:space="preserve">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Pr="00BD33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w:t>
      </w:r>
      <w:r w:rsidR="00F82A4A">
        <w:rPr>
          <w:rFonts w:ascii="Times New Roman" w:hAnsi="Times New Roman" w:cs="Times New Roman"/>
          <w:sz w:val="24"/>
        </w:rPr>
        <w:lastRenderedPageBreak/>
        <w:t>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sectPr w:rsidR="00BE703A"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EC04C6">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3D3287">
      <w:rPr>
        <w:rFonts w:ascii="Times New Roman" w:hAnsi="Times New Roman" w:cs="Times New Roman"/>
        <w:noProof/>
        <w:sz w:val="24"/>
      </w:rPr>
      <w:t>21</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616D"/>
    <w:rsid w:val="00087C61"/>
    <w:rsid w:val="00087E56"/>
    <w:rsid w:val="000A5EFC"/>
    <w:rsid w:val="000A67F9"/>
    <w:rsid w:val="000B0C27"/>
    <w:rsid w:val="000B14CD"/>
    <w:rsid w:val="000B4D21"/>
    <w:rsid w:val="000B57C9"/>
    <w:rsid w:val="000B5C5B"/>
    <w:rsid w:val="000C22CD"/>
    <w:rsid w:val="000D2CCD"/>
    <w:rsid w:val="000D6109"/>
    <w:rsid w:val="000E077A"/>
    <w:rsid w:val="000F5784"/>
    <w:rsid w:val="000F580C"/>
    <w:rsid w:val="000F7087"/>
    <w:rsid w:val="00100BD6"/>
    <w:rsid w:val="00102281"/>
    <w:rsid w:val="00105599"/>
    <w:rsid w:val="001163AE"/>
    <w:rsid w:val="00120E99"/>
    <w:rsid w:val="00122D76"/>
    <w:rsid w:val="0012352C"/>
    <w:rsid w:val="00123DFD"/>
    <w:rsid w:val="0014711A"/>
    <w:rsid w:val="0015256B"/>
    <w:rsid w:val="001531FC"/>
    <w:rsid w:val="001558FA"/>
    <w:rsid w:val="00165B2E"/>
    <w:rsid w:val="00175291"/>
    <w:rsid w:val="001761A4"/>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A06AD"/>
    <w:rsid w:val="002A1326"/>
    <w:rsid w:val="002A1B1D"/>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42D44"/>
    <w:rsid w:val="0035047A"/>
    <w:rsid w:val="0035311F"/>
    <w:rsid w:val="00357BE9"/>
    <w:rsid w:val="003757B8"/>
    <w:rsid w:val="00381F13"/>
    <w:rsid w:val="00385698"/>
    <w:rsid w:val="00385918"/>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C151D"/>
    <w:rsid w:val="004C29E6"/>
    <w:rsid w:val="004C3538"/>
    <w:rsid w:val="004C5EBC"/>
    <w:rsid w:val="004D3030"/>
    <w:rsid w:val="004D3AE3"/>
    <w:rsid w:val="004D695B"/>
    <w:rsid w:val="004E4C01"/>
    <w:rsid w:val="00503501"/>
    <w:rsid w:val="00506F24"/>
    <w:rsid w:val="005120C0"/>
    <w:rsid w:val="0051298E"/>
    <w:rsid w:val="00515F50"/>
    <w:rsid w:val="005174C2"/>
    <w:rsid w:val="00530DE9"/>
    <w:rsid w:val="0053653F"/>
    <w:rsid w:val="00536942"/>
    <w:rsid w:val="005414C2"/>
    <w:rsid w:val="00542091"/>
    <w:rsid w:val="00547E68"/>
    <w:rsid w:val="00557CA3"/>
    <w:rsid w:val="00572BCC"/>
    <w:rsid w:val="0057729D"/>
    <w:rsid w:val="005805B7"/>
    <w:rsid w:val="005806F4"/>
    <w:rsid w:val="0058184C"/>
    <w:rsid w:val="00586218"/>
    <w:rsid w:val="005A3032"/>
    <w:rsid w:val="005A3831"/>
    <w:rsid w:val="005A60DB"/>
    <w:rsid w:val="005A6745"/>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3CAA"/>
    <w:rsid w:val="00686DFD"/>
    <w:rsid w:val="00691608"/>
    <w:rsid w:val="00693004"/>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7F51"/>
    <w:rsid w:val="00722951"/>
    <w:rsid w:val="007231A1"/>
    <w:rsid w:val="007309D9"/>
    <w:rsid w:val="00730FC2"/>
    <w:rsid w:val="0073308D"/>
    <w:rsid w:val="00734FD9"/>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35A2"/>
    <w:rsid w:val="008667D4"/>
    <w:rsid w:val="00872635"/>
    <w:rsid w:val="00873C0F"/>
    <w:rsid w:val="00875567"/>
    <w:rsid w:val="0088199A"/>
    <w:rsid w:val="00891BE2"/>
    <w:rsid w:val="008A76AB"/>
    <w:rsid w:val="008B22E2"/>
    <w:rsid w:val="008B6884"/>
    <w:rsid w:val="008C1ECC"/>
    <w:rsid w:val="008D18BD"/>
    <w:rsid w:val="008D25E4"/>
    <w:rsid w:val="008D52A9"/>
    <w:rsid w:val="008E4256"/>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DBC"/>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271AE"/>
    <w:rsid w:val="00A40816"/>
    <w:rsid w:val="00A41A1E"/>
    <w:rsid w:val="00A45902"/>
    <w:rsid w:val="00A479D8"/>
    <w:rsid w:val="00A566D5"/>
    <w:rsid w:val="00A60329"/>
    <w:rsid w:val="00A60EC9"/>
    <w:rsid w:val="00A61DD3"/>
    <w:rsid w:val="00A640F9"/>
    <w:rsid w:val="00A72A8D"/>
    <w:rsid w:val="00A80B1B"/>
    <w:rsid w:val="00A8491E"/>
    <w:rsid w:val="00A908A8"/>
    <w:rsid w:val="00A96FA1"/>
    <w:rsid w:val="00AA3895"/>
    <w:rsid w:val="00AA3953"/>
    <w:rsid w:val="00AA6FA6"/>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12ED"/>
    <w:rsid w:val="00B63D76"/>
    <w:rsid w:val="00B645DF"/>
    <w:rsid w:val="00B64934"/>
    <w:rsid w:val="00B654B0"/>
    <w:rsid w:val="00B72B93"/>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57FB5"/>
    <w:rsid w:val="00C631D3"/>
    <w:rsid w:val="00C63338"/>
    <w:rsid w:val="00C65E62"/>
    <w:rsid w:val="00C67085"/>
    <w:rsid w:val="00C702D5"/>
    <w:rsid w:val="00C86696"/>
    <w:rsid w:val="00C932F4"/>
    <w:rsid w:val="00C9542C"/>
    <w:rsid w:val="00CA03F3"/>
    <w:rsid w:val="00CA05AB"/>
    <w:rsid w:val="00CA0A66"/>
    <w:rsid w:val="00CA3435"/>
    <w:rsid w:val="00CA5CC7"/>
    <w:rsid w:val="00CA7BC9"/>
    <w:rsid w:val="00CB1AC8"/>
    <w:rsid w:val="00CB4944"/>
    <w:rsid w:val="00CC0C28"/>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1AB4"/>
    <w:rsid w:val="00D7529B"/>
    <w:rsid w:val="00D84973"/>
    <w:rsid w:val="00D84E72"/>
    <w:rsid w:val="00D8676D"/>
    <w:rsid w:val="00D92012"/>
    <w:rsid w:val="00D96170"/>
    <w:rsid w:val="00DA4E3F"/>
    <w:rsid w:val="00DA5ED7"/>
    <w:rsid w:val="00DB0903"/>
    <w:rsid w:val="00DB3F40"/>
    <w:rsid w:val="00DB59A4"/>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94AC6"/>
    <w:rsid w:val="00EA05DE"/>
    <w:rsid w:val="00EB2301"/>
    <w:rsid w:val="00EB290A"/>
    <w:rsid w:val="00EB4C15"/>
    <w:rsid w:val="00EB5B4F"/>
    <w:rsid w:val="00EB6C05"/>
    <w:rsid w:val="00EC04C6"/>
    <w:rsid w:val="00ED6CB0"/>
    <w:rsid w:val="00EF382C"/>
    <w:rsid w:val="00EF7630"/>
    <w:rsid w:val="00F01A56"/>
    <w:rsid w:val="00F03B0C"/>
    <w:rsid w:val="00F06E6B"/>
    <w:rsid w:val="00F0751C"/>
    <w:rsid w:val="00F111FA"/>
    <w:rsid w:val="00F112FE"/>
    <w:rsid w:val="00F11D6C"/>
    <w:rsid w:val="00F12B64"/>
    <w:rsid w:val="00F12CA3"/>
    <w:rsid w:val="00F24A21"/>
    <w:rsid w:val="00F266FD"/>
    <w:rsid w:val="00F318C2"/>
    <w:rsid w:val="00F32A9B"/>
    <w:rsid w:val="00F334D6"/>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EC5C0AA"/>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7498A-C889-46DA-9126-AF32ED44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25</Pages>
  <Words>6271</Words>
  <Characters>35747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460</cp:revision>
  <dcterms:created xsi:type="dcterms:W3CDTF">2020-01-18T20:23:00Z</dcterms:created>
  <dcterms:modified xsi:type="dcterms:W3CDTF">2020-09-15T21:00:00Z</dcterms:modified>
</cp:coreProperties>
</file>