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 Investigating the Influence</w:t>
      </w:r>
      <w:r w:rsidRPr="00E562EE">
        <w:rPr>
          <w:rFonts w:ascii="Times New Roman" w:eastAsia="Calibri" w:hAnsi="Times New Roman" w:cs="Times New Roman"/>
          <w:sz w:val="24"/>
          <w:szCs w:val="24"/>
        </w:rPr>
        <w:t xml:space="preserve"> of Development Stage in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Pr>
          <w:rFonts w:ascii="Times New Roman" w:eastAsia="Calibri" w:hAnsi="Times New Roman" w:cs="Times New Roman"/>
          <w:sz w:val="24"/>
          <w:szCs w:val="24"/>
        </w:rPr>
        <w:t xml:space="preserve"> of development stage in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485347" w:rsidRDefault="00485347" w:rsidP="00E562EE">
      <w:pPr>
        <w:spacing w:line="480" w:lineRule="auto"/>
        <w:ind w:left="720" w:hanging="720"/>
        <w:rPr>
          <w:rFonts w:ascii="Times New Roman" w:eastAsia="Calibri" w:hAnsi="Times New Roman" w:cs="Times New Roman"/>
          <w:iCs/>
          <w:sz w:val="24"/>
          <w:szCs w:val="24"/>
        </w:rPr>
      </w:pPr>
      <w:bookmarkStart w:id="0" w:name="BookBarriers1992"/>
      <w:bookmarkStart w:id="1" w:name="PaperArshadi2008"/>
      <w:bookmarkStart w:id="2" w:name="PaperAnatan2015"/>
      <w:bookmarkEnd w:id="0"/>
      <w:bookmarkEnd w:id="1"/>
      <w:bookmarkEnd w:id="2"/>
      <w:proofErr w:type="spellStart"/>
      <w:r w:rsidRPr="00485347">
        <w:rPr>
          <w:rFonts w:ascii="Times New Roman" w:eastAsia="Calibri" w:hAnsi="Times New Roman" w:cs="Times New Roman"/>
          <w:iCs/>
          <w:sz w:val="24"/>
          <w:szCs w:val="24"/>
        </w:rPr>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lastRenderedPageBreak/>
        <w:t>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has focused on understanding the factors that influence 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a</w:t>
      </w:r>
      <w:r w:rsidR="00AC35CC">
        <w:rPr>
          <w:rFonts w:ascii="Times New Roman" w:eastAsia="Calibri" w:hAnsi="Times New Roman" w:cs="Times New Roman"/>
          <w:iCs/>
          <w:sz w:val="24"/>
          <w:szCs w:val="24"/>
        </w:rPr>
        <w:t xml:space="preserve">bsorptive capacity in the context of university technology transfer has not been studied.  </w:t>
      </w:r>
      <w:r w:rsidR="002F0D4D">
        <w:rPr>
          <w:rFonts w:ascii="Times New Roman" w:eastAsia="Calibri" w:hAnsi="Times New Roman" w:cs="Times New Roman"/>
          <w:iCs/>
          <w:sz w:val="24"/>
          <w:szCs w:val="24"/>
        </w:rPr>
        <w:t xml:space="preserve">Moreover, the research on absorptive capacity does not appear to address why a firm chooses to assimilate and apply one technology and not assimilate and apply other technologies.  </w:t>
      </w:r>
      <w:r w:rsidR="00AC35CC">
        <w:rPr>
          <w:rFonts w:ascii="Times New Roman" w:eastAsia="Calibri" w:hAnsi="Times New Roman" w:cs="Times New Roman"/>
          <w:iCs/>
          <w:sz w:val="24"/>
          <w:szCs w:val="24"/>
        </w:rPr>
        <w:t>This suggests a clear gap in the literature that the proposed dissertation study can fill.</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proofErr w:type="gramStart"/>
      <w:r w:rsidR="00A80B1B">
        <w:rPr>
          <w:rFonts w:ascii="Times New Roman" w:eastAsia="Calibri" w:hAnsi="Times New Roman" w:cs="Times New Roman"/>
          <w:iCs/>
          <w:sz w:val="24"/>
          <w:szCs w:val="24"/>
        </w:rPr>
        <w:t>with regard to</w:t>
      </w:r>
      <w:proofErr w:type="gramEnd"/>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w:t>
      </w:r>
      <w:r>
        <w:rPr>
          <w:rFonts w:ascii="Times New Roman" w:eastAsia="Calibri" w:hAnsi="Times New Roman" w:cs="Times New Roman"/>
          <w:iCs/>
          <w:sz w:val="24"/>
          <w:szCs w:val="24"/>
        </w:rPr>
        <w:lastRenderedPageBreak/>
        <w:t>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w:t>
      </w:r>
      <w:r w:rsidR="000034E5">
        <w:rPr>
          <w:rFonts w:ascii="Times New Roman" w:eastAsia="Calibri" w:hAnsi="Times New Roman" w:cs="Times New Roman"/>
          <w:iCs/>
          <w:sz w:val="24"/>
          <w:szCs w:val="24"/>
        </w:rPr>
        <w:lastRenderedPageBreak/>
        <w:t xml:space="preserve">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sufficiently explain the 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w:t>
      </w:r>
      <w:r w:rsidR="00467989">
        <w:rPr>
          <w:rFonts w:ascii="Times New Roman" w:eastAsia="Calibri" w:hAnsi="Times New Roman" w:cs="Times New Roman"/>
          <w:iCs/>
          <w:sz w:val="24"/>
          <w:szCs w:val="24"/>
        </w:rPr>
        <w:lastRenderedPageBreak/>
        <w:t xml:space="preserve">theory would predict that there is a low rate of technology transfer from universities to private sector organizations because the private sector organizations apply decision rationality which decreases motivation and commitment to act on opportunities to acquire technologies created by research and development conduct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is the fourth edition of Hatch (1997).  The content of Part I and Part II are largely the same as the first edition but has been re-structured to provide additional clarity about the different perspectives applied to organization theory.  </w:t>
      </w:r>
      <w:r w:rsidR="00177D82">
        <w:rPr>
          <w:rFonts w:ascii="Times New Roman" w:eastAsia="Calibri" w:hAnsi="Times New Roman" w:cs="Times New Roman"/>
          <w:iCs/>
          <w:sz w:val="24"/>
          <w:szCs w:val="24"/>
        </w:rPr>
        <w:t xml:space="preserve">This edition provides significantly more clarity about the postmodern approach to organizational studies than the first edition.  </w:t>
      </w:r>
      <w:r>
        <w:rPr>
          <w:rFonts w:ascii="Times New Roman" w:eastAsia="Calibri" w:hAnsi="Times New Roman" w:cs="Times New Roman"/>
          <w:iCs/>
          <w:sz w:val="24"/>
          <w:szCs w:val="24"/>
        </w:rPr>
        <w:t xml:space="preserve">A glossary has also been added.  The difference between Part III of the two editions is extensive.  Hatch (1997) identifies four major research themes in organization theory comprising organizational decision making, power, and politics; conflict and contradiction; control and ideology; and organizational change and learning.  This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E7A5B">
        <w:rPr>
          <w:rFonts w:ascii="Times New Roman" w:eastAsia="Calibri" w:hAnsi="Times New Roman" w:cs="Times New Roman"/>
          <w:iCs/>
          <w:sz w:val="24"/>
          <w:szCs w:val="24"/>
        </w:rPr>
        <w:t>Hatch also discusses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w:t>
      </w:r>
      <w:r w:rsidR="002E7A5B">
        <w:rPr>
          <w:rFonts w:ascii="Times New Roman" w:eastAsia="Calibri" w:hAnsi="Times New Roman" w:cs="Times New Roman"/>
          <w:iCs/>
          <w:sz w:val="24"/>
          <w:szCs w:val="24"/>
        </w:rPr>
        <w:lastRenderedPageBreak/>
        <w:t>influence whether an organization chooses to pursue the acquisition of a given technology.</w:t>
      </w:r>
      <w:r w:rsidR="0002471B">
        <w:rPr>
          <w:rFonts w:ascii="Times New Roman" w:eastAsia="Calibri" w:hAnsi="Times New Roman" w:cs="Times New Roman"/>
          <w:iCs/>
          <w:sz w:val="24"/>
          <w:szCs w:val="24"/>
        </w:rPr>
        <w:t xml:space="preserve">   </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He appears to criticize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02471B" w:rsidRDefault="0002471B"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lastRenderedPageBreak/>
        <w:t>Mezias</w:t>
      </w:r>
      <w:proofErr w:type="spellEnd"/>
      <w:r>
        <w:rPr>
          <w:rFonts w:ascii="Times New Roman" w:eastAsia="Calibri" w:hAnsi="Times New Roman" w:cs="Times New Roman"/>
          <w:iCs/>
          <w:sz w:val="24"/>
          <w:szCs w:val="24"/>
        </w:rPr>
        <w:t xml:space="preserve">,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bookmarkStart w:id="3" w:name="_GoBack"/>
      <w:bookmarkEnd w:id="3"/>
    </w:p>
    <w:p w:rsidR="00B3559C" w:rsidRDefault="00B3559C"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discusses the effects of inaccurate and unreliable data on decision making in an organizational context.  In establishing the importance of the topic, the authors note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It’s reasonable to presume that these statistics would apply technology transfer projects as well.  The authors argue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w:t>
      </w:r>
      <w:proofErr w:type="gramStart"/>
      <w:r w:rsidR="00C57A73">
        <w:rPr>
          <w:rFonts w:ascii="Times New Roman" w:eastAsia="Calibri" w:hAnsi="Times New Roman" w:cs="Times New Roman"/>
          <w:iCs/>
          <w:sz w:val="24"/>
          <w:szCs w:val="24"/>
        </w:rPr>
        <w:t>According to</w:t>
      </w:r>
      <w:proofErr w:type="gramEnd"/>
      <w:r w:rsidR="00C57A73">
        <w:rPr>
          <w:rFonts w:ascii="Times New Roman" w:eastAsia="Calibri" w:hAnsi="Times New Roman" w:cs="Times New Roman"/>
          <w:iCs/>
          <w:sz w:val="24"/>
          <w:szCs w:val="24"/>
        </w:rPr>
        <w:t xml:space="preserve"> the authors, inaccurate and unreliable data are generated by inaccuracy of perceptions which is compounded by inaccurate predictions based on this 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in 1963 by R. M. </w:t>
      </w:r>
      <w:proofErr w:type="spellStart"/>
      <w:r w:rsidR="00C57A73">
        <w:rPr>
          <w:rFonts w:ascii="Times New Roman" w:eastAsia="Calibri" w:hAnsi="Times New Roman" w:cs="Times New Roman"/>
          <w:iCs/>
          <w:sz w:val="24"/>
          <w:szCs w:val="24"/>
        </w:rPr>
        <w:t>Cyert</w:t>
      </w:r>
      <w:proofErr w:type="spellEnd"/>
      <w:r w:rsidR="00C57A73">
        <w:rPr>
          <w:rFonts w:ascii="Times New Roman" w:eastAsia="Calibri" w:hAnsi="Times New Roman" w:cs="Times New Roman"/>
          <w:iCs/>
          <w:sz w:val="24"/>
          <w:szCs w:val="24"/>
        </w:rPr>
        <w:t xml:space="preserve"> and J. G. March noting that </w:t>
      </w:r>
      <w:r w:rsidR="00123DFD">
        <w:rPr>
          <w:rFonts w:ascii="Times New Roman" w:eastAsia="Calibri" w:hAnsi="Times New Roman" w:cs="Times New Roman"/>
          <w:iCs/>
          <w:sz w:val="24"/>
          <w:szCs w:val="24"/>
        </w:rPr>
        <w:t xml:space="preserve">few studies have examined how organizations go about avoiding uncertainty.  They suggested that the concept of uncertainty avoidance is predominantly employed as a property of culture.  The authors went on to argue that organizational members react to inaccuracy and unreliability in the decision-making process by seeking more data, ignoring </w:t>
      </w:r>
      <w:r w:rsidR="00123DFD">
        <w:rPr>
          <w:rFonts w:ascii="Times New Roman" w:eastAsia="Calibri" w:hAnsi="Times New Roman" w:cs="Times New Roman"/>
          <w:iCs/>
          <w:sz w:val="24"/>
          <w:szCs w:val="24"/>
        </w:rPr>
        <w:lastRenderedPageBreak/>
        <w:t>contingencies when making predictions, reverting to ideology, creating after the fact justifications for decisions, and pursuing general, long-term goals in an incremental manner.  These potential actions are all 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way to pursue uncertainty avoidance.</w:t>
      </w:r>
      <w:r w:rsidR="00586218">
        <w:rPr>
          <w:rFonts w:ascii="Times New Roman" w:eastAsia="Calibri" w:hAnsi="Times New Roman" w:cs="Times New Roman"/>
          <w:iCs/>
          <w:sz w:val="24"/>
          <w:szCs w:val="24"/>
        </w:rPr>
        <w:t xml:space="preserve">  </w:t>
      </w:r>
    </w:p>
    <w:p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rsidR="008310C7" w:rsidRDefault="008310C7"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article examines the use of technology transfer indicators developed and published by the Association of University Technology Managers (AUTM) in policymaking.  The authors specifically study the case of policymaking in Canada, but its findings are relevant to policymaking in the United States.  They argue 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Overreliance on the AUTM </w:t>
      </w:r>
      <w:r>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The AUTM indicators are widely used in Canada and the U.S. but they have several weaknesses.  </w:t>
      </w:r>
      <w:r w:rsidR="00DB3F40">
        <w:rPr>
          <w:rFonts w:ascii="Times New Roman" w:eastAsia="Calibri" w:hAnsi="Times New Roman" w:cs="Times New Roman"/>
          <w:iCs/>
          <w:sz w:val="24"/>
          <w:szCs w:val="24"/>
        </w:rPr>
        <w:t xml:space="preserve">AUTM </w:t>
      </w:r>
      <w:r>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 xml:space="preserve">Canadian and U.S. </w:t>
      </w:r>
      <w:r w:rsidR="00D92012">
        <w:rPr>
          <w:rFonts w:ascii="Times New Roman" w:eastAsia="Calibri" w:hAnsi="Times New Roman" w:cs="Times New Roman"/>
          <w:iCs/>
          <w:sz w:val="24"/>
          <w:szCs w:val="24"/>
        </w:rPr>
        <w:lastRenderedPageBreak/>
        <w:t>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Participation in the survey is inconsistent.  The survey collects voluntary self-reported data that is not independently verified or validated.  Reliance on the AUTM data requires assuming the respondents are accurately reporting unbiased data consistently among institutions.  Given that university technology transfer offices are historically under-resourced</w:t>
      </w:r>
      <w:r w:rsidR="00DB3F40">
        <w:rPr>
          <w:rFonts w:ascii="Times New Roman" w:eastAsia="Calibri" w:hAnsi="Times New Roman" w:cs="Times New Roman"/>
          <w:iCs/>
          <w:sz w:val="24"/>
          <w:szCs w:val="24"/>
        </w:rPr>
        <w:t>,</w:t>
      </w:r>
      <w:r w:rsidR="00D92012">
        <w:rPr>
          <w:rFonts w:ascii="Times New Roman" w:eastAsia="Calibri" w:hAnsi="Times New Roman" w:cs="Times New Roman"/>
          <w:iCs/>
          <w:sz w:val="24"/>
          <w:szCs w:val="24"/>
        </w:rPr>
        <w:t xml:space="preserve"> it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commercialized.  This source highlights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university technology transfer to better inform policymaking.</w:t>
      </w:r>
      <w:r w:rsidR="00CA5CC7">
        <w:rPr>
          <w:rFonts w:ascii="Times New Roman" w:eastAsia="Calibri" w:hAnsi="Times New Roman" w:cs="Times New Roman"/>
          <w:iCs/>
          <w:sz w:val="24"/>
          <w:szCs w:val="24"/>
        </w:rPr>
        <w:t xml:space="preserve">  It suggests that the proposed dissertation study helps to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FF142E"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source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w:t>
      </w:r>
      <w:r w:rsidR="00394958">
        <w:rPr>
          <w:rFonts w:ascii="Times New Roman" w:eastAsia="Calibri" w:hAnsi="Times New Roman" w:cs="Times New Roman"/>
          <w:iCs/>
          <w:sz w:val="24"/>
          <w:szCs w:val="24"/>
        </w:rPr>
        <w:lastRenderedPageBreak/>
        <w:t xml:space="preserve">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As with physical tasks, there is specialization regarding decisions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Simon’s critique of role theory and the idea that roles determine behavior, which he argues is too constraining in its original connotation of dramatic part.  Simon counters that a role specifies </w:t>
      </w:r>
      <w:r w:rsidR="00B13B16">
        <w:rPr>
          <w:rFonts w:ascii="Times New Roman" w:eastAsia="Calibri" w:hAnsi="Times New Roman" w:cs="Times New Roman"/>
          <w:iCs/>
          <w:sz w:val="24"/>
          <w:szCs w:val="24"/>
        </w:rPr>
        <w:lastRenderedPageBreak/>
        <w:t>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p>
    <w:p w:rsidR="008422AC" w:rsidRPr="00BD333A" w:rsidRDefault="008422AC" w:rsidP="00250EF2">
      <w:pPr>
        <w:tabs>
          <w:tab w:val="left" w:pos="1080"/>
        </w:tabs>
        <w:spacing w:line="480" w:lineRule="auto"/>
        <w:rPr>
          <w:rFonts w:ascii="Times New Roman" w:hAnsi="Times New Roman" w:cs="Times New Roman"/>
          <w:sz w:val="24"/>
        </w:rPr>
      </w:pPr>
    </w:p>
    <w:sectPr w:rsidR="008422A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2E7A5B">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983222">
      <w:rPr>
        <w:rFonts w:ascii="Times New Roman" w:hAnsi="Times New Roman" w:cs="Times New Roman"/>
        <w:noProof/>
        <w:sz w:val="24"/>
      </w:rPr>
      <w:t>10</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6E47"/>
    <w:rsid w:val="000071D3"/>
    <w:rsid w:val="0001146C"/>
    <w:rsid w:val="00013605"/>
    <w:rsid w:val="0002471B"/>
    <w:rsid w:val="000318EC"/>
    <w:rsid w:val="00034B41"/>
    <w:rsid w:val="000403AD"/>
    <w:rsid w:val="0004287B"/>
    <w:rsid w:val="00046A22"/>
    <w:rsid w:val="00056818"/>
    <w:rsid w:val="0006287E"/>
    <w:rsid w:val="00071B58"/>
    <w:rsid w:val="0007397B"/>
    <w:rsid w:val="00075170"/>
    <w:rsid w:val="00075220"/>
    <w:rsid w:val="00075426"/>
    <w:rsid w:val="00086045"/>
    <w:rsid w:val="00087C61"/>
    <w:rsid w:val="000A5EFC"/>
    <w:rsid w:val="000A67F9"/>
    <w:rsid w:val="000B0C27"/>
    <w:rsid w:val="000B14CD"/>
    <w:rsid w:val="000B4D21"/>
    <w:rsid w:val="000B5C5B"/>
    <w:rsid w:val="000C22CD"/>
    <w:rsid w:val="000D2CCD"/>
    <w:rsid w:val="000D6109"/>
    <w:rsid w:val="000E077A"/>
    <w:rsid w:val="000F7087"/>
    <w:rsid w:val="00100BD6"/>
    <w:rsid w:val="00102281"/>
    <w:rsid w:val="00105599"/>
    <w:rsid w:val="00120E99"/>
    <w:rsid w:val="00122D76"/>
    <w:rsid w:val="00123DFD"/>
    <w:rsid w:val="0014711A"/>
    <w:rsid w:val="0015256B"/>
    <w:rsid w:val="001531FC"/>
    <w:rsid w:val="001558FA"/>
    <w:rsid w:val="00165B2E"/>
    <w:rsid w:val="00177D82"/>
    <w:rsid w:val="0018738A"/>
    <w:rsid w:val="00191382"/>
    <w:rsid w:val="0019799F"/>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07C20"/>
    <w:rsid w:val="002146A5"/>
    <w:rsid w:val="002178F1"/>
    <w:rsid w:val="00222CAE"/>
    <w:rsid w:val="0022558E"/>
    <w:rsid w:val="00226213"/>
    <w:rsid w:val="00231C94"/>
    <w:rsid w:val="00236C0F"/>
    <w:rsid w:val="00241C37"/>
    <w:rsid w:val="00250EF2"/>
    <w:rsid w:val="00251B9E"/>
    <w:rsid w:val="00251F3A"/>
    <w:rsid w:val="00254384"/>
    <w:rsid w:val="00260609"/>
    <w:rsid w:val="00262055"/>
    <w:rsid w:val="00262EDA"/>
    <w:rsid w:val="00271AED"/>
    <w:rsid w:val="00281783"/>
    <w:rsid w:val="002826B5"/>
    <w:rsid w:val="002829D8"/>
    <w:rsid w:val="002855D1"/>
    <w:rsid w:val="0028566E"/>
    <w:rsid w:val="00293FAF"/>
    <w:rsid w:val="002A06AD"/>
    <w:rsid w:val="002A1326"/>
    <w:rsid w:val="002B7EED"/>
    <w:rsid w:val="002C36C8"/>
    <w:rsid w:val="002C6A1F"/>
    <w:rsid w:val="002D054F"/>
    <w:rsid w:val="002D0FA5"/>
    <w:rsid w:val="002D1182"/>
    <w:rsid w:val="002D3C99"/>
    <w:rsid w:val="002D3E18"/>
    <w:rsid w:val="002E1E96"/>
    <w:rsid w:val="002E7A5B"/>
    <w:rsid w:val="002F0D4D"/>
    <w:rsid w:val="002F380E"/>
    <w:rsid w:val="002F7143"/>
    <w:rsid w:val="00302659"/>
    <w:rsid w:val="00302A45"/>
    <w:rsid w:val="003139A4"/>
    <w:rsid w:val="00316959"/>
    <w:rsid w:val="00316EC1"/>
    <w:rsid w:val="003309DF"/>
    <w:rsid w:val="003346E8"/>
    <w:rsid w:val="00337FCA"/>
    <w:rsid w:val="0035047A"/>
    <w:rsid w:val="0035311F"/>
    <w:rsid w:val="00357BE9"/>
    <w:rsid w:val="00381F13"/>
    <w:rsid w:val="00385698"/>
    <w:rsid w:val="00385918"/>
    <w:rsid w:val="00394958"/>
    <w:rsid w:val="0039582C"/>
    <w:rsid w:val="003A0288"/>
    <w:rsid w:val="003A0888"/>
    <w:rsid w:val="003A15A0"/>
    <w:rsid w:val="003A3615"/>
    <w:rsid w:val="003B059A"/>
    <w:rsid w:val="003B71D7"/>
    <w:rsid w:val="003B746C"/>
    <w:rsid w:val="003C0698"/>
    <w:rsid w:val="003C1183"/>
    <w:rsid w:val="003D4345"/>
    <w:rsid w:val="003E0A93"/>
    <w:rsid w:val="003E0D32"/>
    <w:rsid w:val="003E0F60"/>
    <w:rsid w:val="003E1C60"/>
    <w:rsid w:val="003E2A8D"/>
    <w:rsid w:val="003E4215"/>
    <w:rsid w:val="003E7953"/>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70BF"/>
    <w:rsid w:val="00467989"/>
    <w:rsid w:val="00474A1E"/>
    <w:rsid w:val="0047590A"/>
    <w:rsid w:val="00485347"/>
    <w:rsid w:val="004A33E5"/>
    <w:rsid w:val="004A5A8A"/>
    <w:rsid w:val="004B39A0"/>
    <w:rsid w:val="004B5274"/>
    <w:rsid w:val="004C151D"/>
    <w:rsid w:val="004C29E6"/>
    <w:rsid w:val="004C3538"/>
    <w:rsid w:val="004C5EBC"/>
    <w:rsid w:val="004D3030"/>
    <w:rsid w:val="004D3AE3"/>
    <w:rsid w:val="004D695B"/>
    <w:rsid w:val="004E4C01"/>
    <w:rsid w:val="00506F24"/>
    <w:rsid w:val="005120C0"/>
    <w:rsid w:val="0051298E"/>
    <w:rsid w:val="00515F50"/>
    <w:rsid w:val="005174C2"/>
    <w:rsid w:val="00530DE9"/>
    <w:rsid w:val="0053653F"/>
    <w:rsid w:val="00536942"/>
    <w:rsid w:val="005414C2"/>
    <w:rsid w:val="00542091"/>
    <w:rsid w:val="00547E68"/>
    <w:rsid w:val="00557CA3"/>
    <w:rsid w:val="0057729D"/>
    <w:rsid w:val="005806F4"/>
    <w:rsid w:val="0058184C"/>
    <w:rsid w:val="00586218"/>
    <w:rsid w:val="005A3032"/>
    <w:rsid w:val="005A3831"/>
    <w:rsid w:val="005A60DB"/>
    <w:rsid w:val="005C11A2"/>
    <w:rsid w:val="005C4525"/>
    <w:rsid w:val="005D2958"/>
    <w:rsid w:val="005D321D"/>
    <w:rsid w:val="005D7DC0"/>
    <w:rsid w:val="005E1421"/>
    <w:rsid w:val="005E4CB2"/>
    <w:rsid w:val="00602A97"/>
    <w:rsid w:val="00607B20"/>
    <w:rsid w:val="00610543"/>
    <w:rsid w:val="00616A8F"/>
    <w:rsid w:val="00624136"/>
    <w:rsid w:val="00625984"/>
    <w:rsid w:val="006265BA"/>
    <w:rsid w:val="006301EE"/>
    <w:rsid w:val="00632260"/>
    <w:rsid w:val="00632BA6"/>
    <w:rsid w:val="00634E45"/>
    <w:rsid w:val="00654445"/>
    <w:rsid w:val="00655EB9"/>
    <w:rsid w:val="0066117E"/>
    <w:rsid w:val="006807E0"/>
    <w:rsid w:val="00686DFD"/>
    <w:rsid w:val="00691608"/>
    <w:rsid w:val="00693004"/>
    <w:rsid w:val="00697B17"/>
    <w:rsid w:val="006A0894"/>
    <w:rsid w:val="006A6A74"/>
    <w:rsid w:val="006A7297"/>
    <w:rsid w:val="006B2963"/>
    <w:rsid w:val="006C1009"/>
    <w:rsid w:val="006C10DC"/>
    <w:rsid w:val="006C1FD4"/>
    <w:rsid w:val="006C2952"/>
    <w:rsid w:val="006E3839"/>
    <w:rsid w:val="00701B5E"/>
    <w:rsid w:val="007034E8"/>
    <w:rsid w:val="00722951"/>
    <w:rsid w:val="007231A1"/>
    <w:rsid w:val="00730FC2"/>
    <w:rsid w:val="0073308D"/>
    <w:rsid w:val="0073676E"/>
    <w:rsid w:val="007442FC"/>
    <w:rsid w:val="00751955"/>
    <w:rsid w:val="007570ED"/>
    <w:rsid w:val="00766999"/>
    <w:rsid w:val="00772FAD"/>
    <w:rsid w:val="00773D38"/>
    <w:rsid w:val="00785606"/>
    <w:rsid w:val="00787DAF"/>
    <w:rsid w:val="0079105C"/>
    <w:rsid w:val="0079465D"/>
    <w:rsid w:val="00797687"/>
    <w:rsid w:val="007A335F"/>
    <w:rsid w:val="007A3CAD"/>
    <w:rsid w:val="007A7618"/>
    <w:rsid w:val="007B7346"/>
    <w:rsid w:val="007C3E02"/>
    <w:rsid w:val="007C4443"/>
    <w:rsid w:val="007E02BC"/>
    <w:rsid w:val="007E198F"/>
    <w:rsid w:val="007F47CF"/>
    <w:rsid w:val="00801620"/>
    <w:rsid w:val="0080267C"/>
    <w:rsid w:val="00804DB2"/>
    <w:rsid w:val="0080605C"/>
    <w:rsid w:val="0082696D"/>
    <w:rsid w:val="008310C7"/>
    <w:rsid w:val="00835E0C"/>
    <w:rsid w:val="008422AC"/>
    <w:rsid w:val="00843774"/>
    <w:rsid w:val="0085228B"/>
    <w:rsid w:val="00853665"/>
    <w:rsid w:val="00860123"/>
    <w:rsid w:val="008612A5"/>
    <w:rsid w:val="008667D4"/>
    <w:rsid w:val="00873C0F"/>
    <w:rsid w:val="00875567"/>
    <w:rsid w:val="0088199A"/>
    <w:rsid w:val="00891BE2"/>
    <w:rsid w:val="008A76AB"/>
    <w:rsid w:val="008B22E2"/>
    <w:rsid w:val="008B6884"/>
    <w:rsid w:val="008C1ECC"/>
    <w:rsid w:val="008D18BD"/>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911EC"/>
    <w:rsid w:val="009940FC"/>
    <w:rsid w:val="009969BA"/>
    <w:rsid w:val="009A151A"/>
    <w:rsid w:val="009A3595"/>
    <w:rsid w:val="009A3AEB"/>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41A1E"/>
    <w:rsid w:val="00A45902"/>
    <w:rsid w:val="00A479D8"/>
    <w:rsid w:val="00A566D5"/>
    <w:rsid w:val="00A60329"/>
    <w:rsid w:val="00A60EC9"/>
    <w:rsid w:val="00A61DD3"/>
    <w:rsid w:val="00A72A8D"/>
    <w:rsid w:val="00A80B1B"/>
    <w:rsid w:val="00A8491E"/>
    <w:rsid w:val="00A908A8"/>
    <w:rsid w:val="00A96FA1"/>
    <w:rsid w:val="00AA3953"/>
    <w:rsid w:val="00AA6FA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389B"/>
    <w:rsid w:val="00B041E1"/>
    <w:rsid w:val="00B13B16"/>
    <w:rsid w:val="00B16D23"/>
    <w:rsid w:val="00B24B63"/>
    <w:rsid w:val="00B31319"/>
    <w:rsid w:val="00B3559C"/>
    <w:rsid w:val="00B40EB6"/>
    <w:rsid w:val="00B41553"/>
    <w:rsid w:val="00B42759"/>
    <w:rsid w:val="00B551E8"/>
    <w:rsid w:val="00B612ED"/>
    <w:rsid w:val="00B63D76"/>
    <w:rsid w:val="00B645DF"/>
    <w:rsid w:val="00B654B0"/>
    <w:rsid w:val="00B72B93"/>
    <w:rsid w:val="00B7477F"/>
    <w:rsid w:val="00B75B9B"/>
    <w:rsid w:val="00B87089"/>
    <w:rsid w:val="00B925D6"/>
    <w:rsid w:val="00B92B1B"/>
    <w:rsid w:val="00BA46A2"/>
    <w:rsid w:val="00BA5D4C"/>
    <w:rsid w:val="00BA7A13"/>
    <w:rsid w:val="00BB59CE"/>
    <w:rsid w:val="00BC2CFF"/>
    <w:rsid w:val="00BC328F"/>
    <w:rsid w:val="00BC7652"/>
    <w:rsid w:val="00BD333A"/>
    <w:rsid w:val="00BD44C0"/>
    <w:rsid w:val="00BE6449"/>
    <w:rsid w:val="00BE76FC"/>
    <w:rsid w:val="00BE7FAB"/>
    <w:rsid w:val="00BF0020"/>
    <w:rsid w:val="00BF6564"/>
    <w:rsid w:val="00C00C3F"/>
    <w:rsid w:val="00C018D7"/>
    <w:rsid w:val="00C0252B"/>
    <w:rsid w:val="00C03A7E"/>
    <w:rsid w:val="00C07292"/>
    <w:rsid w:val="00C10C2B"/>
    <w:rsid w:val="00C10F24"/>
    <w:rsid w:val="00C12087"/>
    <w:rsid w:val="00C13E41"/>
    <w:rsid w:val="00C13F34"/>
    <w:rsid w:val="00C17B99"/>
    <w:rsid w:val="00C237AE"/>
    <w:rsid w:val="00C2453F"/>
    <w:rsid w:val="00C25E4B"/>
    <w:rsid w:val="00C261D5"/>
    <w:rsid w:val="00C44FC0"/>
    <w:rsid w:val="00C45881"/>
    <w:rsid w:val="00C508DB"/>
    <w:rsid w:val="00C51850"/>
    <w:rsid w:val="00C57A73"/>
    <w:rsid w:val="00C631D3"/>
    <w:rsid w:val="00C63338"/>
    <w:rsid w:val="00C65E62"/>
    <w:rsid w:val="00C67085"/>
    <w:rsid w:val="00C702D5"/>
    <w:rsid w:val="00C86696"/>
    <w:rsid w:val="00C932F4"/>
    <w:rsid w:val="00C9542C"/>
    <w:rsid w:val="00CA03F3"/>
    <w:rsid w:val="00CA05AB"/>
    <w:rsid w:val="00CA0A66"/>
    <w:rsid w:val="00CA3435"/>
    <w:rsid w:val="00CA5CC7"/>
    <w:rsid w:val="00CB1AC8"/>
    <w:rsid w:val="00CB4944"/>
    <w:rsid w:val="00CC0F46"/>
    <w:rsid w:val="00CC22F9"/>
    <w:rsid w:val="00CC514A"/>
    <w:rsid w:val="00CD2BC8"/>
    <w:rsid w:val="00CD34E7"/>
    <w:rsid w:val="00CD3CD0"/>
    <w:rsid w:val="00CD481A"/>
    <w:rsid w:val="00CD4F9C"/>
    <w:rsid w:val="00CE061A"/>
    <w:rsid w:val="00D15341"/>
    <w:rsid w:val="00D2050E"/>
    <w:rsid w:val="00D236BB"/>
    <w:rsid w:val="00D32002"/>
    <w:rsid w:val="00D33C90"/>
    <w:rsid w:val="00D362E5"/>
    <w:rsid w:val="00D3640B"/>
    <w:rsid w:val="00D370FD"/>
    <w:rsid w:val="00D7529B"/>
    <w:rsid w:val="00D84973"/>
    <w:rsid w:val="00D84E72"/>
    <w:rsid w:val="00D8676D"/>
    <w:rsid w:val="00D92012"/>
    <w:rsid w:val="00DA4E3F"/>
    <w:rsid w:val="00DA5ED7"/>
    <w:rsid w:val="00DB0903"/>
    <w:rsid w:val="00DB3F40"/>
    <w:rsid w:val="00DD3FC6"/>
    <w:rsid w:val="00DD47E2"/>
    <w:rsid w:val="00DD4B42"/>
    <w:rsid w:val="00DE66A1"/>
    <w:rsid w:val="00DF0A8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53807"/>
    <w:rsid w:val="00E562EE"/>
    <w:rsid w:val="00E60B42"/>
    <w:rsid w:val="00E71F6C"/>
    <w:rsid w:val="00E863C0"/>
    <w:rsid w:val="00E92503"/>
    <w:rsid w:val="00E934BE"/>
    <w:rsid w:val="00EA05DE"/>
    <w:rsid w:val="00EB2301"/>
    <w:rsid w:val="00EB290A"/>
    <w:rsid w:val="00EB4C15"/>
    <w:rsid w:val="00EB5B4F"/>
    <w:rsid w:val="00EB6C05"/>
    <w:rsid w:val="00ED6CB0"/>
    <w:rsid w:val="00EF382C"/>
    <w:rsid w:val="00EF7630"/>
    <w:rsid w:val="00F03B0C"/>
    <w:rsid w:val="00F06E6B"/>
    <w:rsid w:val="00F0751C"/>
    <w:rsid w:val="00F111FA"/>
    <w:rsid w:val="00F112FE"/>
    <w:rsid w:val="00F11D6C"/>
    <w:rsid w:val="00F24A21"/>
    <w:rsid w:val="00F266FD"/>
    <w:rsid w:val="00F318C2"/>
    <w:rsid w:val="00F32A9B"/>
    <w:rsid w:val="00F334D6"/>
    <w:rsid w:val="00F40377"/>
    <w:rsid w:val="00F43035"/>
    <w:rsid w:val="00F50CC8"/>
    <w:rsid w:val="00F51BB7"/>
    <w:rsid w:val="00F52D04"/>
    <w:rsid w:val="00F537F2"/>
    <w:rsid w:val="00F62A13"/>
    <w:rsid w:val="00F73069"/>
    <w:rsid w:val="00F82AD9"/>
    <w:rsid w:val="00F86EF1"/>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900E415"/>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DBA01-AA49-4DAD-BCC5-746DF3C86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2302</TotalTime>
  <Pages>14</Pages>
  <Words>3189</Words>
  <Characters>18182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401</cp:revision>
  <dcterms:created xsi:type="dcterms:W3CDTF">2020-01-18T20:23:00Z</dcterms:created>
  <dcterms:modified xsi:type="dcterms:W3CDTF">2020-08-27T02:02:00Z</dcterms:modified>
</cp:coreProperties>
</file>