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A6417" w:rsidRDefault="001A6417" w:rsidP="001A6417">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r>
        <w:rPr>
          <w:rFonts w:ascii="Times New Roman" w:eastAsia="Calibri" w:hAnsi="Times New Roman" w:cs="Times New Roman"/>
          <w:iCs/>
          <w:sz w:val="24"/>
          <w:szCs w:val="24"/>
        </w:rPr>
        <w:t xml:space="preserve">Balogun, J., Pye,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social processes.  Sensemaking and sensegiving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Sensemaking is the process of constructing and reconstructing meaning through which a group of individuals collectively create, maintain, and interpret their shared social reality.  Sensegiving is the process of trying to influence how others construct meaning towards one’s preferred meaning of social reality.  Sensemaking and sensegiving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sensemaking and sensegiving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bookmarkStart w:id="3" w:name="_GoBack"/>
      <w:bookmarkEnd w:id="3"/>
    </w:p>
    <w:p w:rsidR="00485347" w:rsidRDefault="00485347" w:rsidP="00E562EE">
      <w:pPr>
        <w:spacing w:line="480" w:lineRule="auto"/>
        <w:ind w:left="720" w:hanging="720"/>
        <w:rPr>
          <w:rFonts w:ascii="Times New Roman" w:eastAsia="Calibri" w:hAnsi="Times New Roman" w:cs="Times New Roman"/>
          <w:iCs/>
          <w:sz w:val="24"/>
          <w:szCs w:val="24"/>
        </w:rPr>
      </w:pPr>
      <w:r w:rsidRPr="00485347">
        <w:rPr>
          <w:rFonts w:ascii="Times New Roman" w:eastAsia="Calibri" w:hAnsi="Times New Roman" w:cs="Times New Roman"/>
          <w:iCs/>
          <w:sz w:val="24"/>
          <w:szCs w:val="24"/>
        </w:rPr>
        <w:lastRenderedPageBreak/>
        <w:t xml:space="preserve">Bengoa, A., Maseda, A., Iturralde, T., &amp; Aparicio,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(WoS)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 xml:space="preserve">has focused on understanding the factors that influence </w:t>
      </w:r>
      <w:r w:rsidR="00AC35CC">
        <w:rPr>
          <w:rFonts w:ascii="Times New Roman" w:eastAsia="Calibri" w:hAnsi="Times New Roman" w:cs="Times New Roman"/>
          <w:iCs/>
          <w:sz w:val="24"/>
          <w:szCs w:val="24"/>
        </w:rPr>
        <w:lastRenderedPageBreak/>
        <w:t>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This suggests a clear gap in the literature that the proposed dissertation study can fill.</w:t>
      </w:r>
    </w:p>
    <w:p w:rsidR="006D0C38" w:rsidRDefault="006D0C38"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Cyert,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w:t>
      </w:r>
      <w:r w:rsidR="007F1BA4">
        <w:rPr>
          <w:rFonts w:ascii="Times New Roman" w:eastAsia="Calibri" w:hAnsi="Times New Roman" w:cs="Times New Roman"/>
          <w:iCs/>
          <w:sz w:val="24"/>
          <w:szCs w:val="24"/>
        </w:rPr>
        <w:lastRenderedPageBreak/>
        <w:t xml:space="preserve">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w:t>
      </w:r>
      <w:r>
        <w:rPr>
          <w:rFonts w:ascii="Times New Roman" w:eastAsia="Calibri" w:hAnsi="Times New Roman" w:cs="Times New Roman"/>
          <w:iCs/>
          <w:sz w:val="24"/>
          <w:szCs w:val="24"/>
        </w:rPr>
        <w:lastRenderedPageBreak/>
        <w:t xml:space="preserve">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r w:rsidRPr="00506F24">
        <w:rPr>
          <w:rFonts w:ascii="Times New Roman" w:eastAsia="Calibri" w:hAnsi="Times New Roman" w:cs="Times New Roman"/>
          <w:iCs/>
          <w:sz w:val="24"/>
          <w:szCs w:val="24"/>
        </w:rPr>
        <w:t xml:space="preserve">Gertner,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The account that Gertner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r w:rsidR="00891BE2">
        <w:rPr>
          <w:rFonts w:ascii="Times New Roman" w:eastAsia="Calibri" w:hAnsi="Times New Roman" w:cs="Times New Roman"/>
          <w:iCs/>
          <w:sz w:val="24"/>
          <w:szCs w:val="24"/>
        </w:rPr>
        <w:t xml:space="preserve">Gertner references a paper that Bell Labs researcher Andrew Odlyzko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Odlyzko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w:t>
      </w:r>
      <w:r w:rsidR="00F86EF1">
        <w:rPr>
          <w:rFonts w:ascii="Times New Roman" w:eastAsia="Calibri" w:hAnsi="Times New Roman" w:cs="Times New Roman"/>
          <w:iCs/>
          <w:sz w:val="24"/>
          <w:szCs w:val="24"/>
        </w:rPr>
        <w:lastRenderedPageBreak/>
        <w:t>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Gertner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Tuden</w:t>
      </w:r>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Brunsson’s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w:t>
      </w:r>
      <w:r w:rsidR="006C10DC">
        <w:rPr>
          <w:rFonts w:ascii="Times New Roman" w:eastAsia="Calibri" w:hAnsi="Times New Roman" w:cs="Times New Roman"/>
          <w:iCs/>
          <w:sz w:val="24"/>
          <w:szCs w:val="24"/>
        </w:rPr>
        <w:lastRenderedPageBreak/>
        <w:t xml:space="preserve">basically argues that action, not decisions, are the primary concern of organization members.  Brunsson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Brunsson’s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w:t>
      </w:r>
      <w:r>
        <w:rPr>
          <w:rFonts w:ascii="Times New Roman" w:eastAsia="Calibri" w:hAnsi="Times New Roman" w:cs="Times New Roman"/>
          <w:iCs/>
          <w:sz w:val="24"/>
          <w:szCs w:val="24"/>
        </w:rPr>
        <w:lastRenderedPageBreak/>
        <w:t xml:space="preserve">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r w:rsidRPr="00CA3435">
        <w:rPr>
          <w:rFonts w:ascii="Times New Roman" w:eastAsia="Calibri" w:hAnsi="Times New Roman" w:cs="Times New Roman"/>
          <w:iCs/>
          <w:sz w:val="24"/>
          <w:szCs w:val="24"/>
        </w:rPr>
        <w:t xml:space="preserve">Luhmann,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Baecker</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r w:rsidR="00BA46A2">
        <w:rPr>
          <w:rFonts w:ascii="Times New Roman" w:eastAsia="Calibri" w:hAnsi="Times New Roman" w:cs="Times New Roman"/>
          <w:iCs/>
          <w:sz w:val="24"/>
          <w:szCs w:val="24"/>
        </w:rPr>
        <w:t>Luhmann</w:t>
      </w:r>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r w:rsidR="00F266FD">
        <w:rPr>
          <w:rFonts w:ascii="Times New Roman" w:eastAsia="Calibri" w:hAnsi="Times New Roman" w:cs="Times New Roman"/>
          <w:iCs/>
          <w:sz w:val="24"/>
          <w:szCs w:val="24"/>
        </w:rPr>
        <w:t xml:space="preserve">Luhmann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r w:rsidR="00B24B63">
        <w:rPr>
          <w:rFonts w:ascii="Times New Roman" w:eastAsia="Calibri" w:hAnsi="Times New Roman" w:cs="Times New Roman"/>
          <w:iCs/>
          <w:sz w:val="24"/>
          <w:szCs w:val="24"/>
        </w:rPr>
        <w:t>Luhmann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Luhmann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r w:rsidR="00CC514A">
        <w:rPr>
          <w:rFonts w:ascii="Times New Roman" w:eastAsia="Calibri" w:hAnsi="Times New Roman" w:cs="Times New Roman"/>
          <w:iCs/>
          <w:sz w:val="24"/>
          <w:szCs w:val="24"/>
        </w:rPr>
        <w:t>Luhmann’s approach to the topic seems unnecessarily difficult to understand</w:t>
      </w:r>
      <w:r w:rsidR="00632BA6">
        <w:rPr>
          <w:rFonts w:ascii="Times New Roman" w:eastAsia="Calibri" w:hAnsi="Times New Roman" w:cs="Times New Roman"/>
          <w:iCs/>
          <w:sz w:val="24"/>
          <w:szCs w:val="24"/>
        </w:rPr>
        <w:t>.  This in itself</w:t>
      </w:r>
      <w:r w:rsidR="00CC514A">
        <w:rPr>
          <w:rFonts w:ascii="Times New Roman" w:eastAsia="Calibri" w:hAnsi="Times New Roman" w:cs="Times New Roman"/>
          <w:iCs/>
          <w:sz w:val="24"/>
          <w:szCs w:val="24"/>
        </w:rPr>
        <w:t xml:space="preserve"> may be grounds to </w:t>
      </w:r>
      <w:r w:rsidR="00632BA6">
        <w:rPr>
          <w:rFonts w:ascii="Times New Roman" w:eastAsia="Calibri" w:hAnsi="Times New Roman" w:cs="Times New Roman"/>
          <w:iCs/>
          <w:sz w:val="24"/>
          <w:szCs w:val="24"/>
        </w:rPr>
        <w:t>dismiss Luhmann’s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xml:space="preserve">.  He appears to criticize contemporary efforts to understand the organization as having </w:t>
      </w:r>
      <w:r w:rsidR="00CC514A">
        <w:rPr>
          <w:rFonts w:ascii="Times New Roman" w:eastAsia="Calibri" w:hAnsi="Times New Roman" w:cs="Times New Roman"/>
          <w:iCs/>
          <w:sz w:val="24"/>
          <w:szCs w:val="24"/>
        </w:rPr>
        <w:lastRenderedPageBreak/>
        <w:t>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However, the theory Luhmann</w:t>
      </w:r>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r w:rsidR="00B24B63">
        <w:rPr>
          <w:rFonts w:ascii="Times New Roman" w:eastAsia="Calibri" w:hAnsi="Times New Roman" w:cs="Times New Roman"/>
          <w:iCs/>
          <w:sz w:val="24"/>
          <w:szCs w:val="24"/>
        </w:rPr>
        <w:t xml:space="preserve">Luhmann’s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Acta Astronautica,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w:t>
      </w:r>
      <w:r w:rsidR="000B57C9">
        <w:rPr>
          <w:rFonts w:ascii="Times New Roman" w:eastAsia="Calibri" w:hAnsi="Times New Roman" w:cs="Times New Roman"/>
          <w:iCs/>
          <w:sz w:val="24"/>
          <w:szCs w:val="24"/>
        </w:rPr>
        <w:lastRenderedPageBreak/>
        <w:t xml:space="preserve">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Acta Astronautica</w:t>
      </w:r>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According to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 xml:space="preserve">relatively high risk and long lead times required for projects at this stage of development.  Moreover, he offers the opinion that funding at TRL-4 and greater could be obtained from funding sources available to private sector ventures because </w:t>
      </w:r>
      <w:r w:rsidR="005805B7">
        <w:rPr>
          <w:rFonts w:ascii="Times New Roman" w:eastAsia="Calibri" w:hAnsi="Times New Roman" w:cs="Times New Roman"/>
          <w:iCs/>
          <w:sz w:val="24"/>
          <w:szCs w:val="24"/>
        </w:rPr>
        <w:lastRenderedPageBreak/>
        <w:t>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2471B" w:rsidRDefault="0002471B" w:rsidP="007309D9">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Mezias,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According to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Cyert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lastRenderedPageBreak/>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Rojot,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w:t>
      </w:r>
      <w:r w:rsidR="00D62543">
        <w:rPr>
          <w:rFonts w:ascii="Times New Roman" w:eastAsia="Calibri" w:hAnsi="Times New Roman" w:cs="Times New Roman"/>
          <w:iCs/>
          <w:sz w:val="24"/>
          <w:szCs w:val="24"/>
        </w:rPr>
        <w:lastRenderedPageBreak/>
        <w:t xml:space="preserve">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Cyert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Shapira,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According to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lastRenderedPageBreak/>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r w:rsidRPr="008310C7">
        <w:rPr>
          <w:rFonts w:ascii="Times New Roman" w:eastAsia="Calibri" w:hAnsi="Times New Roman" w:cs="Times New Roman"/>
          <w:iCs/>
          <w:sz w:val="24"/>
          <w:szCs w:val="24"/>
        </w:rPr>
        <w:t xml:space="preserve">Sigurdson, K., Sá, C. M., &amp; Kretz,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doi:10.1093/scipol/scu080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w:t>
      </w:r>
      <w:r w:rsidR="00CA5CC7">
        <w:rPr>
          <w:rFonts w:ascii="Times New Roman" w:eastAsia="Calibri" w:hAnsi="Times New Roman" w:cs="Times New Roman"/>
          <w:iCs/>
          <w:sz w:val="24"/>
          <w:szCs w:val="24"/>
        </w:rPr>
        <w:lastRenderedPageBreak/>
        <w:t xml:space="preserve">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ed)</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lastRenderedPageBreak/>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r w:rsidRPr="00BE703A">
        <w:rPr>
          <w:rFonts w:ascii="Times New Roman" w:hAnsi="Times New Roman" w:cs="Times New Roman"/>
          <w:sz w:val="24"/>
        </w:rPr>
        <w:t xml:space="preserve">Volberda,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(4), 931. d</w:t>
      </w:r>
      <w:r w:rsidRPr="00BE703A">
        <w:rPr>
          <w:rFonts w:ascii="Times New Roman" w:hAnsi="Times New Roman" w:cs="Times New Roman"/>
          <w:sz w:val="24"/>
        </w:rPr>
        <w:t>oi</w:t>
      </w:r>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Pr="00BD33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Levinthal as “the ability to identify, assimilate, and exploit knowledge from the environment.”  Cohen and Levinithal proposed this construct in the context of innovation and organizational learning.  Volverda, Foss, &amp; Lyles observed that </w:t>
      </w:r>
      <w:r w:rsidR="00F01A56">
        <w:rPr>
          <w:rFonts w:ascii="Times New Roman" w:hAnsi="Times New Roman" w:cs="Times New Roman"/>
          <w:sz w:val="24"/>
        </w:rPr>
        <w:t xml:space="preserve">researchers studying the topic have not </w:t>
      </w:r>
      <w:r w:rsidR="00F01A56">
        <w:rPr>
          <w:rFonts w:ascii="Times New Roman" w:hAnsi="Times New Roman" w:cs="Times New Roman"/>
          <w:sz w:val="24"/>
        </w:rPr>
        <w:lastRenderedPageBreak/>
        <w:t xml:space="preserve">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p>
    <w:sectPr w:rsidR="00BE703A"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7309D9">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3A2062">
      <w:rPr>
        <w:rFonts w:ascii="Times New Roman" w:hAnsi="Times New Roman" w:cs="Times New Roman"/>
        <w:noProof/>
        <w:sz w:val="24"/>
      </w:rPr>
      <w:t>5</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616D"/>
    <w:rsid w:val="00087C61"/>
    <w:rsid w:val="00087E56"/>
    <w:rsid w:val="000A5EFC"/>
    <w:rsid w:val="000A67F9"/>
    <w:rsid w:val="000B0C27"/>
    <w:rsid w:val="000B14CD"/>
    <w:rsid w:val="000B4D21"/>
    <w:rsid w:val="000B57C9"/>
    <w:rsid w:val="000B5C5B"/>
    <w:rsid w:val="000C22CD"/>
    <w:rsid w:val="000D2CCD"/>
    <w:rsid w:val="000D6109"/>
    <w:rsid w:val="000E077A"/>
    <w:rsid w:val="000F5784"/>
    <w:rsid w:val="000F580C"/>
    <w:rsid w:val="000F7087"/>
    <w:rsid w:val="00100BD6"/>
    <w:rsid w:val="00102281"/>
    <w:rsid w:val="00105599"/>
    <w:rsid w:val="001163AE"/>
    <w:rsid w:val="00120E99"/>
    <w:rsid w:val="00122D76"/>
    <w:rsid w:val="00123DFD"/>
    <w:rsid w:val="0014711A"/>
    <w:rsid w:val="0015256B"/>
    <w:rsid w:val="001531FC"/>
    <w:rsid w:val="001558FA"/>
    <w:rsid w:val="00165B2E"/>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54F1"/>
    <w:rsid w:val="00205D96"/>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A06AD"/>
    <w:rsid w:val="002A1326"/>
    <w:rsid w:val="002A1B1D"/>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5047A"/>
    <w:rsid w:val="0035311F"/>
    <w:rsid w:val="00357BE9"/>
    <w:rsid w:val="003757B8"/>
    <w:rsid w:val="00381F13"/>
    <w:rsid w:val="00385698"/>
    <w:rsid w:val="00385918"/>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85D2F"/>
    <w:rsid w:val="00485EDA"/>
    <w:rsid w:val="00491C99"/>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5B7"/>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6DFD"/>
    <w:rsid w:val="00691608"/>
    <w:rsid w:val="00693004"/>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22951"/>
    <w:rsid w:val="007231A1"/>
    <w:rsid w:val="007309D9"/>
    <w:rsid w:val="00730FC2"/>
    <w:rsid w:val="0073308D"/>
    <w:rsid w:val="00734FD9"/>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D52A9"/>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0816"/>
    <w:rsid w:val="00A41A1E"/>
    <w:rsid w:val="00A45902"/>
    <w:rsid w:val="00A479D8"/>
    <w:rsid w:val="00A566D5"/>
    <w:rsid w:val="00A60329"/>
    <w:rsid w:val="00A60EC9"/>
    <w:rsid w:val="00A61DD3"/>
    <w:rsid w:val="00A72A8D"/>
    <w:rsid w:val="00A80B1B"/>
    <w:rsid w:val="00A8491E"/>
    <w:rsid w:val="00A908A8"/>
    <w:rsid w:val="00A96FA1"/>
    <w:rsid w:val="00AA3895"/>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54B0"/>
    <w:rsid w:val="00B72B93"/>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AD3"/>
    <w:rsid w:val="00BD44C0"/>
    <w:rsid w:val="00BE6449"/>
    <w:rsid w:val="00BE703A"/>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1AB4"/>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94AC6"/>
    <w:rsid w:val="00EA05DE"/>
    <w:rsid w:val="00EB2301"/>
    <w:rsid w:val="00EB290A"/>
    <w:rsid w:val="00EB4C15"/>
    <w:rsid w:val="00EB5B4F"/>
    <w:rsid w:val="00EB6C05"/>
    <w:rsid w:val="00ED6CB0"/>
    <w:rsid w:val="00EF382C"/>
    <w:rsid w:val="00EF7630"/>
    <w:rsid w:val="00F01A56"/>
    <w:rsid w:val="00F03B0C"/>
    <w:rsid w:val="00F06E6B"/>
    <w:rsid w:val="00F0751C"/>
    <w:rsid w:val="00F111FA"/>
    <w:rsid w:val="00F112FE"/>
    <w:rsid w:val="00F11D6C"/>
    <w:rsid w:val="00F12CA3"/>
    <w:rsid w:val="00F24A21"/>
    <w:rsid w:val="00F266FD"/>
    <w:rsid w:val="00F318C2"/>
    <w:rsid w:val="00F32A9B"/>
    <w:rsid w:val="00F334D6"/>
    <w:rsid w:val="00F40377"/>
    <w:rsid w:val="00F43035"/>
    <w:rsid w:val="00F50CC8"/>
    <w:rsid w:val="00F51BB7"/>
    <w:rsid w:val="00F52D04"/>
    <w:rsid w:val="00F537F2"/>
    <w:rsid w:val="00F62A13"/>
    <w:rsid w:val="00F73069"/>
    <w:rsid w:val="00F82A4A"/>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1749641E"/>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37029-E369-43EC-A171-CBF97AEB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21</Pages>
  <Words>5232</Words>
  <Characters>29824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444</cp:revision>
  <dcterms:created xsi:type="dcterms:W3CDTF">2020-01-18T20:23:00Z</dcterms:created>
  <dcterms:modified xsi:type="dcterms:W3CDTF">2020-09-04T17:32:00Z</dcterms:modified>
</cp:coreProperties>
</file>