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1A6417" w:rsidRDefault="001A6417" w:rsidP="001A6417">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A., &amp; Hodgkinson, G. P.</w:t>
      </w:r>
      <w:r>
        <w:rPr>
          <w:rFonts w:ascii="Times New Roman" w:eastAsia="Calibri" w:hAnsi="Times New Roman" w:cs="Times New Roman"/>
          <w:iCs/>
          <w:sz w:val="24"/>
          <w:szCs w:val="24"/>
        </w:rPr>
        <w:t xml:space="preserve"> (2008). </w:t>
      </w:r>
      <w:r>
        <w:rPr>
          <w:rFonts w:ascii="Times New Roman" w:eastAsia="Calibri" w:hAnsi="Times New Roman" w:cs="Times New Roman"/>
          <w:iCs/>
          <w:sz w:val="24"/>
          <w:szCs w:val="24"/>
        </w:rPr>
        <w:t>Cognitively skilled organizational decision making: Making sense of deciding</w:t>
      </w:r>
      <w:r>
        <w:rPr>
          <w:rFonts w:ascii="Times New Roman" w:eastAsia="Calibri" w:hAnsi="Times New Roman" w:cs="Times New Roman"/>
          <w:iCs/>
          <w:sz w:val="24"/>
          <w:szCs w:val="24"/>
        </w:rPr>
        <w:t xml:space="preserve">.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Pr>
          <w:rFonts w:ascii="Times New Roman" w:eastAsia="Calibri" w:hAnsi="Times New Roman" w:cs="Times New Roman"/>
          <w:iCs/>
          <w:sz w:val="24"/>
          <w:szCs w:val="24"/>
        </w:rPr>
        <w:t xml:space="preserve">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w:t>
      </w:r>
      <w:r w:rsidR="00776FDF">
        <w:rPr>
          <w:rFonts w:ascii="Times New Roman" w:eastAsia="Calibri" w:hAnsi="Times New Roman" w:cs="Times New Roman"/>
          <w:iCs/>
          <w:sz w:val="24"/>
          <w:szCs w:val="24"/>
        </w:rPr>
        <w:t xml:space="preserve">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03851">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lastRenderedPageBreak/>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 xml:space="preserve">has focused on understanding the factors that influence </w:t>
      </w:r>
      <w:r w:rsidR="00AC35CC">
        <w:rPr>
          <w:rFonts w:ascii="Times New Roman" w:eastAsia="Calibri" w:hAnsi="Times New Roman" w:cs="Times New Roman"/>
          <w:iCs/>
          <w:sz w:val="24"/>
          <w:szCs w:val="24"/>
        </w:rPr>
        <w:lastRenderedPageBreak/>
        <w:t>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w:t>
      </w:r>
      <w:r>
        <w:rPr>
          <w:rFonts w:ascii="Times New Roman" w:eastAsia="Calibri" w:hAnsi="Times New Roman" w:cs="Times New Roman"/>
          <w:iCs/>
          <w:sz w:val="24"/>
          <w:szCs w:val="24"/>
        </w:rPr>
        <w:lastRenderedPageBreak/>
        <w:t>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 xml:space="preserve">sufficiently explain the </w:t>
      </w:r>
      <w:r w:rsidR="00002514">
        <w:rPr>
          <w:rFonts w:ascii="Times New Roman" w:eastAsia="Calibri" w:hAnsi="Times New Roman" w:cs="Times New Roman"/>
          <w:iCs/>
          <w:sz w:val="24"/>
          <w:szCs w:val="24"/>
        </w:rPr>
        <w:lastRenderedPageBreak/>
        <w:t>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w:t>
      </w:r>
      <w:r w:rsidR="00467989">
        <w:rPr>
          <w:rFonts w:ascii="Times New Roman" w:eastAsia="Calibri" w:hAnsi="Times New Roman" w:cs="Times New Roman"/>
          <w:iCs/>
          <w:sz w:val="24"/>
          <w:szCs w:val="24"/>
        </w:rPr>
        <w:lastRenderedPageBreak/>
        <w:t xml:space="preserve">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w:t>
      </w:r>
      <w:r w:rsidR="002E7A5B">
        <w:rPr>
          <w:rFonts w:ascii="Times New Roman" w:eastAsia="Calibri" w:hAnsi="Times New Roman" w:cs="Times New Roman"/>
          <w:iCs/>
          <w:sz w:val="24"/>
          <w:szCs w:val="24"/>
        </w:rPr>
        <w:lastRenderedPageBreak/>
        <w:t>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02471B" w:rsidRDefault="0002471B"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w:t>
      </w:r>
      <w:r w:rsidR="00123DFD">
        <w:rPr>
          <w:rFonts w:ascii="Times New Roman" w:eastAsia="Calibri" w:hAnsi="Times New Roman" w:cs="Times New Roman"/>
          <w:iCs/>
          <w:sz w:val="24"/>
          <w:szCs w:val="24"/>
        </w:rPr>
        <w:lastRenderedPageBreak/>
        <w:t>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D37060" w:rsidRDefault="00D37060" w:rsidP="00D37060">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D37060" w:rsidRDefault="00D37060" w:rsidP="00D3706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used </w:t>
      </w:r>
      <w:r w:rsidR="00E45C61">
        <w:rPr>
          <w:rFonts w:ascii="Times New Roman" w:eastAsia="Calibri" w:hAnsi="Times New Roman" w:cs="Times New Roman"/>
          <w:sz w:val="24"/>
          <w:szCs w:val="24"/>
        </w:rPr>
        <w:t xml:space="preserve">a </w:t>
      </w:r>
      <w:r>
        <w:rPr>
          <w:rFonts w:ascii="Times New Roman" w:eastAsia="Calibri" w:hAnsi="Times New Roman" w:cs="Times New Roman"/>
          <w:sz w:val="24"/>
          <w:szCs w:val="24"/>
        </w:rPr>
        <w:t xml:space="preserve">decidedly economic approach and 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w:t>
      </w:r>
      <w:r w:rsidR="008611DF">
        <w:rPr>
          <w:rFonts w:ascii="Times New Roman" w:eastAsia="Calibri" w:hAnsi="Times New Roman" w:cs="Times New Roman"/>
          <w:sz w:val="24"/>
          <w:szCs w:val="24"/>
        </w:rPr>
        <w:t xml:space="preserve">the author </w:t>
      </w:r>
      <w:r>
        <w:rPr>
          <w:rFonts w:ascii="Times New Roman" w:eastAsia="Calibri" w:hAnsi="Times New Roman" w:cs="Times New Roman"/>
          <w:sz w:val="24"/>
          <w:szCs w:val="24"/>
        </w:rPr>
        <w:t xml:space="preserve">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puts forward the effects of comparative advantage and information asymmetry on </w:t>
      </w:r>
      <w:r>
        <w:rPr>
          <w:rFonts w:ascii="Times New Roman" w:eastAsia="Calibri" w:hAnsi="Times New Roman" w:cs="Times New Roman"/>
          <w:sz w:val="24"/>
          <w:szCs w:val="24"/>
        </w:rPr>
        <w:lastRenderedPageBreak/>
        <w:t xml:space="preserve">licensing decisions of startup and established firms as possible directions for future research.  This paper </w:t>
      </w:r>
      <w:r w:rsidR="008611DF">
        <w:rPr>
          <w:rFonts w:ascii="Times New Roman" w:eastAsia="Calibri" w:hAnsi="Times New Roman" w:cs="Times New Roman"/>
          <w:sz w:val="24"/>
          <w:szCs w:val="24"/>
        </w:rPr>
        <w:t>is directly related to the proposed examination of the influence of development stage on</w:t>
      </w:r>
      <w:r>
        <w:rPr>
          <w:rFonts w:ascii="Times New Roman" w:eastAsia="Calibri" w:hAnsi="Times New Roman" w:cs="Times New Roman"/>
          <w:sz w:val="24"/>
          <w:szCs w:val="24"/>
        </w:rPr>
        <w:t xml:space="preserve"> university technology transfer</w:t>
      </w:r>
      <w:r w:rsidR="008611DF">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It elucidates many of the challenges that the p</w:t>
      </w:r>
      <w:r w:rsidR="00E45C61">
        <w:rPr>
          <w:rFonts w:ascii="Times New Roman" w:eastAsia="Calibri" w:hAnsi="Times New Roman" w:cs="Times New Roman"/>
          <w:sz w:val="24"/>
          <w:szCs w:val="24"/>
        </w:rPr>
        <w:t>ropose</w:t>
      </w:r>
      <w:r>
        <w:rPr>
          <w:rFonts w:ascii="Times New Roman" w:eastAsia="Calibri" w:hAnsi="Times New Roman" w:cs="Times New Roman"/>
          <w:sz w:val="24"/>
          <w:szCs w:val="24"/>
        </w:rPr>
        <w:t>d</w:t>
      </w:r>
      <w:r w:rsidR="00E45C61">
        <w:rPr>
          <w:rFonts w:ascii="Times New Roman" w:eastAsia="Calibri" w:hAnsi="Times New Roman" w:cs="Times New Roman"/>
          <w:sz w:val="24"/>
          <w:szCs w:val="24"/>
        </w:rPr>
        <w:t xml:space="preserve"> dissertation</w:t>
      </w:r>
      <w:r>
        <w:rPr>
          <w:rFonts w:ascii="Times New Roman" w:eastAsia="Calibri" w:hAnsi="Times New Roman" w:cs="Times New Roman"/>
          <w:sz w:val="24"/>
          <w:szCs w:val="24"/>
        </w:rPr>
        <w:t xml:space="preserve"> study presents including how to measure development stage, define technology, and identify instances of technology transfer.</w:t>
      </w:r>
      <w:r w:rsidR="008611DF">
        <w:rPr>
          <w:rFonts w:ascii="Times New Roman" w:eastAsia="Calibri" w:hAnsi="Times New Roman" w:cs="Times New Roman"/>
          <w:sz w:val="24"/>
          <w:szCs w:val="24"/>
        </w:rPr>
        <w:t xml:space="preserve">  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confounding factors that the author does not address.</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 xml:space="preserve">his limitation may manifest as one or more decision premises </w:t>
      </w:r>
      <w:r w:rsidR="00D62543">
        <w:rPr>
          <w:rFonts w:ascii="Times New Roman" w:eastAsia="Calibri" w:hAnsi="Times New Roman" w:cs="Times New Roman"/>
          <w:iCs/>
          <w:sz w:val="24"/>
          <w:szCs w:val="24"/>
        </w:rPr>
        <w:lastRenderedPageBreak/>
        <w:t>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t>
      </w:r>
      <w:r>
        <w:rPr>
          <w:rFonts w:ascii="Times New Roman" w:eastAsia="Calibri" w:hAnsi="Times New Roman" w:cs="Times New Roman"/>
          <w:iCs/>
          <w:sz w:val="24"/>
          <w:szCs w:val="24"/>
        </w:rPr>
        <w:lastRenderedPageBreak/>
        <w:t xml:space="preserve">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 xml:space="preserve">labeled as </w:t>
      </w:r>
      <w:r w:rsidR="009A151A">
        <w:rPr>
          <w:rFonts w:ascii="Times New Roman" w:eastAsia="Calibri" w:hAnsi="Times New Roman" w:cs="Times New Roman"/>
          <w:iCs/>
          <w:sz w:val="24"/>
          <w:szCs w:val="24"/>
        </w:rPr>
        <w:lastRenderedPageBreak/>
        <w:t>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w:t>
      </w:r>
      <w:r w:rsidR="00B13B16">
        <w:rPr>
          <w:rFonts w:ascii="Times New Roman" w:eastAsia="Calibri" w:hAnsi="Times New Roman" w:cs="Times New Roman"/>
          <w:iCs/>
          <w:sz w:val="24"/>
          <w:szCs w:val="24"/>
        </w:rPr>
        <w:lastRenderedPageBreak/>
        <w:t xml:space="preserve">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3A5767">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3A5767">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2CCD"/>
    <w:rsid w:val="000D6109"/>
    <w:rsid w:val="000E077A"/>
    <w:rsid w:val="000F5784"/>
    <w:rsid w:val="000F7087"/>
    <w:rsid w:val="00100BD6"/>
    <w:rsid w:val="00102281"/>
    <w:rsid w:val="00105599"/>
    <w:rsid w:val="00120E99"/>
    <w:rsid w:val="00122D76"/>
    <w:rsid w:val="00123DFD"/>
    <w:rsid w:val="0014711A"/>
    <w:rsid w:val="0015256B"/>
    <w:rsid w:val="001531FC"/>
    <w:rsid w:val="001558FA"/>
    <w:rsid w:val="00165B2E"/>
    <w:rsid w:val="00177D82"/>
    <w:rsid w:val="0018738A"/>
    <w:rsid w:val="00191382"/>
    <w:rsid w:val="0019799F"/>
    <w:rsid w:val="001A6417"/>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271B6"/>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03851"/>
    <w:rsid w:val="00312E93"/>
    <w:rsid w:val="003139A4"/>
    <w:rsid w:val="00316959"/>
    <w:rsid w:val="00316EC1"/>
    <w:rsid w:val="003309DF"/>
    <w:rsid w:val="003346E8"/>
    <w:rsid w:val="00337FCA"/>
    <w:rsid w:val="0035047A"/>
    <w:rsid w:val="0035311F"/>
    <w:rsid w:val="00357BE9"/>
    <w:rsid w:val="00381F13"/>
    <w:rsid w:val="00385698"/>
    <w:rsid w:val="00385918"/>
    <w:rsid w:val="00394958"/>
    <w:rsid w:val="0039582C"/>
    <w:rsid w:val="003A0288"/>
    <w:rsid w:val="003A0888"/>
    <w:rsid w:val="003A15A0"/>
    <w:rsid w:val="003A3615"/>
    <w:rsid w:val="003A5767"/>
    <w:rsid w:val="003B059A"/>
    <w:rsid w:val="003B71D7"/>
    <w:rsid w:val="003B746C"/>
    <w:rsid w:val="003C0698"/>
    <w:rsid w:val="003C1183"/>
    <w:rsid w:val="003D4345"/>
    <w:rsid w:val="003E0A93"/>
    <w:rsid w:val="003E0D32"/>
    <w:rsid w:val="003E0F60"/>
    <w:rsid w:val="003E1C60"/>
    <w:rsid w:val="003E2A8D"/>
    <w:rsid w:val="003E4215"/>
    <w:rsid w:val="003E7953"/>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86218"/>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76FDF"/>
    <w:rsid w:val="00785606"/>
    <w:rsid w:val="00787DAF"/>
    <w:rsid w:val="0079105C"/>
    <w:rsid w:val="0079465D"/>
    <w:rsid w:val="00797687"/>
    <w:rsid w:val="007A335F"/>
    <w:rsid w:val="007A3CAD"/>
    <w:rsid w:val="007A7618"/>
    <w:rsid w:val="007B7346"/>
    <w:rsid w:val="007C3E02"/>
    <w:rsid w:val="007C4443"/>
    <w:rsid w:val="007E02BC"/>
    <w:rsid w:val="007E198F"/>
    <w:rsid w:val="007F47CF"/>
    <w:rsid w:val="00801620"/>
    <w:rsid w:val="0080267C"/>
    <w:rsid w:val="00804DB2"/>
    <w:rsid w:val="0080605C"/>
    <w:rsid w:val="008170ED"/>
    <w:rsid w:val="0082696D"/>
    <w:rsid w:val="008310C7"/>
    <w:rsid w:val="00835E0C"/>
    <w:rsid w:val="008422AC"/>
    <w:rsid w:val="00843774"/>
    <w:rsid w:val="0085228B"/>
    <w:rsid w:val="00853665"/>
    <w:rsid w:val="00860123"/>
    <w:rsid w:val="008611DF"/>
    <w:rsid w:val="008612A5"/>
    <w:rsid w:val="008667D4"/>
    <w:rsid w:val="00873C0F"/>
    <w:rsid w:val="00875567"/>
    <w:rsid w:val="0088199A"/>
    <w:rsid w:val="00891BE2"/>
    <w:rsid w:val="008A76AB"/>
    <w:rsid w:val="008B22E2"/>
    <w:rsid w:val="008B6884"/>
    <w:rsid w:val="008C1ECC"/>
    <w:rsid w:val="008D18BD"/>
    <w:rsid w:val="008D25E4"/>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AEACD50"/>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3089B-A5B4-4F03-AA68-FBA85879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17</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418</cp:revision>
  <dcterms:created xsi:type="dcterms:W3CDTF">2020-01-18T20:23:00Z</dcterms:created>
  <dcterms:modified xsi:type="dcterms:W3CDTF">2020-08-29T02:03:00Z</dcterms:modified>
</cp:coreProperties>
</file>