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bookmarkStart w:id="0" w:name="_GoBack"/>
      <w:bookmarkEnd w:id="0"/>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They i</w:t>
      </w:r>
      <w:r>
        <w:rPr>
          <w:rFonts w:ascii="Times New Roman" w:hAnsi="Times New Roman" w:cs="Times New Roman"/>
          <w:sz w:val="24"/>
          <w:szCs w:val="24"/>
        </w:rPr>
        <w:t xml:space="preserve">dentified 15 challenges across three (3) categories that practitioners face when using the </w:t>
      </w:r>
      <w:r>
        <w:rPr>
          <w:rFonts w:ascii="Times New Roman" w:hAnsi="Times New Roman" w:cs="Times New Roman"/>
          <w:sz w:val="24"/>
          <w:szCs w:val="24"/>
        </w:rPr>
        <w:lastRenderedPageBreak/>
        <w:t xml:space="preserve">TRL scale.  They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Pr>
          <w:rFonts w:ascii="Times New Roman" w:hAnsi="Times New Roman" w:cs="Times New Roman"/>
          <w:sz w:val="24"/>
          <w:szCs w:val="24"/>
        </w:rPr>
        <w:t xml:space="preserve"> improve decisions processes and outcomes in complex engineering projects.</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As such, the TRL scale likely does not capture important economic factors that are significant for private sector decisions regarding university technology transfer opportunities.</w:t>
      </w:r>
    </w:p>
    <w:p w:rsidR="00EE1B57"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EE1B57">
        <w:rPr>
          <w:rFonts w:ascii="Times New Roman" w:hAnsi="Times New Roman" w:cs="Times New Roman"/>
          <w:sz w:val="24"/>
          <w:szCs w:val="24"/>
        </w:rPr>
        <w:t xml:space="preserve"> </w:t>
      </w:r>
      <w:r w:rsidR="00B40BA9">
        <w:rPr>
          <w:rFonts w:ascii="Times New Roman" w:hAnsi="Times New Roman" w:cs="Times New Roman"/>
          <w:sz w:val="24"/>
          <w:szCs w:val="24"/>
        </w:rPr>
        <w:t xml:space="preserve">issue of development stage posed in the </w:t>
      </w:r>
      <w:r w:rsidR="00EE1B57">
        <w:rPr>
          <w:rFonts w:ascii="Times New Roman" w:hAnsi="Times New Roman" w:cs="Times New Roman"/>
          <w:sz w:val="24"/>
          <w:szCs w:val="24"/>
        </w:rPr>
        <w:t>preliminary research question</w:t>
      </w:r>
      <w:r>
        <w:rPr>
          <w:rFonts w:ascii="Times New Roman" w:hAnsi="Times New Roman" w:cs="Times New Roman"/>
          <w:sz w:val="24"/>
          <w:szCs w:val="24"/>
        </w:rPr>
        <w:t xml:space="preserve"> of the proposed study</w:t>
      </w:r>
      <w:r w:rsidR="00EE1B57">
        <w:rPr>
          <w:rFonts w:ascii="Times New Roman" w:hAnsi="Times New Roman" w:cs="Times New Roman"/>
          <w:sz w:val="24"/>
          <w:szCs w:val="24"/>
        </w:rPr>
        <w:t xml:space="preserve"> goes</w:t>
      </w:r>
      <w:r w:rsidR="00EE1B57" w:rsidRPr="0009261D">
        <w:rPr>
          <w:rFonts w:ascii="Times New Roman" w:hAnsi="Times New Roman" w:cs="Times New Roman"/>
          <w:sz w:val="24"/>
          <w:szCs w:val="24"/>
        </w:rPr>
        <w:t xml:space="preserve"> to the premise of current </w:t>
      </w:r>
      <w:r w:rsidR="00EE1B57">
        <w:rPr>
          <w:rFonts w:ascii="Times New Roman" w:hAnsi="Times New Roman" w:cs="Times New Roman"/>
          <w:sz w:val="24"/>
          <w:szCs w:val="24"/>
        </w:rPr>
        <w:t>public</w:t>
      </w:r>
      <w:r w:rsidR="00EE1B57" w:rsidRPr="0009261D">
        <w:rPr>
          <w:rFonts w:ascii="Times New Roman" w:hAnsi="Times New Roman" w:cs="Times New Roman"/>
          <w:sz w:val="24"/>
          <w:szCs w:val="24"/>
        </w:rPr>
        <w:t xml:space="preserve"> policy related to university technology transfer.</w:t>
      </w:r>
      <w:r w:rsidR="00EE1B57">
        <w:rPr>
          <w:rFonts w:ascii="Times New Roman" w:hAnsi="Times New Roman" w:cs="Times New Roman"/>
          <w:sz w:val="24"/>
          <w:szCs w:val="24"/>
        </w:rPr>
        <w:t xml:space="preserve">  Federal </w:t>
      </w:r>
      <w:r w:rsidR="00EE1B57" w:rsidRPr="0009261D">
        <w:rPr>
          <w:rFonts w:ascii="Times New Roman" w:hAnsi="Times New Roman" w:cs="Times New Roman"/>
          <w:sz w:val="24"/>
          <w:szCs w:val="24"/>
        </w:rPr>
        <w:t xml:space="preserve">policy </w:t>
      </w:r>
      <w:r w:rsidR="00EE1B57">
        <w:rPr>
          <w:rFonts w:ascii="Times New Roman" w:hAnsi="Times New Roman" w:cs="Times New Roman"/>
          <w:sz w:val="24"/>
          <w:szCs w:val="24"/>
        </w:rPr>
        <w:t xml:space="preserve">in general </w:t>
      </w:r>
      <w:r w:rsidR="00EE1B57" w:rsidRPr="0009261D">
        <w:rPr>
          <w:rFonts w:ascii="Times New Roman" w:hAnsi="Times New Roman" w:cs="Times New Roman"/>
          <w:sz w:val="24"/>
          <w:szCs w:val="24"/>
        </w:rPr>
        <w:t xml:space="preserve">seems to presume that </w:t>
      </w:r>
      <w:r w:rsidR="00EE1B57">
        <w:rPr>
          <w:rFonts w:ascii="Times New Roman" w:hAnsi="Times New Roman" w:cs="Times New Roman"/>
          <w:sz w:val="24"/>
          <w:szCs w:val="24"/>
        </w:rPr>
        <w:t xml:space="preserve">development stage is not a factor in the successful transfer </w:t>
      </w:r>
      <w:r w:rsidR="00EE1B57" w:rsidRPr="0009261D">
        <w:rPr>
          <w:rFonts w:ascii="Times New Roman" w:hAnsi="Times New Roman" w:cs="Times New Roman"/>
          <w:sz w:val="24"/>
          <w:szCs w:val="24"/>
        </w:rPr>
        <w:t xml:space="preserve">of technologies derived from federally-funded </w:t>
      </w:r>
      <w:r w:rsidR="00EE1B57">
        <w:rPr>
          <w:rFonts w:ascii="Times New Roman" w:hAnsi="Times New Roman" w:cs="Times New Roman"/>
          <w:sz w:val="24"/>
          <w:szCs w:val="24"/>
        </w:rPr>
        <w:t>R&amp;D</w:t>
      </w:r>
      <w:r w:rsidR="00EE1B57" w:rsidRPr="0009261D">
        <w:rPr>
          <w:rFonts w:ascii="Times New Roman" w:hAnsi="Times New Roman" w:cs="Times New Roman"/>
          <w:sz w:val="24"/>
          <w:szCs w:val="24"/>
        </w:rPr>
        <w:t xml:space="preserve"> to the private sector</w:t>
      </w:r>
      <w:r w:rsidR="00EE1B57">
        <w:rPr>
          <w:rFonts w:ascii="Times New Roman" w:hAnsi="Times New Roman" w:cs="Times New Roman"/>
          <w:sz w:val="24"/>
          <w:szCs w:val="24"/>
        </w:rPr>
        <w:t xml:space="preserve">.  It seems to presuppose that </w:t>
      </w:r>
      <w:r w:rsidR="00EE1B57" w:rsidRPr="0009261D">
        <w:rPr>
          <w:rFonts w:ascii="Times New Roman" w:hAnsi="Times New Roman" w:cs="Times New Roman"/>
          <w:sz w:val="24"/>
          <w:szCs w:val="24"/>
        </w:rPr>
        <w:t>profit-driven and mission-driven organizations or aspiring entrepreneurs (i.e., individuals or small teams</w:t>
      </w:r>
      <w:r w:rsidR="00EE1B57">
        <w:rPr>
          <w:rFonts w:ascii="Times New Roman" w:hAnsi="Times New Roman" w:cs="Times New Roman"/>
          <w:sz w:val="24"/>
          <w:szCs w:val="24"/>
        </w:rPr>
        <w:t xml:space="preserve"> of a few people) will have</w:t>
      </w:r>
      <w:r w:rsidR="00EE1B57" w:rsidRPr="0009261D">
        <w:rPr>
          <w:rFonts w:ascii="Times New Roman" w:hAnsi="Times New Roman" w:cs="Times New Roman"/>
          <w:sz w:val="24"/>
          <w:szCs w:val="24"/>
        </w:rPr>
        <w:t xml:space="preserve"> </w:t>
      </w:r>
      <w:r w:rsidR="00EE1B57">
        <w:rPr>
          <w:rFonts w:ascii="Times New Roman" w:hAnsi="Times New Roman" w:cs="Times New Roman"/>
          <w:sz w:val="24"/>
          <w:szCs w:val="24"/>
        </w:rPr>
        <w:t>access to the resources necessary to successfully employ the</w:t>
      </w:r>
      <w:r w:rsidR="00EE1B57" w:rsidRPr="0009261D">
        <w:rPr>
          <w:rFonts w:ascii="Times New Roman" w:hAnsi="Times New Roman" w:cs="Times New Roman"/>
          <w:sz w:val="24"/>
          <w:szCs w:val="24"/>
        </w:rPr>
        <w:t xml:space="preserve"> technologies </w:t>
      </w:r>
      <w:r w:rsidR="00EE1B57">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 xml:space="preserve">regarding university technology transfer.  If development stage is not a factor in the successful university technology transfer, we can definitively remove it from the discussion and focus our resources on pursuing other candidates to explain why so few </w:t>
      </w:r>
      <w:r w:rsidR="00FD430A">
        <w:rPr>
          <w:rFonts w:ascii="Times New Roman" w:hAnsi="Times New Roman" w:cs="Times New Roman"/>
          <w:sz w:val="24"/>
          <w:szCs w:val="24"/>
        </w:rPr>
        <w:t xml:space="preserve">university-created </w:t>
      </w:r>
      <w:r>
        <w:rPr>
          <w:rFonts w:ascii="Times New Roman" w:hAnsi="Times New Roman" w:cs="Times New Roman"/>
          <w:sz w:val="24"/>
          <w:szCs w:val="24"/>
        </w:rPr>
        <w:t xml:space="preserve">technologies make their way to the private sector.  Development stage will be removed as an </w:t>
      </w:r>
      <w:r>
        <w:rPr>
          <w:rFonts w:ascii="Times New Roman" w:hAnsi="Times New Roman" w:cs="Times New Roman"/>
          <w:sz w:val="24"/>
          <w:szCs w:val="24"/>
        </w:rPr>
        <w:lastRenderedPageBreak/>
        <w:t>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w:t>
      </w:r>
      <w:r w:rsidR="00FD430A">
        <w:rPr>
          <w:rFonts w:ascii="Times New Roman" w:hAnsi="Times New Roman" w:cs="Times New Roman"/>
          <w:sz w:val="24"/>
          <w:szCs w:val="24"/>
        </w:rPr>
        <w:t>tent of its participation in the research and development process</w:t>
      </w:r>
      <w:r>
        <w:rPr>
          <w:rFonts w:ascii="Times New Roman" w:hAnsi="Times New Roman" w:cs="Times New Roman"/>
          <w:sz w:val="24"/>
          <w:szCs w:val="24"/>
        </w:rPr>
        <w:t xml:space="preserve">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t>
      </w:r>
      <w:r>
        <w:rPr>
          <w:rFonts w:ascii="Times New Roman" w:hAnsi="Times New Roman" w:cs="Times New Roman"/>
          <w:sz w:val="24"/>
          <w:szCs w:val="24"/>
        </w:rPr>
        <w:lastRenderedPageBreak/>
        <w:t>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w:t>
      </w:r>
      <w:r>
        <w:rPr>
          <w:rFonts w:ascii="Times New Roman" w:hAnsi="Times New Roman" w:cs="Times New Roman"/>
          <w:sz w:val="24"/>
          <w:szCs w:val="24"/>
        </w:rPr>
        <w:lastRenderedPageBreak/>
        <w:t>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therefore seems reasonable to discuss university technology transfer at the organizational level. As Simon (1991) explains, “some phenomena are more conveniently described in terms of organizations and parts of organizations than in terms of the individual </w:t>
      </w:r>
      <w:r>
        <w:rPr>
          <w:rFonts w:ascii="Times New Roman" w:hAnsi="Times New Roman" w:cs="Times New Roman"/>
          <w:sz w:val="24"/>
          <w:szCs w:val="24"/>
        </w:rPr>
        <w:lastRenderedPageBreak/>
        <w:t>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w:t>
      </w:r>
      <w:r>
        <w:rPr>
          <w:rFonts w:ascii="Times New Roman" w:hAnsi="Times New Roman" w:cs="Times New Roman"/>
          <w:sz w:val="24"/>
          <w:szCs w:val="24"/>
        </w:rPr>
        <w:lastRenderedPageBreak/>
        <w:t>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w:t>
      </w:r>
      <w:r>
        <w:rPr>
          <w:rFonts w:ascii="Times New Roman" w:hAnsi="Times New Roman" w:cs="Times New Roman"/>
          <w:sz w:val="24"/>
          <w:szCs w:val="24"/>
        </w:rPr>
        <w:lastRenderedPageBreak/>
        <w:t>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w:t>
      </w:r>
      <w:r>
        <w:rPr>
          <w:rFonts w:ascii="Times New Roman" w:hAnsi="Times New Roman" w:cs="Times New Roman"/>
          <w:sz w:val="24"/>
          <w:szCs w:val="24"/>
        </w:rPr>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w:t>
      </w:r>
      <w:r w:rsidRPr="009F3DF7">
        <w:rPr>
          <w:rFonts w:ascii="Times New Roman" w:hAnsi="Times New Roman" w:cs="Times New Roman"/>
          <w:sz w:val="24"/>
          <w:szCs w:val="24"/>
        </w:rPr>
        <w:lastRenderedPageBreak/>
        <w:t xml:space="preserve">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w:t>
      </w:r>
      <w:r w:rsidRPr="00A22400">
        <w:rPr>
          <w:rFonts w:ascii="Times New Roman" w:hAnsi="Times New Roman" w:cs="Times New Roman"/>
          <w:sz w:val="24"/>
          <w:szCs w:val="24"/>
        </w:rPr>
        <w:lastRenderedPageBreak/>
        <w:t>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 xml:space="preserve">The literature provides support for the proposed conceptualization of technology and university technology transfer.  It also demonstrates the impure public good nature of both </w:t>
      </w:r>
      <w:r w:rsidR="004240F3">
        <w:rPr>
          <w:rFonts w:ascii="Times New Roman" w:hAnsi="Times New Roman" w:cs="Times New Roman"/>
          <w:sz w:val="24"/>
          <w:szCs w:val="24"/>
        </w:rPr>
        <w:lastRenderedPageBreak/>
        <w:t>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lastRenderedPageBreak/>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w:t>
      </w:r>
      <w:r>
        <w:rPr>
          <w:rFonts w:ascii="Times New Roman" w:hAnsi="Times New Roman" w:cs="Times New Roman"/>
          <w:sz w:val="24"/>
          <w:szCs w:val="24"/>
        </w:rPr>
        <w:lastRenderedPageBreak/>
        <w:t xml:space="preserve">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lastRenderedPageBreak/>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A17568">
      <w:rPr>
        <w:rFonts w:ascii="Times New Roman" w:hAnsi="Times New Roman" w:cs="Times New Roman"/>
        <w:noProof/>
        <w:sz w:val="24"/>
      </w:rPr>
      <w:t>42</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716729">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33B3"/>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2CE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2452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048F"/>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3B9"/>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582"/>
    <w:rsid w:val="009F2B70"/>
    <w:rsid w:val="009F3DF7"/>
    <w:rsid w:val="009F5C49"/>
    <w:rsid w:val="00A03066"/>
    <w:rsid w:val="00A03E98"/>
    <w:rsid w:val="00A0545A"/>
    <w:rsid w:val="00A10EA0"/>
    <w:rsid w:val="00A11F83"/>
    <w:rsid w:val="00A14BF4"/>
    <w:rsid w:val="00A15D4E"/>
    <w:rsid w:val="00A166BD"/>
    <w:rsid w:val="00A17568"/>
    <w:rsid w:val="00A22400"/>
    <w:rsid w:val="00A276D0"/>
    <w:rsid w:val="00A3021C"/>
    <w:rsid w:val="00A30B61"/>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1D3B"/>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12DE"/>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3DB9"/>
    <w:rsid w:val="00D140E3"/>
    <w:rsid w:val="00D15913"/>
    <w:rsid w:val="00D21295"/>
    <w:rsid w:val="00D22D3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40F9"/>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36C15748"/>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BE5B4-A383-4765-B642-E7D8142C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64</Pages>
  <Words>16408</Words>
  <Characters>93532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223</cp:revision>
  <cp:lastPrinted>2020-05-08T20:03:00Z</cp:lastPrinted>
  <dcterms:created xsi:type="dcterms:W3CDTF">2020-05-08T19:55:00Z</dcterms:created>
  <dcterms:modified xsi:type="dcterms:W3CDTF">2020-05-15T20:28:00Z</dcterms:modified>
</cp:coreProperties>
</file>