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Pr="00C14769">
        <w:rPr>
          <w:rFonts w:ascii="Times New Roman" w:hAnsi="Times New Roman" w:cs="Times New Roman"/>
          <w:sz w:val="24"/>
          <w:szCs w:val="24"/>
        </w:rPr>
        <w:t xml:space="preserve"> of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applying the information in a new setting</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patent licenses, product sales, or service delivery.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facilitating broader economic 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lastRenderedPageBreak/>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technology throughout an industry or an economy 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 xml:space="preserve">dicators of technology transfer.  </w:t>
      </w:r>
      <w:r>
        <w:rPr>
          <w:rFonts w:ascii="Times New Roman" w:hAnsi="Times New Roman" w:cs="Times New Roman"/>
          <w:sz w:val="24"/>
          <w:szCs w:val="24"/>
        </w:rPr>
        <w:lastRenderedPageBreak/>
        <w:t>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xml:space="preserve">; Hallam, Wurth &amp; Mancha, 2014; Markman, Gianiodis &amp; Phan, 2009).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w:t>
      </w:r>
      <w:r w:rsidRPr="004D3052">
        <w:rPr>
          <w:rFonts w:ascii="Times New Roman" w:hAnsi="Times New Roman" w:cs="Times New Roman"/>
          <w:sz w:val="24"/>
          <w:szCs w:val="24"/>
        </w:rPr>
        <w:lastRenderedPageBreak/>
        <w:t>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Thus, technology transfer can be considered non-rivalrous.  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w:t>
      </w:r>
      <w:r>
        <w:rPr>
          <w:rFonts w:ascii="Times New Roman" w:hAnsi="Times New Roman" w:cs="Times New Roman"/>
          <w:sz w:val="24"/>
          <w:szCs w:val="24"/>
        </w:rPr>
        <w:lastRenderedPageBreak/>
        <w:t>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 xml:space="preserve">t what </w:t>
      </w:r>
      <w:r w:rsidR="0027207C" w:rsidRPr="0027207C">
        <w:rPr>
          <w:rFonts w:ascii="Times New Roman" w:hAnsi="Times New Roman" w:cs="Times New Roman"/>
          <w:sz w:val="24"/>
          <w:szCs w:val="24"/>
        </w:rPr>
        <w:lastRenderedPageBreak/>
        <w:t>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 xml:space="preserve">rimary </w:t>
      </w:r>
      <w:r w:rsidR="005A514F">
        <w:rPr>
          <w:rFonts w:ascii="Times New Roman" w:hAnsi="Times New Roman" w:cs="Times New Roman"/>
          <w:sz w:val="24"/>
          <w:szCs w:val="24"/>
        </w:rPr>
        <w:lastRenderedPageBreak/>
        <w:t>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technology transfer does 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w:t>
      </w:r>
      <w:r>
        <w:rPr>
          <w:rFonts w:ascii="Times New Roman" w:hAnsi="Times New Roman" w:cs="Times New Roman"/>
          <w:sz w:val="24"/>
          <w:szCs w:val="24"/>
        </w:rPr>
        <w:lastRenderedPageBreak/>
        <w:t xml:space="preserve">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w:t>
      </w:r>
      <w:r w:rsidR="0035263C" w:rsidRPr="00805CD2">
        <w:rPr>
          <w:rFonts w:ascii="Times New Roman" w:hAnsi="Times New Roman" w:cs="Times New Roman"/>
          <w:sz w:val="24"/>
          <w:szCs w:val="24"/>
        </w:rPr>
        <w:lastRenderedPageBreak/>
        <w:t xml:space="preserve">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w:t>
      </w:r>
      <w:r w:rsidR="00892D8A">
        <w:rPr>
          <w:rFonts w:ascii="Times New Roman" w:hAnsi="Times New Roman" w:cs="Times New Roman"/>
          <w:sz w:val="24"/>
          <w:szCs w:val="24"/>
        </w:rPr>
        <w:lastRenderedPageBreak/>
        <w:t xml:space="preserve">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w:t>
      </w:r>
      <w:r w:rsidRPr="002C7E22">
        <w:rPr>
          <w:rFonts w:ascii="Times New Roman" w:hAnsi="Times New Roman" w:cs="Times New Roman"/>
          <w:sz w:val="24"/>
          <w:szCs w:val="24"/>
        </w:rPr>
        <w:lastRenderedPageBreak/>
        <w:t xml:space="preserve">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w:t>
      </w:r>
      <w:r>
        <w:rPr>
          <w:rFonts w:ascii="Times New Roman" w:hAnsi="Times New Roman" w:cs="Times New Roman"/>
          <w:sz w:val="24"/>
          <w:szCs w:val="24"/>
        </w:rPr>
        <w:lastRenderedPageBreak/>
        <w:t xml:space="preserve">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w:t>
      </w:r>
      <w:r w:rsidR="005F2BAE" w:rsidRPr="00E50380">
        <w:rPr>
          <w:rFonts w:ascii="Times New Roman" w:hAnsi="Times New Roman" w:cs="Times New Roman"/>
          <w:sz w:val="24"/>
          <w:szCs w:val="24"/>
        </w:rPr>
        <w:lastRenderedPageBreak/>
        <w:t xml:space="preserve">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 xml:space="preserve">research and </w:t>
      </w:r>
      <w:r w:rsidR="002B0C61">
        <w:rPr>
          <w:rFonts w:ascii="Times New Roman" w:hAnsi="Times New Roman" w:cs="Times New Roman"/>
          <w:sz w:val="24"/>
          <w:szCs w:val="24"/>
        </w:rPr>
        <w:lastRenderedPageBreak/>
        <w:t>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w:t>
      </w:r>
      <w:r w:rsidR="000362D7">
        <w:rPr>
          <w:rFonts w:ascii="Times New Roman" w:hAnsi="Times New Roman" w:cs="Times New Roman"/>
          <w:sz w:val="24"/>
          <w:szCs w:val="24"/>
        </w:rPr>
        <w:lastRenderedPageBreak/>
        <w:t xml:space="preserve">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focuses on the interests of the sponsoring institutions rather than theoretical considerations.  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lastRenderedPageBreak/>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w:t>
      </w:r>
      <w:r w:rsidRPr="00124582">
        <w:rPr>
          <w:rFonts w:ascii="Times New Roman" w:eastAsia="Calibri" w:hAnsi="Times New Roman" w:cs="Times New Roman"/>
          <w:sz w:val="24"/>
          <w:szCs w:val="24"/>
        </w:rPr>
        <w:lastRenderedPageBreak/>
        <w:t xml:space="preserve">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w:t>
      </w:r>
      <w:r w:rsidR="005E2F8F">
        <w:rPr>
          <w:rFonts w:ascii="Times New Roman" w:hAnsi="Times New Roman" w:cs="Times New Roman"/>
          <w:sz w:val="24"/>
          <w:szCs w:val="24"/>
        </w:rPr>
        <w:lastRenderedPageBreak/>
        <w:t xml:space="preserve">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t>
      </w:r>
      <w:r w:rsidR="00D44D86">
        <w:rPr>
          <w:rFonts w:ascii="Times New Roman" w:hAnsi="Times New Roman" w:cs="Times New Roman"/>
          <w:sz w:val="24"/>
          <w:szCs w:val="24"/>
        </w:rPr>
        <w:lastRenderedPageBreak/>
        <w:t>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EE1B57" w:rsidRDefault="00EE1B57" w:rsidP="00EE1B57">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Pr="00927A8B">
        <w:rPr>
          <w:rFonts w:ascii="Times New Roman" w:hAnsi="Times New Roman" w:cs="Times New Roman"/>
          <w:color w:val="FF0000"/>
          <w:sz w:val="24"/>
          <w:szCs w:val="24"/>
        </w:rPr>
        <w:t>[</w:t>
      </w:r>
      <w:r w:rsidRPr="00927A8B">
        <w:rPr>
          <w:rFonts w:ascii="Times New Roman" w:hAnsi="Times New Roman" w:cs="Times New Roman"/>
          <w:caps/>
          <w:color w:val="FF0000"/>
          <w:sz w:val="24"/>
          <w:szCs w:val="24"/>
        </w:rPr>
        <w:t xml:space="preserve">This </w:t>
      </w:r>
      <w:r>
        <w:rPr>
          <w:rFonts w:ascii="Times New Roman" w:hAnsi="Times New Roman" w:cs="Times New Roman"/>
          <w:caps/>
          <w:color w:val="FF0000"/>
          <w:sz w:val="24"/>
          <w:szCs w:val="24"/>
        </w:rPr>
        <w:t xml:space="preserve">section </w:t>
      </w:r>
      <w:r w:rsidRPr="00927A8B">
        <w:rPr>
          <w:rFonts w:ascii="Times New Roman" w:hAnsi="Times New Roman" w:cs="Times New Roman"/>
          <w:caps/>
          <w:color w:val="FF0000"/>
          <w:sz w:val="24"/>
          <w:szCs w:val="24"/>
        </w:rPr>
        <w:t>is not part of the project assignment for POLS 6330 Public Sector Economics.</w:t>
      </w:r>
      <w:r w:rsidRPr="00927A8B">
        <w:rPr>
          <w:rFonts w:ascii="Times New Roman" w:hAnsi="Times New Roman" w:cs="Times New Roman"/>
          <w:color w:val="FF0000"/>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Based on my experience as a technology transfer professional, there are many issues that would benefit from further scholarly research.  One issue that has peaked my interest is the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transferred to the private sector.  Discussions among industry professionals about the so called “Valley of Death” are founded upon this belief.  The Valley of Death refers to the gap between funding for basic research that produces scientific discoveries, which the federal government provides, and funding provided by the private sector for R&amp;D activity directed toward the exploitation of technologies in specific applications for the public interest</w:t>
      </w:r>
      <w:r>
        <w:rPr>
          <w:rFonts w:ascii="Times New Roman" w:hAnsi="Times New Roman" w:cs="Times New Roman"/>
          <w:sz w:val="24"/>
          <w:szCs w:val="24"/>
        </w:rPr>
        <w:t xml:space="preserve"> (CITATION NEEDED)</w:t>
      </w:r>
      <w:r w:rsidRPr="00805CD2">
        <w:rPr>
          <w:rFonts w:ascii="Times New Roman" w:hAnsi="Times New Roman" w:cs="Times New Roman"/>
          <w:sz w:val="24"/>
          <w:szCs w:val="24"/>
        </w:rPr>
        <w:t xml:space="preserve">.  Many technology transfer professionals point to this gap as a primary impediment to successfully transferring technologies to the private sector.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E1B57" w:rsidRPr="00805CD2"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w:t>
      </w:r>
      <w:r w:rsidRPr="003F55E8">
        <w:rPr>
          <w:rFonts w:ascii="Times New Roman" w:hAnsi="Times New Roman" w:cs="Times New Roman"/>
          <w:sz w:val="24"/>
          <w:szCs w:val="24"/>
        </w:rPr>
        <w:lastRenderedPageBreak/>
        <w:t>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aps/>
          <w:sz w:val="24"/>
          <w:szCs w:val="24"/>
        </w:rPr>
        <w:t xml:space="preserve">Explain the conceptualization of </w:t>
      </w:r>
      <w:r w:rsidRPr="00E307AD">
        <w:rPr>
          <w:rFonts w:ascii="Times New Roman" w:hAnsi="Times New Roman" w:cs="Times New Roman"/>
          <w:caps/>
          <w:sz w:val="24"/>
          <w:szCs w:val="24"/>
        </w:rPr>
        <w:t xml:space="preserve">development stage </w:t>
      </w:r>
      <w:r>
        <w:rPr>
          <w:rFonts w:ascii="Times New Roman" w:hAnsi="Times New Roman" w:cs="Times New Roman"/>
          <w:caps/>
          <w:sz w:val="24"/>
          <w:szCs w:val="24"/>
        </w:rPr>
        <w:t>for the study</w:t>
      </w:r>
      <w:r w:rsidRPr="00E307AD">
        <w:rPr>
          <w:rFonts w:ascii="Times New Roman" w:hAnsi="Times New Roman" w:cs="Times New Roman"/>
          <w:caps/>
          <w:sz w:val="24"/>
          <w:szCs w:val="24"/>
        </w:rPr>
        <w:t xml:space="preserve"> and provide evidence from the literature</w:t>
      </w:r>
      <w:r>
        <w:rPr>
          <w:rFonts w:ascii="Times New Roman" w:hAnsi="Times New Roman" w:cs="Times New Roman"/>
          <w:caps/>
          <w:sz w:val="24"/>
          <w:szCs w:val="24"/>
        </w:rPr>
        <w:t xml:space="preserve"> to support it</w:t>
      </w:r>
      <w:r>
        <w:rPr>
          <w:rFonts w:ascii="Times New Roman" w:hAnsi="Times New Roman" w:cs="Times New Roman"/>
          <w:sz w:val="24"/>
          <w:szCs w:val="24"/>
        </w:rPr>
        <w:t xml:space="preserve">.]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w:t>
      </w:r>
      <w:r w:rsidRPr="007E4E33">
        <w:rPr>
          <w:rFonts w:ascii="Times New Roman" w:hAnsi="Times New Roman" w:cs="Times New Roman"/>
          <w:caps/>
          <w:sz w:val="24"/>
          <w:szCs w:val="24"/>
        </w:rPr>
        <w:t>Describe approaches to measuring development stage found in the literature</w:t>
      </w:r>
      <w:r>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university-created technologies that seem to align with their missions and profit motives even when the companies appear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preliminary research question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R&amp;D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caps/>
          <w:color w:val="FF0000"/>
          <w:sz w:val="24"/>
          <w:szCs w:val="24"/>
        </w:rPr>
        <w:t>[</w:t>
      </w:r>
      <w:r w:rsidRPr="00A71561">
        <w:rPr>
          <w:rFonts w:ascii="Times New Roman" w:hAnsi="Times New Roman" w:cs="Times New Roman"/>
          <w:caps/>
          <w:color w:val="FF0000"/>
          <w:sz w:val="24"/>
          <w:szCs w:val="24"/>
        </w:rPr>
        <w:t xml:space="preserve">This </w:t>
      </w:r>
      <w:r>
        <w:rPr>
          <w:rFonts w:ascii="Times New Roman" w:hAnsi="Times New Roman" w:cs="Times New Roman"/>
          <w:caps/>
          <w:color w:val="FF0000"/>
          <w:sz w:val="24"/>
          <w:szCs w:val="24"/>
        </w:rPr>
        <w:t xml:space="preserve">section </w:t>
      </w:r>
      <w:r w:rsidRPr="00A71561">
        <w:rPr>
          <w:rFonts w:ascii="Times New Roman" w:hAnsi="Times New Roman" w:cs="Times New Roman"/>
          <w:caps/>
          <w:color w:val="FF0000"/>
          <w:sz w:val="24"/>
          <w:szCs w:val="24"/>
        </w:rPr>
        <w:t>is not part of the project assignment for POLS 6330 Public Sector Economics.</w:t>
      </w:r>
      <w:r>
        <w:rPr>
          <w:rFonts w:ascii="Times New Roman" w:hAnsi="Times New Roman" w:cs="Times New Roman"/>
          <w:caps/>
          <w:color w:val="FF0000"/>
          <w:sz w:val="24"/>
          <w:szCs w:val="24"/>
        </w:rPr>
        <w:t>]</w:t>
      </w:r>
      <w:r w:rsidRPr="006B59AE">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Pr="00A22400">
        <w:rPr>
          <w:rFonts w:ascii="Times New Roman" w:hAnsi="Times New Roman" w:cs="Times New Roman"/>
          <w:sz w:val="24"/>
          <w:szCs w:val="24"/>
        </w:rPr>
        <w:t xml:space="preserve">evelopment stage has generally not been considered as an </w:t>
      </w:r>
      <w:r>
        <w:rPr>
          <w:rFonts w:ascii="Times New Roman" w:hAnsi="Times New Roman" w:cs="Times New Roman"/>
          <w:sz w:val="24"/>
          <w:szCs w:val="24"/>
        </w:rPr>
        <w:t>explanatory</w:t>
      </w:r>
      <w:r w:rsidRPr="00A22400">
        <w:rPr>
          <w:rFonts w:ascii="Times New Roman" w:hAnsi="Times New Roman" w:cs="Times New Roman"/>
          <w:sz w:val="24"/>
          <w:szCs w:val="24"/>
        </w:rPr>
        <w:t xml:space="preserve"> variable in studies of technology transfer.  </w:t>
      </w: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 xml:space="preserve">that side </w:t>
      </w:r>
      <w:r w:rsidRPr="00A72207">
        <w:rPr>
          <w:rFonts w:ascii="Times New Roman" w:hAnsi="Times New Roman" w:cs="Times New Roman"/>
          <w:sz w:val="24"/>
          <w:szCs w:val="24"/>
        </w:rPr>
        <w:lastRenderedPageBreak/>
        <w:t>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Organizations participating in the market for technology are faced with the task of making choices under uncertainty.  Each available technology choice has an unknown and uncertain probability of helping the organization realize certain preferences and produce a net </w:t>
      </w:r>
      <w:r>
        <w:rPr>
          <w:rFonts w:ascii="Times New Roman" w:hAnsi="Times New Roman" w:cs="Times New Roman"/>
          <w:sz w:val="24"/>
          <w:szCs w:val="24"/>
        </w:rPr>
        <w:lastRenderedPageBreak/>
        <w:t>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w:t>
      </w:r>
      <w:r>
        <w:rPr>
          <w:rFonts w:ascii="Times New Roman" w:hAnsi="Times New Roman" w:cs="Times New Roman"/>
          <w:sz w:val="24"/>
          <w:szCs w:val="24"/>
        </w:rPr>
        <w:lastRenderedPageBreak/>
        <w:t xml:space="preserve">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rPr>
          <w:rFonts w:ascii="Times New Roman" w:hAnsi="Times New Roman" w:cs="Times New Roman"/>
          <w:sz w:val="24"/>
          <w:szCs w:val="24"/>
        </w:rPr>
        <w:lastRenderedPageBreak/>
        <w:t>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w:t>
      </w:r>
      <w:r>
        <w:rPr>
          <w:rFonts w:ascii="Times New Roman" w:hAnsi="Times New Roman" w:cs="Times New Roman"/>
          <w:sz w:val="24"/>
          <w:szCs w:val="24"/>
        </w:rPr>
        <w:lastRenderedPageBreak/>
        <w:t>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w:t>
      </w:r>
      <w:r>
        <w:rPr>
          <w:rFonts w:ascii="Times New Roman" w:hAnsi="Times New Roman" w:cs="Times New Roman"/>
          <w:sz w:val="24"/>
          <w:szCs w:val="24"/>
        </w:rPr>
        <w:lastRenderedPageBreak/>
        <w:t xml:space="preserve">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Development Stage in University </w:t>
      </w:r>
      <w:r w:rsidRPr="00E6382B">
        <w:rPr>
          <w:rFonts w:ascii="Times New Roman" w:hAnsi="Times New Roman" w:cs="Times New Roman"/>
          <w:b/>
          <w:sz w:val="24"/>
          <w:szCs w:val="24"/>
        </w:rPr>
        <w:t>Technology Transfer Policy</w:t>
      </w:r>
    </w:p>
    <w:p w:rsidR="00EE1B57" w:rsidRPr="00927A8B" w:rsidRDefault="00EE1B57" w:rsidP="00EE1B57">
      <w:pPr>
        <w:spacing w:after="0" w:line="480" w:lineRule="auto"/>
        <w:ind w:firstLine="720"/>
        <w:rPr>
          <w:rFonts w:ascii="Times New Roman" w:hAnsi="Times New Roman" w:cs="Times New Roman"/>
          <w:color w:val="FF0000"/>
          <w:sz w:val="24"/>
          <w:szCs w:val="24"/>
        </w:rPr>
      </w:pPr>
      <w:r w:rsidRPr="00927A8B">
        <w:rPr>
          <w:rFonts w:ascii="Times New Roman" w:hAnsi="Times New Roman" w:cs="Times New Roman"/>
          <w:caps/>
          <w:color w:val="FF0000"/>
          <w:sz w:val="24"/>
          <w:szCs w:val="24"/>
        </w:rPr>
        <w:t>[This section is not part of the project assignment for POLS 6330 Public Sector Economics.]</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U.S.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w:t>
      </w:r>
      <w:r w:rsidRPr="0015245D">
        <w:rPr>
          <w:rFonts w:ascii="Times New Roman" w:hAnsi="Times New Roman" w:cs="Times New Roman"/>
          <w:sz w:val="24"/>
          <w:szCs w:val="24"/>
        </w:rPr>
        <w:lastRenderedPageBreak/>
        <w:t xml:space="preserve">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w:t>
      </w:r>
      <w:r w:rsidR="005E38B5">
        <w:rPr>
          <w:rFonts w:ascii="Times New Roman" w:hAnsi="Times New Roman" w:cs="Times New Roman"/>
          <w:sz w:val="24"/>
          <w:szCs w:val="24"/>
        </w:rPr>
        <w:lastRenderedPageBreak/>
        <w:t xml:space="preserve">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lastRenderedPageBreak/>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287B8D" w:rsidRPr="00287B8D" w:rsidRDefault="00287B8D" w:rsidP="00CF7AE4">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lastRenderedPageBreak/>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lastRenderedPageBreak/>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lastRenderedPageBreak/>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6D2E49">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6D2E49">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747D"/>
    <w:rsid w:val="00020473"/>
    <w:rsid w:val="000208A2"/>
    <w:rsid w:val="000233F0"/>
    <w:rsid w:val="0003023E"/>
    <w:rsid w:val="0003104B"/>
    <w:rsid w:val="000362D7"/>
    <w:rsid w:val="00037DE5"/>
    <w:rsid w:val="00040610"/>
    <w:rsid w:val="000416DB"/>
    <w:rsid w:val="00043E8A"/>
    <w:rsid w:val="00047283"/>
    <w:rsid w:val="000505D0"/>
    <w:rsid w:val="00051D3D"/>
    <w:rsid w:val="0005222B"/>
    <w:rsid w:val="000530DF"/>
    <w:rsid w:val="0006408A"/>
    <w:rsid w:val="0006678C"/>
    <w:rsid w:val="00067065"/>
    <w:rsid w:val="0007069C"/>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6F8"/>
    <w:rsid w:val="000F200B"/>
    <w:rsid w:val="000F20AA"/>
    <w:rsid w:val="000F2841"/>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2EE"/>
    <w:rsid w:val="00181E72"/>
    <w:rsid w:val="00184A26"/>
    <w:rsid w:val="001944B9"/>
    <w:rsid w:val="0019550C"/>
    <w:rsid w:val="001A5775"/>
    <w:rsid w:val="001A594D"/>
    <w:rsid w:val="001A635F"/>
    <w:rsid w:val="001B1337"/>
    <w:rsid w:val="001B352F"/>
    <w:rsid w:val="001B6DCD"/>
    <w:rsid w:val="001C138F"/>
    <w:rsid w:val="001C5E8A"/>
    <w:rsid w:val="001C724C"/>
    <w:rsid w:val="001C76D4"/>
    <w:rsid w:val="001C7CF1"/>
    <w:rsid w:val="001D232F"/>
    <w:rsid w:val="001D2ACA"/>
    <w:rsid w:val="001D4B06"/>
    <w:rsid w:val="001D4CB2"/>
    <w:rsid w:val="001D67EF"/>
    <w:rsid w:val="001E3017"/>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10A6F"/>
    <w:rsid w:val="00317C25"/>
    <w:rsid w:val="0032335B"/>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1DA7"/>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E104B"/>
    <w:rsid w:val="003E5991"/>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6209"/>
    <w:rsid w:val="0048729E"/>
    <w:rsid w:val="00494213"/>
    <w:rsid w:val="004948EA"/>
    <w:rsid w:val="00496458"/>
    <w:rsid w:val="00496CEA"/>
    <w:rsid w:val="004A0CC1"/>
    <w:rsid w:val="004A3D81"/>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BBD"/>
    <w:rsid w:val="004F1D29"/>
    <w:rsid w:val="004F2C16"/>
    <w:rsid w:val="00507ADE"/>
    <w:rsid w:val="00507EDB"/>
    <w:rsid w:val="0051091F"/>
    <w:rsid w:val="00511298"/>
    <w:rsid w:val="00515430"/>
    <w:rsid w:val="00515BC8"/>
    <w:rsid w:val="005174F4"/>
    <w:rsid w:val="005229B5"/>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DAD"/>
    <w:rsid w:val="006563A8"/>
    <w:rsid w:val="006567EE"/>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44ED"/>
    <w:rsid w:val="006B59AE"/>
    <w:rsid w:val="006C5F4B"/>
    <w:rsid w:val="006C6B15"/>
    <w:rsid w:val="006D2E49"/>
    <w:rsid w:val="006D3D9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23CD0"/>
    <w:rsid w:val="0072531E"/>
    <w:rsid w:val="007261BF"/>
    <w:rsid w:val="00727D98"/>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E69"/>
    <w:rsid w:val="007B27B9"/>
    <w:rsid w:val="007B4C19"/>
    <w:rsid w:val="007B56C5"/>
    <w:rsid w:val="007C2B18"/>
    <w:rsid w:val="007C3906"/>
    <w:rsid w:val="007C406E"/>
    <w:rsid w:val="007C6F82"/>
    <w:rsid w:val="007D1948"/>
    <w:rsid w:val="007D601A"/>
    <w:rsid w:val="007D68B4"/>
    <w:rsid w:val="007E15AD"/>
    <w:rsid w:val="007E4AA2"/>
    <w:rsid w:val="007E4D24"/>
    <w:rsid w:val="007E4E33"/>
    <w:rsid w:val="007F0731"/>
    <w:rsid w:val="007F0C9A"/>
    <w:rsid w:val="007F1E2C"/>
    <w:rsid w:val="007F4F79"/>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50F8"/>
    <w:rsid w:val="0086207B"/>
    <w:rsid w:val="00862230"/>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7362"/>
    <w:rsid w:val="00971121"/>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B70"/>
    <w:rsid w:val="009F3DF7"/>
    <w:rsid w:val="00A03066"/>
    <w:rsid w:val="00A03E98"/>
    <w:rsid w:val="00A0545A"/>
    <w:rsid w:val="00A10EA0"/>
    <w:rsid w:val="00A11F83"/>
    <w:rsid w:val="00A14BF4"/>
    <w:rsid w:val="00A166BD"/>
    <w:rsid w:val="00A22400"/>
    <w:rsid w:val="00A276D0"/>
    <w:rsid w:val="00A3021C"/>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5E9C"/>
    <w:rsid w:val="00AE77C8"/>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59D6"/>
    <w:rsid w:val="00B36ADD"/>
    <w:rsid w:val="00B4066E"/>
    <w:rsid w:val="00B4635C"/>
    <w:rsid w:val="00B4636A"/>
    <w:rsid w:val="00B46C1A"/>
    <w:rsid w:val="00B50A7A"/>
    <w:rsid w:val="00B541DF"/>
    <w:rsid w:val="00B643CD"/>
    <w:rsid w:val="00B740D2"/>
    <w:rsid w:val="00B758B0"/>
    <w:rsid w:val="00B76741"/>
    <w:rsid w:val="00B76EEE"/>
    <w:rsid w:val="00B80784"/>
    <w:rsid w:val="00B8112A"/>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7BAA"/>
    <w:rsid w:val="00C25CEB"/>
    <w:rsid w:val="00C260E9"/>
    <w:rsid w:val="00C2759B"/>
    <w:rsid w:val="00C27DF8"/>
    <w:rsid w:val="00C315F7"/>
    <w:rsid w:val="00C3364A"/>
    <w:rsid w:val="00C3533E"/>
    <w:rsid w:val="00C411DD"/>
    <w:rsid w:val="00C5065A"/>
    <w:rsid w:val="00C50AFC"/>
    <w:rsid w:val="00C55F39"/>
    <w:rsid w:val="00C62809"/>
    <w:rsid w:val="00C63078"/>
    <w:rsid w:val="00C63BD8"/>
    <w:rsid w:val="00C66F08"/>
    <w:rsid w:val="00C76724"/>
    <w:rsid w:val="00C80445"/>
    <w:rsid w:val="00C842C1"/>
    <w:rsid w:val="00C84BC7"/>
    <w:rsid w:val="00C924C4"/>
    <w:rsid w:val="00C95140"/>
    <w:rsid w:val="00CA0C07"/>
    <w:rsid w:val="00CA1A11"/>
    <w:rsid w:val="00CA4576"/>
    <w:rsid w:val="00CA74D7"/>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40E3"/>
    <w:rsid w:val="00D2129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F4C"/>
    <w:rsid w:val="00D727AB"/>
    <w:rsid w:val="00D72B16"/>
    <w:rsid w:val="00D7315A"/>
    <w:rsid w:val="00D7581D"/>
    <w:rsid w:val="00D77E6A"/>
    <w:rsid w:val="00D809B8"/>
    <w:rsid w:val="00D83869"/>
    <w:rsid w:val="00D83A3E"/>
    <w:rsid w:val="00D86C5D"/>
    <w:rsid w:val="00D872BD"/>
    <w:rsid w:val="00D87ADF"/>
    <w:rsid w:val="00D87C66"/>
    <w:rsid w:val="00D9503D"/>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806FF"/>
    <w:rsid w:val="00E8568B"/>
    <w:rsid w:val="00E8736C"/>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6629"/>
    <w:rsid w:val="00F016F6"/>
    <w:rsid w:val="00F01C8B"/>
    <w:rsid w:val="00F06220"/>
    <w:rsid w:val="00F11F1A"/>
    <w:rsid w:val="00F12833"/>
    <w:rsid w:val="00F14A89"/>
    <w:rsid w:val="00F15ED6"/>
    <w:rsid w:val="00F16012"/>
    <w:rsid w:val="00F17FAE"/>
    <w:rsid w:val="00F2314C"/>
    <w:rsid w:val="00F24C17"/>
    <w:rsid w:val="00F26D1A"/>
    <w:rsid w:val="00F340DE"/>
    <w:rsid w:val="00F34B7A"/>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5770"/>
    <w:rsid w:val="00F65C12"/>
    <w:rsid w:val="00F65C5D"/>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52BD"/>
    <w:rsid w:val="00FA52C4"/>
    <w:rsid w:val="00FA5E02"/>
    <w:rsid w:val="00FB51DD"/>
    <w:rsid w:val="00FB5587"/>
    <w:rsid w:val="00FB6C0D"/>
    <w:rsid w:val="00FC0ABA"/>
    <w:rsid w:val="00FC0FAF"/>
    <w:rsid w:val="00FC77F2"/>
    <w:rsid w:val="00FD240F"/>
    <w:rsid w:val="00FD63F4"/>
    <w:rsid w:val="00FD642E"/>
    <w:rsid w:val="00FD6532"/>
    <w:rsid w:val="00FD6A73"/>
    <w:rsid w:val="00FE5A2D"/>
    <w:rsid w:val="00FF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7BA83848"/>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F3F7E-09B9-4572-A5EE-306FBB38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59</Pages>
  <Words>15276</Words>
  <Characters>87078</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125</cp:revision>
  <cp:lastPrinted>2020-05-08T20:03:00Z</cp:lastPrinted>
  <dcterms:created xsi:type="dcterms:W3CDTF">2020-05-08T19:55:00Z</dcterms:created>
  <dcterms:modified xsi:type="dcterms:W3CDTF">2020-05-12T16:00:00Z</dcterms:modified>
</cp:coreProperties>
</file>