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bookmarkStart w:id="0" w:name="_GoBack"/>
      <w:bookmarkEnd w:id="0"/>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 xml:space="preserve">profit-driven and mission-driven </w:t>
      </w:r>
      <w:r w:rsidRPr="0009261D">
        <w:rPr>
          <w:rFonts w:ascii="Times New Roman" w:hAnsi="Times New Roman" w:cs="Times New Roman"/>
          <w:sz w:val="24"/>
          <w:szCs w:val="24"/>
        </w:rPr>
        <w:lastRenderedPageBreak/>
        <w:t>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 xml:space="preserve">ed by the private sector for research and </w:t>
      </w:r>
      <w:r w:rsidR="006D483D">
        <w:rPr>
          <w:rFonts w:ascii="Times New Roman" w:hAnsi="Times New Roman" w:cs="Times New Roman"/>
          <w:sz w:val="24"/>
          <w:szCs w:val="24"/>
        </w:rPr>
        <w:lastRenderedPageBreak/>
        <w:t>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 xml:space="preserve">ased on both experience and reasoned </w:t>
      </w:r>
      <w:r w:rsidRPr="003F55E8">
        <w:rPr>
          <w:rFonts w:ascii="Times New Roman" w:hAnsi="Times New Roman" w:cs="Times New Roman"/>
          <w:sz w:val="24"/>
          <w:szCs w:val="24"/>
        </w:rPr>
        <w:lastRenderedPageBreak/>
        <w:t>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w:t>
      </w:r>
      <w:r>
        <w:rPr>
          <w:rFonts w:ascii="Times New Roman" w:hAnsi="Times New Roman" w:cs="Times New Roman"/>
          <w:sz w:val="24"/>
          <w:szCs w:val="24"/>
        </w:rPr>
        <w:lastRenderedPageBreak/>
        <w:t>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rPr>
          <w:rFonts w:ascii="Times New Roman" w:hAnsi="Times New Roman" w:cs="Times New Roman"/>
          <w:sz w:val="24"/>
          <w:szCs w:val="24"/>
        </w:rPr>
        <w:lastRenderedPageBreak/>
        <w:t xml:space="preserve">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rPr>
          <w:rFonts w:ascii="Times New Roman" w:hAnsi="Times New Roman" w:cs="Times New Roman"/>
          <w:sz w:val="24"/>
          <w:szCs w:val="24"/>
        </w:rP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w:t>
      </w:r>
      <w:r>
        <w:rPr>
          <w:rFonts w:ascii="Times New Roman" w:hAnsi="Times New Roman" w:cs="Times New Roman"/>
          <w:sz w:val="24"/>
          <w:szCs w:val="24"/>
        </w:rPr>
        <w:lastRenderedPageBreak/>
        <w:t xml:space="preserve">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lastRenderedPageBreak/>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w:t>
      </w:r>
      <w:r w:rsidRPr="00756E53">
        <w:rPr>
          <w:rFonts w:ascii="Times New Roman" w:hAnsi="Times New Roman" w:cs="Times New Roman"/>
          <w:sz w:val="24"/>
          <w:szCs w:val="24"/>
        </w:rPr>
        <w:lastRenderedPageBreak/>
        <w:t>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6C7867">
      <w:rPr>
        <w:rFonts w:ascii="Times New Roman" w:hAnsi="Times New Roman" w:cs="Times New Roman"/>
        <w:noProof/>
        <w:sz w:val="24"/>
      </w:rPr>
      <w:t>43</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F1D3B">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2CE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0B61"/>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1D3B"/>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15913"/>
    <w:rsid w:val="00D21295"/>
    <w:rsid w:val="00D22D3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40F9"/>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09BA70F5"/>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66E3-833D-46E0-9374-74317294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63</Pages>
  <Words>16223</Words>
  <Characters>92477</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208</cp:revision>
  <cp:lastPrinted>2020-05-08T20:03:00Z</cp:lastPrinted>
  <dcterms:created xsi:type="dcterms:W3CDTF">2020-05-08T19:55:00Z</dcterms:created>
  <dcterms:modified xsi:type="dcterms:W3CDTF">2020-05-15T16:11:00Z</dcterms:modified>
</cp:coreProperties>
</file>