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bookmarkStart w:id="0" w:name="_GoBack"/>
      <w:bookmarkEnd w:id="0"/>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 xml:space="preserve">hey </w:t>
      </w:r>
      <w:r w:rsidR="006553B9">
        <w:rPr>
          <w:rFonts w:ascii="Times New Roman" w:hAnsi="Times New Roman" w:cs="Times New Roman"/>
          <w:sz w:val="24"/>
          <w:szCs w:val="24"/>
        </w:rPr>
        <w:lastRenderedPageBreak/>
        <w:t>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invention risk.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  The advancement degree of difficulty metric… The research and development degree of difficulty metric…</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 xml:space="preserve">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w:t>
      </w:r>
      <w:r>
        <w:rPr>
          <w:rFonts w:ascii="Times New Roman" w:hAnsi="Times New Roman" w:cs="Times New Roman"/>
          <w:sz w:val="24"/>
          <w:szCs w:val="24"/>
        </w:rPr>
        <w:lastRenderedPageBreak/>
        <w:t>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w:t>
      </w:r>
      <w:r w:rsidRPr="003F55E8">
        <w:rPr>
          <w:rFonts w:ascii="Times New Roman" w:hAnsi="Times New Roman" w:cs="Times New Roman"/>
          <w:sz w:val="24"/>
          <w:szCs w:val="24"/>
        </w:rPr>
        <w:lastRenderedPageBreak/>
        <w:t>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therefore seems reasonable to discuss university technology transfer at the organizational level. As Simon (1991) explains, “some phenomena are more conveniently described in terms of organizations and parts of organizations than in terms of the individual </w:t>
      </w:r>
      <w:r>
        <w:rPr>
          <w:rFonts w:ascii="Times New Roman" w:hAnsi="Times New Roman" w:cs="Times New Roman"/>
          <w:sz w:val="24"/>
          <w:szCs w:val="24"/>
        </w:rPr>
        <w:lastRenderedPageBreak/>
        <w:t>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uncertain probability of helping the organization realize certain preferences and produce a net </w:t>
      </w:r>
      <w:r>
        <w:rPr>
          <w:rFonts w:ascii="Times New Roman" w:hAnsi="Times New Roman" w:cs="Times New Roman"/>
          <w:sz w:val="24"/>
          <w:szCs w:val="24"/>
        </w:rPr>
        <w:lastRenderedPageBreak/>
        <w:t>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t>
      </w:r>
      <w:r>
        <w:rPr>
          <w:rFonts w:ascii="Times New Roman" w:hAnsi="Times New Roman" w:cs="Times New Roman"/>
          <w:sz w:val="24"/>
          <w:szCs w:val="24"/>
        </w:rPr>
        <w:lastRenderedPageBreak/>
        <w:t xml:space="preserve">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w:t>
      </w:r>
      <w:r>
        <w:rPr>
          <w:rFonts w:ascii="Times New Roman" w:hAnsi="Times New Roman" w:cs="Times New Roman"/>
          <w:sz w:val="24"/>
          <w:szCs w:val="24"/>
        </w:rPr>
        <w:lastRenderedPageBreak/>
        <w:t xml:space="preserve">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w:t>
      </w:r>
      <w:r w:rsidRPr="00A22400">
        <w:rPr>
          <w:rFonts w:ascii="Times New Roman" w:hAnsi="Times New Roman" w:cs="Times New Roman"/>
          <w:sz w:val="24"/>
          <w:szCs w:val="24"/>
        </w:rPr>
        <w:lastRenderedPageBreak/>
        <w:t>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They found that the primary public policy measures studied in the literature </w:t>
      </w:r>
      <w:r w:rsidRPr="0015245D">
        <w:rPr>
          <w:rFonts w:ascii="Times New Roman" w:hAnsi="Times New Roman" w:cs="Times New Roman"/>
          <w:sz w:val="24"/>
          <w:szCs w:val="24"/>
        </w:rPr>
        <w:lastRenderedPageBreak/>
        <w:t>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w:t>
      </w:r>
      <w:r w:rsidR="00B91BEB">
        <w:rPr>
          <w:rFonts w:ascii="Times New Roman" w:hAnsi="Times New Roman" w:cs="Times New Roman"/>
          <w:sz w:val="24"/>
          <w:szCs w:val="24"/>
        </w:rPr>
        <w:lastRenderedPageBreak/>
        <w:t xml:space="preserve">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w:t>
      </w:r>
      <w:r>
        <w:rPr>
          <w:rFonts w:ascii="Times New Roman" w:hAnsi="Times New Roman" w:cs="Times New Roman"/>
          <w:sz w:val="24"/>
          <w:szCs w:val="24"/>
        </w:rPr>
        <w:lastRenderedPageBreak/>
        <w:t xml:space="preserve">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xml:space="preserve">. Retrieved from </w:t>
      </w:r>
      <w:r w:rsidRPr="00DB72A2">
        <w:rPr>
          <w:rFonts w:ascii="Times New Roman" w:hAnsi="Times New Roman" w:cs="Times New Roman"/>
          <w:sz w:val="24"/>
          <w:szCs w:val="24"/>
        </w:rPr>
        <w:lastRenderedPageBreak/>
        <w:t>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lastRenderedPageBreak/>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lastRenderedPageBreak/>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Paper presented at the 2015 Portland International Conference on Management of Engineering and Technology (PICMET),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lastRenderedPageBreak/>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w:t>
      </w:r>
      <w:r w:rsidRPr="00756E53">
        <w:rPr>
          <w:rFonts w:ascii="Times New Roman" w:hAnsi="Times New Roman" w:cs="Times New Roman"/>
          <w:sz w:val="24"/>
          <w:szCs w:val="24"/>
        </w:rPr>
        <w:lastRenderedPageBreak/>
        <w:t>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D307F4"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w:t>
    </w:r>
    <w:r w:rsidR="00EE11EB">
      <w:rPr>
        <w:rFonts w:ascii="Times New Roman" w:hAnsi="Times New Roman" w:cs="Times New Roman"/>
        <w:sz w:val="24"/>
      </w:rPr>
      <w:t xml:space="preserve"> of D</w:t>
    </w:r>
    <w:r w:rsidR="00EC52FA">
      <w:rPr>
        <w:rFonts w:ascii="Times New Roman" w:hAnsi="Times New Roman" w:cs="Times New Roman"/>
        <w:sz w:val="24"/>
      </w:rPr>
      <w:t>evelopment Stage o</w:t>
    </w:r>
    <w:r w:rsidR="00D3427A">
      <w:rPr>
        <w:rFonts w:ascii="Times New Roman" w:hAnsi="Times New Roman" w:cs="Times New Roman"/>
        <w:sz w:val="24"/>
      </w:rPr>
      <w:t>n</w:t>
    </w:r>
    <w:r w:rsidR="001A5775">
      <w:rPr>
        <w:rFonts w:ascii="Times New Roman" w:hAnsi="Times New Roman" w:cs="Times New Roman"/>
        <w:sz w:val="24"/>
      </w:rPr>
      <w:t xml:space="preserve">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416E0A">
      <w:rPr>
        <w:rFonts w:ascii="Times New Roman" w:hAnsi="Times New Roman" w:cs="Times New Roman"/>
        <w:noProof/>
        <w:sz w:val="24"/>
      </w:rPr>
      <w:t>43</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D307F4">
      <w:rPr>
        <w:rFonts w:ascii="Times New Roman" w:hAnsi="Times New Roman" w:cs="Times New Roman"/>
        <w:sz w:val="24"/>
      </w:rPr>
      <w:t>The Influence</w:t>
    </w:r>
    <w:r w:rsidR="00EE11EB">
      <w:rPr>
        <w:rFonts w:ascii="Times New Roman" w:hAnsi="Times New Roman" w:cs="Times New Roman"/>
        <w:sz w:val="24"/>
      </w:rPr>
      <w:t xml:space="preserve"> of </w:t>
    </w:r>
    <w:r w:rsidR="00EC52FA">
      <w:rPr>
        <w:rFonts w:ascii="Times New Roman" w:hAnsi="Times New Roman" w:cs="Times New Roman"/>
        <w:sz w:val="24"/>
      </w:rPr>
      <w:t>Development Stage on</w:t>
    </w:r>
    <w:r w:rsidR="00D3427A">
      <w:rPr>
        <w:rFonts w:ascii="Times New Roman" w:hAnsi="Times New Roman" w:cs="Times New Roman"/>
        <w:sz w:val="24"/>
      </w:rPr>
      <w:t xml:space="preserve">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D307F4">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0F77"/>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0F35"/>
    <w:rsid w:val="000F200B"/>
    <w:rsid w:val="000F20AA"/>
    <w:rsid w:val="000F2841"/>
    <w:rsid w:val="000F33B3"/>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0A49"/>
    <w:rsid w:val="00247773"/>
    <w:rsid w:val="002508D1"/>
    <w:rsid w:val="00250EC3"/>
    <w:rsid w:val="002517F7"/>
    <w:rsid w:val="00251E7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2452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048F"/>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00461"/>
    <w:rsid w:val="00410B3F"/>
    <w:rsid w:val="00412167"/>
    <w:rsid w:val="00416E0A"/>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02FC"/>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59B3"/>
    <w:rsid w:val="00556E08"/>
    <w:rsid w:val="00557C0C"/>
    <w:rsid w:val="00562110"/>
    <w:rsid w:val="0056293C"/>
    <w:rsid w:val="00564B13"/>
    <w:rsid w:val="00570DB7"/>
    <w:rsid w:val="005723E9"/>
    <w:rsid w:val="005732E2"/>
    <w:rsid w:val="005735E1"/>
    <w:rsid w:val="00575910"/>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592D"/>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033"/>
    <w:rsid w:val="00633DE9"/>
    <w:rsid w:val="006372DC"/>
    <w:rsid w:val="00640E07"/>
    <w:rsid w:val="00646806"/>
    <w:rsid w:val="00651A08"/>
    <w:rsid w:val="00651EF5"/>
    <w:rsid w:val="00653692"/>
    <w:rsid w:val="006538BC"/>
    <w:rsid w:val="006553B9"/>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C7867"/>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713A"/>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361"/>
    <w:rsid w:val="009F2582"/>
    <w:rsid w:val="009F2B70"/>
    <w:rsid w:val="009F3DF7"/>
    <w:rsid w:val="009F5C49"/>
    <w:rsid w:val="00A03066"/>
    <w:rsid w:val="00A03E98"/>
    <w:rsid w:val="00A0545A"/>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07A1"/>
    <w:rsid w:val="00A43115"/>
    <w:rsid w:val="00A469A5"/>
    <w:rsid w:val="00A51FFE"/>
    <w:rsid w:val="00A54CD0"/>
    <w:rsid w:val="00A565FA"/>
    <w:rsid w:val="00A5675E"/>
    <w:rsid w:val="00A6012B"/>
    <w:rsid w:val="00A60659"/>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1D3B"/>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966E8"/>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EE9"/>
    <w:rsid w:val="00DF3435"/>
    <w:rsid w:val="00DF76C5"/>
    <w:rsid w:val="00E03FC5"/>
    <w:rsid w:val="00E070F2"/>
    <w:rsid w:val="00E1018A"/>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C52FA"/>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40F9"/>
    <w:rsid w:val="00F65770"/>
    <w:rsid w:val="00F65C12"/>
    <w:rsid w:val="00F65C5D"/>
    <w:rsid w:val="00F65D6D"/>
    <w:rsid w:val="00F71EA3"/>
    <w:rsid w:val="00F73B7C"/>
    <w:rsid w:val="00F7705B"/>
    <w:rsid w:val="00F80336"/>
    <w:rsid w:val="00F814E2"/>
    <w:rsid w:val="00F82401"/>
    <w:rsid w:val="00F82A8D"/>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233DD9F8"/>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B382-886C-4343-99DA-F6564D76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66</Pages>
  <Words>16955</Words>
  <Characters>96648</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248</cp:revision>
  <cp:lastPrinted>2020-05-08T20:03:00Z</cp:lastPrinted>
  <dcterms:created xsi:type="dcterms:W3CDTF">2020-05-08T19:55:00Z</dcterms:created>
  <dcterms:modified xsi:type="dcterms:W3CDTF">2020-05-16T20:04:00Z</dcterms:modified>
</cp:coreProperties>
</file>