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xml:space="preserve">; Hallam, Wurth &amp; Mancha, 2014; Markman, Gianiodis &amp; Phan, 2009).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w:t>
      </w:r>
      <w:r>
        <w:rPr>
          <w:rFonts w:ascii="Times New Roman" w:hAnsi="Times New Roman" w:cs="Times New Roman"/>
          <w:sz w:val="24"/>
          <w:szCs w:val="24"/>
        </w:rPr>
        <w:lastRenderedPageBreak/>
        <w:t xml:space="preserve">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Mr. Stan Sadin of the Office of Aeronautics and Space Technology is credited with devising the original TRL scale, early versions of which consisted of either six or seven levels, each with a brief one-line definition (Mankin</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comprised of nine levels (Mankins, 1995; Mankins, 2009).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preliminary research question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lastRenderedPageBreak/>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R&amp;D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 xml:space="preserve">for basic research </w:t>
      </w:r>
      <w:r w:rsidRPr="00805CD2">
        <w:rPr>
          <w:rFonts w:ascii="Times New Roman" w:hAnsi="Times New Roman" w:cs="Times New Roman"/>
          <w:sz w:val="24"/>
          <w:szCs w:val="24"/>
        </w:rPr>
        <w:lastRenderedPageBreak/>
        <w:t>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Hudson &amp; 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w:t>
      </w:r>
      <w:r w:rsidRPr="003F55E8">
        <w:rPr>
          <w:rFonts w:ascii="Times New Roman" w:hAnsi="Times New Roman" w:cs="Times New Roman"/>
          <w:sz w:val="24"/>
          <w:szCs w:val="24"/>
        </w:rPr>
        <w:lastRenderedPageBreak/>
        <w:t xml:space="preserve">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that side 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Organizations participating in the market for technology are faced with the task of making choices under uncertainty.  Each available technology choice has an unknown and </w:t>
      </w:r>
      <w:r>
        <w:rPr>
          <w:rFonts w:ascii="Times New Roman" w:hAnsi="Times New Roman" w:cs="Times New Roman"/>
          <w:sz w:val="24"/>
          <w:szCs w:val="24"/>
        </w:rPr>
        <w:lastRenderedPageBreak/>
        <w:t>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t>
      </w:r>
      <w:r>
        <w:rPr>
          <w:rFonts w:ascii="Times New Roman" w:hAnsi="Times New Roman" w:cs="Times New Roman"/>
          <w:sz w:val="24"/>
          <w:szCs w:val="24"/>
        </w:rPr>
        <w:lastRenderedPageBreak/>
        <w:t xml:space="preserve">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rPr>
          <w:rFonts w:ascii="Times New Roman" w:hAnsi="Times New Roman" w:cs="Times New Roman"/>
          <w:sz w:val="24"/>
          <w:szCs w:val="24"/>
        </w:rPr>
        <w:lastRenderedPageBreak/>
        <w:t>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w:t>
      </w:r>
      <w:r>
        <w:rPr>
          <w:rFonts w:ascii="Times New Roman" w:hAnsi="Times New Roman" w:cs="Times New Roman"/>
          <w:sz w:val="24"/>
          <w:szCs w:val="24"/>
        </w:rPr>
        <w:lastRenderedPageBreak/>
        <w:t xml:space="preserve">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w:t>
      </w:r>
      <w:r w:rsidRPr="00A22400">
        <w:rPr>
          <w:rFonts w:ascii="Times New Roman" w:hAnsi="Times New Roman" w:cs="Times New Roman"/>
          <w:sz w:val="24"/>
          <w:szCs w:val="24"/>
        </w:rPr>
        <w:lastRenderedPageBreak/>
        <w:t>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They found that the primary public policy measures studied in the literature </w:t>
      </w:r>
      <w:r w:rsidRPr="0015245D">
        <w:rPr>
          <w:rFonts w:ascii="Times New Roman" w:hAnsi="Times New Roman" w:cs="Times New Roman"/>
          <w:sz w:val="24"/>
          <w:szCs w:val="24"/>
        </w:rPr>
        <w:lastRenderedPageBreak/>
        <w:t>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w:t>
      </w:r>
      <w:r w:rsidR="00B91BEB">
        <w:rPr>
          <w:rFonts w:ascii="Times New Roman" w:hAnsi="Times New Roman" w:cs="Times New Roman"/>
          <w:sz w:val="24"/>
          <w:szCs w:val="24"/>
        </w:rPr>
        <w:lastRenderedPageBreak/>
        <w:t xml:space="preserve">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0" w:name="References"/>
      <w:bookmarkEnd w:id="0"/>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Blank, S., &amp; Dorf, B. (2012). The startup owner’s manual: The step-by-step guide for building a great company. Pescadero, CA: K&amp;S Ranch,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lastRenderedPageBreak/>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lastRenderedPageBreak/>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lastRenderedPageBreak/>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bookmarkStart w:id="1" w:name="_GoBack"/>
      <w:bookmarkEnd w:id="1"/>
      <w:r w:rsidRPr="006C0A3E">
        <w:rPr>
          <w:rFonts w:ascii="Times New Roman" w:hAnsi="Times New Roman" w:cs="Times New Roman"/>
          <w:sz w:val="24"/>
          <w:szCs w:val="24"/>
        </w:rPr>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lastRenderedPageBreak/>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 xml:space="preserve">2011 Fifth International Conference on Research </w:t>
      </w:r>
      <w:r w:rsidRPr="00C63BD8">
        <w:rPr>
          <w:rFonts w:ascii="Times New Roman" w:hAnsi="Times New Roman" w:cs="Times New Roman"/>
          <w:i/>
          <w:sz w:val="24"/>
          <w:szCs w:val="24"/>
        </w:rPr>
        <w:lastRenderedPageBreak/>
        <w:t>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lastRenderedPageBreak/>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D71252">
      <w:rPr>
        <w:rFonts w:ascii="Times New Roman" w:hAnsi="Times New Roman" w:cs="Times New Roman"/>
        <w:noProof/>
        <w:sz w:val="24"/>
      </w:rPr>
      <w:t>53</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D71252">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200B"/>
    <w:rsid w:val="000F20AA"/>
    <w:rsid w:val="000F2841"/>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129"/>
    <w:rsid w:val="001812EE"/>
    <w:rsid w:val="00181E72"/>
    <w:rsid w:val="00184A26"/>
    <w:rsid w:val="001944B9"/>
    <w:rsid w:val="0019550C"/>
    <w:rsid w:val="001A5775"/>
    <w:rsid w:val="001A594D"/>
    <w:rsid w:val="001A635F"/>
    <w:rsid w:val="001B1337"/>
    <w:rsid w:val="001B352F"/>
    <w:rsid w:val="001B6DCD"/>
    <w:rsid w:val="001C138F"/>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23AE5"/>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3975"/>
    <w:rsid w:val="00486209"/>
    <w:rsid w:val="00486402"/>
    <w:rsid w:val="0048729E"/>
    <w:rsid w:val="00494213"/>
    <w:rsid w:val="004948EA"/>
    <w:rsid w:val="00496458"/>
    <w:rsid w:val="00496CEA"/>
    <w:rsid w:val="004A0CC1"/>
    <w:rsid w:val="004A3D81"/>
    <w:rsid w:val="004A41A6"/>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DAD"/>
    <w:rsid w:val="006563A8"/>
    <w:rsid w:val="006567EE"/>
    <w:rsid w:val="00660AE2"/>
    <w:rsid w:val="00664650"/>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0A3E"/>
    <w:rsid w:val="006C5F4B"/>
    <w:rsid w:val="006C6B15"/>
    <w:rsid w:val="006D2E49"/>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7FD"/>
    <w:rsid w:val="007A7E69"/>
    <w:rsid w:val="007B23AF"/>
    <w:rsid w:val="007B27B9"/>
    <w:rsid w:val="007B4C19"/>
    <w:rsid w:val="007B56C5"/>
    <w:rsid w:val="007C2B18"/>
    <w:rsid w:val="007C3906"/>
    <w:rsid w:val="007C406E"/>
    <w:rsid w:val="007C6F82"/>
    <w:rsid w:val="007D1948"/>
    <w:rsid w:val="007D601A"/>
    <w:rsid w:val="007D68B4"/>
    <w:rsid w:val="007E15AD"/>
    <w:rsid w:val="007E4AA2"/>
    <w:rsid w:val="007E4D24"/>
    <w:rsid w:val="007E4E33"/>
    <w:rsid w:val="007F01B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37A3"/>
    <w:rsid w:val="008550F8"/>
    <w:rsid w:val="0086207B"/>
    <w:rsid w:val="00862230"/>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B70"/>
    <w:rsid w:val="009F3DF7"/>
    <w:rsid w:val="009F5C49"/>
    <w:rsid w:val="00A03066"/>
    <w:rsid w:val="00A03E98"/>
    <w:rsid w:val="00A0545A"/>
    <w:rsid w:val="00A10EA0"/>
    <w:rsid w:val="00A11F83"/>
    <w:rsid w:val="00A14BF4"/>
    <w:rsid w:val="00A166BD"/>
    <w:rsid w:val="00A22400"/>
    <w:rsid w:val="00A276D0"/>
    <w:rsid w:val="00A3021C"/>
    <w:rsid w:val="00A30B61"/>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1334"/>
    <w:rsid w:val="00AE5E9C"/>
    <w:rsid w:val="00AE77C8"/>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59D6"/>
    <w:rsid w:val="00B36ADD"/>
    <w:rsid w:val="00B4066E"/>
    <w:rsid w:val="00B4635C"/>
    <w:rsid w:val="00B4636A"/>
    <w:rsid w:val="00B46C1A"/>
    <w:rsid w:val="00B50A7A"/>
    <w:rsid w:val="00B541DF"/>
    <w:rsid w:val="00B643CD"/>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5065A"/>
    <w:rsid w:val="00C50AFC"/>
    <w:rsid w:val="00C55F39"/>
    <w:rsid w:val="00C62809"/>
    <w:rsid w:val="00C63078"/>
    <w:rsid w:val="00C63BD8"/>
    <w:rsid w:val="00C66F08"/>
    <w:rsid w:val="00C76724"/>
    <w:rsid w:val="00C80445"/>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40E3"/>
    <w:rsid w:val="00D15913"/>
    <w:rsid w:val="00D2129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503D"/>
    <w:rsid w:val="00DA1842"/>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76B21"/>
    <w:rsid w:val="00E806FF"/>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52BD"/>
    <w:rsid w:val="00FA52C4"/>
    <w:rsid w:val="00FA5E02"/>
    <w:rsid w:val="00FB51DD"/>
    <w:rsid w:val="00FB5587"/>
    <w:rsid w:val="00FB6C0D"/>
    <w:rsid w:val="00FC0ABA"/>
    <w:rsid w:val="00FC0FAF"/>
    <w:rsid w:val="00FC77F2"/>
    <w:rsid w:val="00FD240F"/>
    <w:rsid w:val="00FD63F4"/>
    <w:rsid w:val="00FD642E"/>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7DEB6-410A-4A79-909C-DC1D70F8C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62</Pages>
  <Words>16116</Words>
  <Characters>91865</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195</cp:revision>
  <cp:lastPrinted>2020-05-08T20:03:00Z</cp:lastPrinted>
  <dcterms:created xsi:type="dcterms:W3CDTF">2020-05-08T19:55:00Z</dcterms:created>
  <dcterms:modified xsi:type="dcterms:W3CDTF">2020-05-14T20:43:00Z</dcterms:modified>
</cp:coreProperties>
</file>