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bookmarkStart w:id="0" w:name="_GoBack"/>
      <w:bookmarkEnd w:id="0"/>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56BB0"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993796" w:history="1">
            <w:r w:rsidR="00356BB0" w:rsidRPr="00D071ED">
              <w:rPr>
                <w:rStyle w:val="Hyperlink"/>
                <w:noProof/>
              </w:rPr>
              <w:t>List of Tables</w:t>
            </w:r>
            <w:r w:rsidR="00356BB0">
              <w:rPr>
                <w:noProof/>
                <w:webHidden/>
              </w:rPr>
              <w:tab/>
            </w:r>
            <w:r w:rsidR="00356BB0">
              <w:rPr>
                <w:noProof/>
                <w:webHidden/>
              </w:rPr>
              <w:fldChar w:fldCharType="begin"/>
            </w:r>
            <w:r w:rsidR="00356BB0">
              <w:rPr>
                <w:noProof/>
                <w:webHidden/>
              </w:rPr>
              <w:instrText xml:space="preserve"> PAGEREF _Toc53993796 \h </w:instrText>
            </w:r>
            <w:r w:rsidR="00356BB0">
              <w:rPr>
                <w:noProof/>
                <w:webHidden/>
              </w:rPr>
            </w:r>
            <w:r w:rsidR="00356BB0">
              <w:rPr>
                <w:noProof/>
                <w:webHidden/>
              </w:rPr>
              <w:fldChar w:fldCharType="separate"/>
            </w:r>
            <w:r w:rsidR="00912598">
              <w:rPr>
                <w:noProof/>
                <w:webHidden/>
              </w:rPr>
              <w:t>4</w:t>
            </w:r>
            <w:r w:rsidR="00356BB0">
              <w:rPr>
                <w:noProof/>
                <w:webHidden/>
              </w:rPr>
              <w:fldChar w:fldCharType="end"/>
            </w:r>
          </w:hyperlink>
        </w:p>
        <w:p w:rsidR="00356BB0" w:rsidRDefault="00356BB0">
          <w:pPr>
            <w:pStyle w:val="TOC1"/>
            <w:tabs>
              <w:tab w:val="right" w:leader="dot" w:pos="9350"/>
            </w:tabs>
            <w:rPr>
              <w:rFonts w:asciiTheme="minorHAnsi" w:eastAsiaTheme="minorEastAsia" w:hAnsiTheme="minorHAnsi" w:cstheme="minorBidi"/>
              <w:noProof/>
              <w:sz w:val="22"/>
              <w:szCs w:val="22"/>
            </w:rPr>
          </w:pPr>
          <w:hyperlink w:anchor="_Toc53993797" w:history="1">
            <w:r w:rsidRPr="00D071ED">
              <w:rPr>
                <w:rStyle w:val="Hyperlink"/>
                <w:noProof/>
              </w:rPr>
              <w:t>List of Figures</w:t>
            </w:r>
            <w:r>
              <w:rPr>
                <w:noProof/>
                <w:webHidden/>
              </w:rPr>
              <w:tab/>
            </w:r>
            <w:r>
              <w:rPr>
                <w:noProof/>
                <w:webHidden/>
              </w:rPr>
              <w:fldChar w:fldCharType="begin"/>
            </w:r>
            <w:r>
              <w:rPr>
                <w:noProof/>
                <w:webHidden/>
              </w:rPr>
              <w:instrText xml:space="preserve"> PAGEREF _Toc53993797 \h </w:instrText>
            </w:r>
            <w:r>
              <w:rPr>
                <w:noProof/>
                <w:webHidden/>
              </w:rPr>
            </w:r>
            <w:r>
              <w:rPr>
                <w:noProof/>
                <w:webHidden/>
              </w:rPr>
              <w:fldChar w:fldCharType="separate"/>
            </w:r>
            <w:r w:rsidR="00912598">
              <w:rPr>
                <w:noProof/>
                <w:webHidden/>
              </w:rPr>
              <w:t>5</w:t>
            </w:r>
            <w:r>
              <w:rPr>
                <w:noProof/>
                <w:webHidden/>
              </w:rPr>
              <w:fldChar w:fldCharType="end"/>
            </w:r>
          </w:hyperlink>
        </w:p>
        <w:p w:rsidR="00356BB0" w:rsidRDefault="00356BB0">
          <w:pPr>
            <w:pStyle w:val="TOC1"/>
            <w:tabs>
              <w:tab w:val="right" w:leader="dot" w:pos="9350"/>
            </w:tabs>
            <w:rPr>
              <w:rFonts w:asciiTheme="minorHAnsi" w:eastAsiaTheme="minorEastAsia" w:hAnsiTheme="minorHAnsi" w:cstheme="minorBidi"/>
              <w:noProof/>
              <w:sz w:val="22"/>
              <w:szCs w:val="22"/>
            </w:rPr>
          </w:pPr>
          <w:hyperlink w:anchor="_Toc53993798" w:history="1">
            <w:r w:rsidRPr="00D071ED">
              <w:rPr>
                <w:rStyle w:val="Hyperlink"/>
                <w:noProof/>
              </w:rPr>
              <w:t>Abstract</w:t>
            </w:r>
            <w:r>
              <w:rPr>
                <w:noProof/>
                <w:webHidden/>
              </w:rPr>
              <w:tab/>
            </w:r>
            <w:r>
              <w:rPr>
                <w:noProof/>
                <w:webHidden/>
              </w:rPr>
              <w:fldChar w:fldCharType="begin"/>
            </w:r>
            <w:r>
              <w:rPr>
                <w:noProof/>
                <w:webHidden/>
              </w:rPr>
              <w:instrText xml:space="preserve"> PAGEREF _Toc53993798 \h </w:instrText>
            </w:r>
            <w:r>
              <w:rPr>
                <w:noProof/>
                <w:webHidden/>
              </w:rPr>
            </w:r>
            <w:r>
              <w:rPr>
                <w:noProof/>
                <w:webHidden/>
              </w:rPr>
              <w:fldChar w:fldCharType="separate"/>
            </w:r>
            <w:r w:rsidR="00912598">
              <w:rPr>
                <w:noProof/>
                <w:webHidden/>
              </w:rPr>
              <w:t>6</w:t>
            </w:r>
            <w:r>
              <w:rPr>
                <w:noProof/>
                <w:webHidden/>
              </w:rPr>
              <w:fldChar w:fldCharType="end"/>
            </w:r>
          </w:hyperlink>
        </w:p>
        <w:p w:rsidR="00356BB0" w:rsidRDefault="00356BB0">
          <w:pPr>
            <w:pStyle w:val="TOC1"/>
            <w:tabs>
              <w:tab w:val="right" w:leader="dot" w:pos="9350"/>
            </w:tabs>
            <w:rPr>
              <w:rFonts w:asciiTheme="minorHAnsi" w:eastAsiaTheme="minorEastAsia" w:hAnsiTheme="minorHAnsi" w:cstheme="minorBidi"/>
              <w:noProof/>
              <w:sz w:val="22"/>
              <w:szCs w:val="22"/>
            </w:rPr>
          </w:pPr>
          <w:hyperlink w:anchor="_Toc53993799" w:history="1">
            <w:r w:rsidRPr="00D071ED">
              <w:rPr>
                <w:rStyle w:val="Hyperlink"/>
                <w:noProof/>
              </w:rPr>
              <w:t>Chapter 1 – Introduction</w:t>
            </w:r>
            <w:r>
              <w:rPr>
                <w:noProof/>
                <w:webHidden/>
              </w:rPr>
              <w:tab/>
            </w:r>
            <w:r>
              <w:rPr>
                <w:noProof/>
                <w:webHidden/>
              </w:rPr>
              <w:fldChar w:fldCharType="begin"/>
            </w:r>
            <w:r>
              <w:rPr>
                <w:noProof/>
                <w:webHidden/>
              </w:rPr>
              <w:instrText xml:space="preserve"> PAGEREF _Toc53993799 \h </w:instrText>
            </w:r>
            <w:r>
              <w:rPr>
                <w:noProof/>
                <w:webHidden/>
              </w:rPr>
            </w:r>
            <w:r>
              <w:rPr>
                <w:noProof/>
                <w:webHidden/>
              </w:rPr>
              <w:fldChar w:fldCharType="separate"/>
            </w:r>
            <w:r w:rsidR="00912598">
              <w:rPr>
                <w:noProof/>
                <w:webHidden/>
              </w:rPr>
              <w:t>7</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0" w:history="1">
            <w:r w:rsidRPr="00D071ED">
              <w:rPr>
                <w:rStyle w:val="Hyperlink"/>
                <w:noProof/>
              </w:rPr>
              <w:t>Motivation for and Purpose of the Proposed Study</w:t>
            </w:r>
            <w:r>
              <w:rPr>
                <w:noProof/>
                <w:webHidden/>
              </w:rPr>
              <w:tab/>
            </w:r>
            <w:r>
              <w:rPr>
                <w:noProof/>
                <w:webHidden/>
              </w:rPr>
              <w:fldChar w:fldCharType="begin"/>
            </w:r>
            <w:r>
              <w:rPr>
                <w:noProof/>
                <w:webHidden/>
              </w:rPr>
              <w:instrText xml:space="preserve"> PAGEREF _Toc53993800 \h </w:instrText>
            </w:r>
            <w:r>
              <w:rPr>
                <w:noProof/>
                <w:webHidden/>
              </w:rPr>
            </w:r>
            <w:r>
              <w:rPr>
                <w:noProof/>
                <w:webHidden/>
              </w:rPr>
              <w:fldChar w:fldCharType="separate"/>
            </w:r>
            <w:r w:rsidR="00912598">
              <w:rPr>
                <w:noProof/>
                <w:webHidden/>
              </w:rPr>
              <w:t>8</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1" w:history="1">
            <w:r w:rsidRPr="00D071ED">
              <w:rPr>
                <w:rStyle w:val="Hyperlink"/>
                <w:noProof/>
              </w:rPr>
              <w:t>Defining Technology</w:t>
            </w:r>
            <w:r>
              <w:rPr>
                <w:noProof/>
                <w:webHidden/>
              </w:rPr>
              <w:tab/>
            </w:r>
            <w:r>
              <w:rPr>
                <w:noProof/>
                <w:webHidden/>
              </w:rPr>
              <w:fldChar w:fldCharType="begin"/>
            </w:r>
            <w:r>
              <w:rPr>
                <w:noProof/>
                <w:webHidden/>
              </w:rPr>
              <w:instrText xml:space="preserve"> PAGEREF _Toc53993801 \h </w:instrText>
            </w:r>
            <w:r>
              <w:rPr>
                <w:noProof/>
                <w:webHidden/>
              </w:rPr>
            </w:r>
            <w:r>
              <w:rPr>
                <w:noProof/>
                <w:webHidden/>
              </w:rPr>
              <w:fldChar w:fldCharType="separate"/>
            </w:r>
            <w:r w:rsidR="00912598">
              <w:rPr>
                <w:noProof/>
                <w:webHidden/>
              </w:rPr>
              <w:t>9</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2" w:history="1">
            <w:r w:rsidRPr="00D071ED">
              <w:rPr>
                <w:rStyle w:val="Hyperlink"/>
                <w:noProof/>
              </w:rPr>
              <w:t>Conceptualizing University Technology Transfer</w:t>
            </w:r>
            <w:r>
              <w:rPr>
                <w:noProof/>
                <w:webHidden/>
              </w:rPr>
              <w:tab/>
            </w:r>
            <w:r>
              <w:rPr>
                <w:noProof/>
                <w:webHidden/>
              </w:rPr>
              <w:fldChar w:fldCharType="begin"/>
            </w:r>
            <w:r>
              <w:rPr>
                <w:noProof/>
                <w:webHidden/>
              </w:rPr>
              <w:instrText xml:space="preserve"> PAGEREF _Toc53993802 \h </w:instrText>
            </w:r>
            <w:r>
              <w:rPr>
                <w:noProof/>
                <w:webHidden/>
              </w:rPr>
            </w:r>
            <w:r>
              <w:rPr>
                <w:noProof/>
                <w:webHidden/>
              </w:rPr>
              <w:fldChar w:fldCharType="separate"/>
            </w:r>
            <w:r w:rsidR="00912598">
              <w:rPr>
                <w:noProof/>
                <w:webHidden/>
              </w:rPr>
              <w:t>15</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3" w:history="1">
            <w:r w:rsidRPr="00D071ED">
              <w:rPr>
                <w:rStyle w:val="Hyperlink"/>
                <w:noProof/>
              </w:rPr>
              <w:t>The Significance of University Technology Transfer</w:t>
            </w:r>
            <w:r>
              <w:rPr>
                <w:noProof/>
                <w:webHidden/>
              </w:rPr>
              <w:tab/>
            </w:r>
            <w:r>
              <w:rPr>
                <w:noProof/>
                <w:webHidden/>
              </w:rPr>
              <w:fldChar w:fldCharType="begin"/>
            </w:r>
            <w:r>
              <w:rPr>
                <w:noProof/>
                <w:webHidden/>
              </w:rPr>
              <w:instrText xml:space="preserve"> PAGEREF _Toc53993803 \h </w:instrText>
            </w:r>
            <w:r>
              <w:rPr>
                <w:noProof/>
                <w:webHidden/>
              </w:rPr>
            </w:r>
            <w:r>
              <w:rPr>
                <w:noProof/>
                <w:webHidden/>
              </w:rPr>
              <w:fldChar w:fldCharType="separate"/>
            </w:r>
            <w:r w:rsidR="00912598">
              <w:rPr>
                <w:noProof/>
                <w:webHidden/>
              </w:rPr>
              <w:t>20</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4" w:history="1">
            <w:r w:rsidRPr="00D071ED">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_Toc53993804 \h </w:instrText>
            </w:r>
            <w:r>
              <w:rPr>
                <w:noProof/>
                <w:webHidden/>
              </w:rPr>
            </w:r>
            <w:r>
              <w:rPr>
                <w:noProof/>
                <w:webHidden/>
              </w:rPr>
              <w:fldChar w:fldCharType="separate"/>
            </w:r>
            <w:r w:rsidR="00912598">
              <w:rPr>
                <w:noProof/>
                <w:webHidden/>
              </w:rPr>
              <w:t>21</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5" w:history="1">
            <w:r w:rsidRPr="00D071ED">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_Toc53993805 \h </w:instrText>
            </w:r>
            <w:r>
              <w:rPr>
                <w:noProof/>
                <w:webHidden/>
              </w:rPr>
            </w:r>
            <w:r>
              <w:rPr>
                <w:noProof/>
                <w:webHidden/>
              </w:rPr>
              <w:fldChar w:fldCharType="separate"/>
            </w:r>
            <w:r w:rsidR="00912598">
              <w:rPr>
                <w:noProof/>
                <w:webHidden/>
              </w:rPr>
              <w:t>25</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6" w:history="1">
            <w:r w:rsidRPr="00D071ED">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_Toc53993806 \h </w:instrText>
            </w:r>
            <w:r>
              <w:rPr>
                <w:noProof/>
                <w:webHidden/>
              </w:rPr>
            </w:r>
            <w:r>
              <w:rPr>
                <w:noProof/>
                <w:webHidden/>
              </w:rPr>
              <w:fldChar w:fldCharType="separate"/>
            </w:r>
            <w:r w:rsidR="00912598">
              <w:rPr>
                <w:noProof/>
                <w:webHidden/>
              </w:rPr>
              <w:t>26</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7" w:history="1">
            <w:r w:rsidRPr="00D071ED">
              <w:rPr>
                <w:rStyle w:val="Hyperlink"/>
                <w:noProof/>
              </w:rPr>
              <w:t>The Notion of Technology Maturity Level</w:t>
            </w:r>
            <w:r>
              <w:rPr>
                <w:noProof/>
                <w:webHidden/>
              </w:rPr>
              <w:tab/>
            </w:r>
            <w:r>
              <w:rPr>
                <w:noProof/>
                <w:webHidden/>
              </w:rPr>
              <w:fldChar w:fldCharType="begin"/>
            </w:r>
            <w:r>
              <w:rPr>
                <w:noProof/>
                <w:webHidden/>
              </w:rPr>
              <w:instrText xml:space="preserve"> PAGEREF _Toc53993807 \h </w:instrText>
            </w:r>
            <w:r>
              <w:rPr>
                <w:noProof/>
                <w:webHidden/>
              </w:rPr>
            </w:r>
            <w:r>
              <w:rPr>
                <w:noProof/>
                <w:webHidden/>
              </w:rPr>
              <w:fldChar w:fldCharType="separate"/>
            </w:r>
            <w:r w:rsidR="00912598">
              <w:rPr>
                <w:noProof/>
                <w:webHidden/>
              </w:rPr>
              <w:t>30</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08" w:history="1">
            <w:r w:rsidRPr="00D071ED">
              <w:rPr>
                <w:rStyle w:val="Hyperlink"/>
                <w:noProof/>
              </w:rPr>
              <w:t>Approach to Examining the Topic</w:t>
            </w:r>
            <w:r>
              <w:rPr>
                <w:noProof/>
                <w:webHidden/>
              </w:rPr>
              <w:tab/>
            </w:r>
            <w:r>
              <w:rPr>
                <w:noProof/>
                <w:webHidden/>
              </w:rPr>
              <w:fldChar w:fldCharType="begin"/>
            </w:r>
            <w:r>
              <w:rPr>
                <w:noProof/>
                <w:webHidden/>
              </w:rPr>
              <w:instrText xml:space="preserve"> PAGEREF _Toc53993808 \h </w:instrText>
            </w:r>
            <w:r>
              <w:rPr>
                <w:noProof/>
                <w:webHidden/>
              </w:rPr>
            </w:r>
            <w:r>
              <w:rPr>
                <w:noProof/>
                <w:webHidden/>
              </w:rPr>
              <w:fldChar w:fldCharType="separate"/>
            </w:r>
            <w:r w:rsidR="00912598">
              <w:rPr>
                <w:noProof/>
                <w:webHidden/>
              </w:rPr>
              <w:t>34</w:t>
            </w:r>
            <w:r>
              <w:rPr>
                <w:noProof/>
                <w:webHidden/>
              </w:rPr>
              <w:fldChar w:fldCharType="end"/>
            </w:r>
          </w:hyperlink>
        </w:p>
        <w:p w:rsidR="00356BB0" w:rsidRDefault="00356BB0">
          <w:pPr>
            <w:pStyle w:val="TOC1"/>
            <w:tabs>
              <w:tab w:val="right" w:leader="dot" w:pos="9350"/>
            </w:tabs>
            <w:rPr>
              <w:rFonts w:asciiTheme="minorHAnsi" w:eastAsiaTheme="minorEastAsia" w:hAnsiTheme="minorHAnsi" w:cstheme="minorBidi"/>
              <w:noProof/>
              <w:sz w:val="22"/>
              <w:szCs w:val="22"/>
            </w:rPr>
          </w:pPr>
          <w:hyperlink w:anchor="_Toc53993809" w:history="1">
            <w:r w:rsidRPr="00D071ED">
              <w:rPr>
                <w:rStyle w:val="Hyperlink"/>
                <w:noProof/>
              </w:rPr>
              <w:t>Chapter 2 – Review of the Related Literature</w:t>
            </w:r>
            <w:r>
              <w:rPr>
                <w:noProof/>
                <w:webHidden/>
              </w:rPr>
              <w:tab/>
            </w:r>
            <w:r>
              <w:rPr>
                <w:noProof/>
                <w:webHidden/>
              </w:rPr>
              <w:fldChar w:fldCharType="begin"/>
            </w:r>
            <w:r>
              <w:rPr>
                <w:noProof/>
                <w:webHidden/>
              </w:rPr>
              <w:instrText xml:space="preserve"> PAGEREF _Toc53993809 \h </w:instrText>
            </w:r>
            <w:r>
              <w:rPr>
                <w:noProof/>
                <w:webHidden/>
              </w:rPr>
            </w:r>
            <w:r>
              <w:rPr>
                <w:noProof/>
                <w:webHidden/>
              </w:rPr>
              <w:fldChar w:fldCharType="separate"/>
            </w:r>
            <w:r w:rsidR="00912598">
              <w:rPr>
                <w:noProof/>
                <w:webHidden/>
              </w:rPr>
              <w:t>36</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0" w:history="1">
            <w:r w:rsidRPr="00D071ED">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_Toc53993810 \h </w:instrText>
            </w:r>
            <w:r>
              <w:rPr>
                <w:noProof/>
                <w:webHidden/>
              </w:rPr>
            </w:r>
            <w:r>
              <w:rPr>
                <w:noProof/>
                <w:webHidden/>
              </w:rPr>
              <w:fldChar w:fldCharType="separate"/>
            </w:r>
            <w:r w:rsidR="00912598">
              <w:rPr>
                <w:noProof/>
                <w:webHidden/>
              </w:rPr>
              <w:t>36</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1" w:history="1">
            <w:r w:rsidRPr="00D071ED">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_Toc53993811 \h </w:instrText>
            </w:r>
            <w:r>
              <w:rPr>
                <w:noProof/>
                <w:webHidden/>
              </w:rPr>
            </w:r>
            <w:r>
              <w:rPr>
                <w:noProof/>
                <w:webHidden/>
              </w:rPr>
              <w:fldChar w:fldCharType="separate"/>
            </w:r>
            <w:r w:rsidR="00912598">
              <w:rPr>
                <w:noProof/>
                <w:webHidden/>
              </w:rPr>
              <w:t>41</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2" w:history="1">
            <w:r w:rsidRPr="00D071ED">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_Toc53993812 \h </w:instrText>
            </w:r>
            <w:r>
              <w:rPr>
                <w:noProof/>
                <w:webHidden/>
              </w:rPr>
            </w:r>
            <w:r>
              <w:rPr>
                <w:noProof/>
                <w:webHidden/>
              </w:rPr>
              <w:fldChar w:fldCharType="separate"/>
            </w:r>
            <w:r w:rsidR="00912598">
              <w:rPr>
                <w:noProof/>
                <w:webHidden/>
              </w:rPr>
              <w:t>48</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3" w:history="1">
            <w:r w:rsidRPr="00D071ED">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_Toc53993813 \h </w:instrText>
            </w:r>
            <w:r>
              <w:rPr>
                <w:noProof/>
                <w:webHidden/>
              </w:rPr>
            </w:r>
            <w:r>
              <w:rPr>
                <w:noProof/>
                <w:webHidden/>
              </w:rPr>
              <w:fldChar w:fldCharType="separate"/>
            </w:r>
            <w:r w:rsidR="00912598">
              <w:rPr>
                <w:noProof/>
                <w:webHidden/>
              </w:rPr>
              <w:t>51</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4" w:history="1">
            <w:r w:rsidRPr="00D071ED">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_Toc53993814 \h </w:instrText>
            </w:r>
            <w:r>
              <w:rPr>
                <w:noProof/>
                <w:webHidden/>
              </w:rPr>
            </w:r>
            <w:r>
              <w:rPr>
                <w:noProof/>
                <w:webHidden/>
              </w:rPr>
              <w:fldChar w:fldCharType="separate"/>
            </w:r>
            <w:r w:rsidR="00912598">
              <w:rPr>
                <w:noProof/>
                <w:webHidden/>
              </w:rPr>
              <w:t>54</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5" w:history="1">
            <w:r w:rsidRPr="00D071ED">
              <w:rPr>
                <w:rStyle w:val="Hyperlink"/>
                <w:noProof/>
              </w:rPr>
              <w:t>Uncertainty Avoidance and Technology Maturity Level</w:t>
            </w:r>
            <w:r>
              <w:rPr>
                <w:noProof/>
                <w:webHidden/>
              </w:rPr>
              <w:tab/>
            </w:r>
            <w:r>
              <w:rPr>
                <w:noProof/>
                <w:webHidden/>
              </w:rPr>
              <w:fldChar w:fldCharType="begin"/>
            </w:r>
            <w:r>
              <w:rPr>
                <w:noProof/>
                <w:webHidden/>
              </w:rPr>
              <w:instrText xml:space="preserve"> PAGEREF _Toc53993815 \h </w:instrText>
            </w:r>
            <w:r>
              <w:rPr>
                <w:noProof/>
                <w:webHidden/>
              </w:rPr>
            </w:r>
            <w:r>
              <w:rPr>
                <w:noProof/>
                <w:webHidden/>
              </w:rPr>
              <w:fldChar w:fldCharType="separate"/>
            </w:r>
            <w:r w:rsidR="00912598">
              <w:rPr>
                <w:noProof/>
                <w:webHidden/>
              </w:rPr>
              <w:t>56</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6" w:history="1">
            <w:r w:rsidRPr="00D071ED">
              <w:rPr>
                <w:rStyle w:val="Hyperlink"/>
                <w:noProof/>
              </w:rPr>
              <w:t>Decision Premises and Technology Maturity Level</w:t>
            </w:r>
            <w:r>
              <w:rPr>
                <w:noProof/>
                <w:webHidden/>
              </w:rPr>
              <w:tab/>
            </w:r>
            <w:r>
              <w:rPr>
                <w:noProof/>
                <w:webHidden/>
              </w:rPr>
              <w:fldChar w:fldCharType="begin"/>
            </w:r>
            <w:r>
              <w:rPr>
                <w:noProof/>
                <w:webHidden/>
              </w:rPr>
              <w:instrText xml:space="preserve"> PAGEREF _Toc53993816 \h </w:instrText>
            </w:r>
            <w:r>
              <w:rPr>
                <w:noProof/>
                <w:webHidden/>
              </w:rPr>
            </w:r>
            <w:r>
              <w:rPr>
                <w:noProof/>
                <w:webHidden/>
              </w:rPr>
              <w:fldChar w:fldCharType="separate"/>
            </w:r>
            <w:r w:rsidR="00912598">
              <w:rPr>
                <w:noProof/>
                <w:webHidden/>
              </w:rPr>
              <w:t>57</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7" w:history="1">
            <w:r w:rsidRPr="00D071ED">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_Toc53993817 \h </w:instrText>
            </w:r>
            <w:r>
              <w:rPr>
                <w:noProof/>
                <w:webHidden/>
              </w:rPr>
            </w:r>
            <w:r>
              <w:rPr>
                <w:noProof/>
                <w:webHidden/>
              </w:rPr>
              <w:fldChar w:fldCharType="separate"/>
            </w:r>
            <w:r w:rsidR="00912598">
              <w:rPr>
                <w:noProof/>
                <w:webHidden/>
              </w:rPr>
              <w:t>65</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8" w:history="1">
            <w:r w:rsidRPr="00D071ED">
              <w:rPr>
                <w:rStyle w:val="Hyperlink"/>
                <w:noProof/>
              </w:rPr>
              <w:t>A Demand-Side Model of Technology Transfer</w:t>
            </w:r>
            <w:r>
              <w:rPr>
                <w:noProof/>
                <w:webHidden/>
              </w:rPr>
              <w:tab/>
            </w:r>
            <w:r>
              <w:rPr>
                <w:noProof/>
                <w:webHidden/>
              </w:rPr>
              <w:fldChar w:fldCharType="begin"/>
            </w:r>
            <w:r>
              <w:rPr>
                <w:noProof/>
                <w:webHidden/>
              </w:rPr>
              <w:instrText xml:space="preserve"> PAGEREF _Toc53993818 \h </w:instrText>
            </w:r>
            <w:r>
              <w:rPr>
                <w:noProof/>
                <w:webHidden/>
              </w:rPr>
            </w:r>
            <w:r>
              <w:rPr>
                <w:noProof/>
                <w:webHidden/>
              </w:rPr>
              <w:fldChar w:fldCharType="separate"/>
            </w:r>
            <w:r w:rsidR="00912598">
              <w:rPr>
                <w:noProof/>
                <w:webHidden/>
              </w:rPr>
              <w:t>68</w:t>
            </w:r>
            <w:r>
              <w:rPr>
                <w:noProof/>
                <w:webHidden/>
              </w:rPr>
              <w:fldChar w:fldCharType="end"/>
            </w:r>
          </w:hyperlink>
        </w:p>
        <w:p w:rsidR="00356BB0" w:rsidRDefault="00356BB0">
          <w:pPr>
            <w:pStyle w:val="TOC2"/>
            <w:tabs>
              <w:tab w:val="right" w:leader="dot" w:pos="9350"/>
            </w:tabs>
            <w:rPr>
              <w:rFonts w:asciiTheme="minorHAnsi" w:eastAsiaTheme="minorEastAsia" w:hAnsiTheme="minorHAnsi" w:cstheme="minorBidi"/>
              <w:noProof/>
              <w:sz w:val="22"/>
              <w:szCs w:val="22"/>
            </w:rPr>
          </w:pPr>
          <w:hyperlink w:anchor="_Toc53993819" w:history="1">
            <w:r w:rsidRPr="00D071ED">
              <w:rPr>
                <w:rStyle w:val="Hyperlink"/>
                <w:noProof/>
              </w:rPr>
              <w:t>Gaps in the Literature</w:t>
            </w:r>
            <w:r>
              <w:rPr>
                <w:noProof/>
                <w:webHidden/>
              </w:rPr>
              <w:tab/>
            </w:r>
            <w:r>
              <w:rPr>
                <w:noProof/>
                <w:webHidden/>
              </w:rPr>
              <w:fldChar w:fldCharType="begin"/>
            </w:r>
            <w:r>
              <w:rPr>
                <w:noProof/>
                <w:webHidden/>
              </w:rPr>
              <w:instrText xml:space="preserve"> PAGEREF _Toc53993819 \h </w:instrText>
            </w:r>
            <w:r>
              <w:rPr>
                <w:noProof/>
                <w:webHidden/>
              </w:rPr>
            </w:r>
            <w:r>
              <w:rPr>
                <w:noProof/>
                <w:webHidden/>
              </w:rPr>
              <w:fldChar w:fldCharType="separate"/>
            </w:r>
            <w:r w:rsidR="00912598">
              <w:rPr>
                <w:noProof/>
                <w:webHidden/>
              </w:rPr>
              <w:t>68</w:t>
            </w:r>
            <w:r>
              <w:rPr>
                <w:noProof/>
                <w:webHidden/>
              </w:rPr>
              <w:fldChar w:fldCharType="end"/>
            </w:r>
          </w:hyperlink>
        </w:p>
        <w:p w:rsidR="00356BB0" w:rsidRDefault="00356BB0">
          <w:pPr>
            <w:pStyle w:val="TOC1"/>
            <w:tabs>
              <w:tab w:val="right" w:leader="dot" w:pos="9350"/>
            </w:tabs>
            <w:rPr>
              <w:rFonts w:asciiTheme="minorHAnsi" w:eastAsiaTheme="minorEastAsia" w:hAnsiTheme="minorHAnsi" w:cstheme="minorBidi"/>
              <w:noProof/>
              <w:sz w:val="22"/>
              <w:szCs w:val="22"/>
            </w:rPr>
          </w:pPr>
          <w:hyperlink w:anchor="_Toc53993820" w:history="1">
            <w:r w:rsidRPr="00D071ED">
              <w:rPr>
                <w:rStyle w:val="Hyperlink"/>
                <w:noProof/>
              </w:rPr>
              <w:t>References</w:t>
            </w:r>
            <w:r>
              <w:rPr>
                <w:noProof/>
                <w:webHidden/>
              </w:rPr>
              <w:tab/>
            </w:r>
            <w:r>
              <w:rPr>
                <w:noProof/>
                <w:webHidden/>
              </w:rPr>
              <w:fldChar w:fldCharType="begin"/>
            </w:r>
            <w:r>
              <w:rPr>
                <w:noProof/>
                <w:webHidden/>
              </w:rPr>
              <w:instrText xml:space="preserve"> PAGEREF _Toc53993820 \h </w:instrText>
            </w:r>
            <w:r>
              <w:rPr>
                <w:noProof/>
                <w:webHidden/>
              </w:rPr>
            </w:r>
            <w:r>
              <w:rPr>
                <w:noProof/>
                <w:webHidden/>
              </w:rPr>
              <w:fldChar w:fldCharType="separate"/>
            </w:r>
            <w:r w:rsidR="00912598">
              <w:rPr>
                <w:noProof/>
                <w:webHidden/>
              </w:rPr>
              <w:t>71</w:t>
            </w:r>
            <w:r>
              <w:rPr>
                <w:noProof/>
                <w:webHidden/>
              </w:rPr>
              <w:fldChar w:fldCharType="end"/>
            </w:r>
          </w:hyperlink>
        </w:p>
        <w:p w:rsidR="00356BB0" w:rsidRDefault="00356BB0">
          <w:pPr>
            <w:pStyle w:val="TOC1"/>
            <w:tabs>
              <w:tab w:val="right" w:leader="dot" w:pos="9350"/>
            </w:tabs>
            <w:rPr>
              <w:rFonts w:asciiTheme="minorHAnsi" w:eastAsiaTheme="minorEastAsia" w:hAnsiTheme="minorHAnsi" w:cstheme="minorBidi"/>
              <w:noProof/>
              <w:sz w:val="22"/>
              <w:szCs w:val="22"/>
            </w:rPr>
          </w:pPr>
          <w:hyperlink w:anchor="_Toc53993821" w:history="1">
            <w:r w:rsidRPr="00D071ED">
              <w:rPr>
                <w:rStyle w:val="Hyperlink"/>
                <w:noProof/>
              </w:rPr>
              <w:t>Appendix A. Tables and Figures</w:t>
            </w:r>
            <w:r>
              <w:rPr>
                <w:noProof/>
                <w:webHidden/>
              </w:rPr>
              <w:tab/>
            </w:r>
            <w:r>
              <w:rPr>
                <w:noProof/>
                <w:webHidden/>
              </w:rPr>
              <w:fldChar w:fldCharType="begin"/>
            </w:r>
            <w:r>
              <w:rPr>
                <w:noProof/>
                <w:webHidden/>
              </w:rPr>
              <w:instrText xml:space="preserve"> PAGEREF _Toc53993821 \h </w:instrText>
            </w:r>
            <w:r>
              <w:rPr>
                <w:noProof/>
                <w:webHidden/>
              </w:rPr>
            </w:r>
            <w:r>
              <w:rPr>
                <w:noProof/>
                <w:webHidden/>
              </w:rPr>
              <w:fldChar w:fldCharType="separate"/>
            </w:r>
            <w:r w:rsidR="00912598">
              <w:rPr>
                <w:noProof/>
                <w:webHidden/>
              </w:rPr>
              <w:t>87</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993796"/>
      <w:r>
        <w:lastRenderedPageBreak/>
        <w:t xml:space="preserve">List of </w:t>
      </w:r>
      <w:r w:rsidR="005E72F3">
        <w:t>Tables</w:t>
      </w:r>
      <w:bookmarkEnd w:id="1"/>
    </w:p>
    <w:p w:rsidR="0091259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994671" w:history="1">
        <w:r w:rsidR="00912598" w:rsidRPr="00972111">
          <w:rPr>
            <w:rStyle w:val="Hyperlink"/>
            <w:noProof/>
          </w:rPr>
          <w:t>Table 1 Federal Obligations to Universities for Research and Development</w:t>
        </w:r>
        <w:r w:rsidR="00912598">
          <w:rPr>
            <w:noProof/>
            <w:webHidden/>
          </w:rPr>
          <w:tab/>
        </w:r>
        <w:r w:rsidR="00912598">
          <w:rPr>
            <w:noProof/>
            <w:webHidden/>
          </w:rPr>
          <w:fldChar w:fldCharType="begin"/>
        </w:r>
        <w:r w:rsidR="00912598">
          <w:rPr>
            <w:noProof/>
            <w:webHidden/>
          </w:rPr>
          <w:instrText xml:space="preserve"> PAGEREF _Toc53994671 \h </w:instrText>
        </w:r>
        <w:r w:rsidR="00912598">
          <w:rPr>
            <w:noProof/>
            <w:webHidden/>
          </w:rPr>
        </w:r>
        <w:r w:rsidR="00912598">
          <w:rPr>
            <w:noProof/>
            <w:webHidden/>
          </w:rPr>
          <w:fldChar w:fldCharType="separate"/>
        </w:r>
        <w:r w:rsidR="00912598">
          <w:rPr>
            <w:noProof/>
            <w:webHidden/>
          </w:rPr>
          <w:t>87</w:t>
        </w:r>
        <w:r w:rsidR="00912598">
          <w:rPr>
            <w:noProof/>
            <w:webHidden/>
          </w:rPr>
          <w:fldChar w:fldCharType="end"/>
        </w:r>
      </w:hyperlink>
    </w:p>
    <w:p w:rsidR="00912598" w:rsidRDefault="00912598">
      <w:pPr>
        <w:pStyle w:val="TableofFigures"/>
        <w:tabs>
          <w:tab w:val="right" w:leader="dot" w:pos="9350"/>
        </w:tabs>
        <w:rPr>
          <w:rFonts w:asciiTheme="minorHAnsi" w:eastAsiaTheme="minorEastAsia" w:hAnsiTheme="minorHAnsi" w:cstheme="minorBidi"/>
          <w:noProof/>
          <w:sz w:val="22"/>
          <w:szCs w:val="22"/>
        </w:rPr>
      </w:pPr>
      <w:hyperlink w:anchor="_Toc53994672" w:history="1">
        <w:r w:rsidRPr="00972111">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_Toc53994672 \h </w:instrText>
        </w:r>
        <w:r>
          <w:rPr>
            <w:noProof/>
            <w:webHidden/>
          </w:rPr>
        </w:r>
        <w:r>
          <w:rPr>
            <w:noProof/>
            <w:webHidden/>
          </w:rPr>
          <w:fldChar w:fldCharType="separate"/>
        </w:r>
        <w:r>
          <w:rPr>
            <w:noProof/>
            <w:webHidden/>
          </w:rPr>
          <w:t>88</w:t>
        </w:r>
        <w:r>
          <w:rPr>
            <w:noProof/>
            <w:webHidden/>
          </w:rPr>
          <w:fldChar w:fldCharType="end"/>
        </w:r>
      </w:hyperlink>
    </w:p>
    <w:p w:rsidR="00912598" w:rsidRDefault="00912598">
      <w:pPr>
        <w:pStyle w:val="TableofFigures"/>
        <w:tabs>
          <w:tab w:val="right" w:leader="dot" w:pos="9350"/>
        </w:tabs>
        <w:rPr>
          <w:rFonts w:asciiTheme="minorHAnsi" w:eastAsiaTheme="minorEastAsia" w:hAnsiTheme="minorHAnsi" w:cstheme="minorBidi"/>
          <w:noProof/>
          <w:sz w:val="22"/>
          <w:szCs w:val="22"/>
        </w:rPr>
      </w:pPr>
      <w:hyperlink w:anchor="_Toc53994673" w:history="1">
        <w:r w:rsidRPr="00972111">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_Toc53994673 \h </w:instrText>
        </w:r>
        <w:r>
          <w:rPr>
            <w:noProof/>
            <w:webHidden/>
          </w:rPr>
        </w:r>
        <w:r>
          <w:rPr>
            <w:noProof/>
            <w:webHidden/>
          </w:rPr>
          <w:fldChar w:fldCharType="separate"/>
        </w:r>
        <w:r>
          <w:rPr>
            <w:noProof/>
            <w:webHidden/>
          </w:rPr>
          <w:t>90</w:t>
        </w:r>
        <w:r>
          <w:rPr>
            <w:noProof/>
            <w:webHidden/>
          </w:rPr>
          <w:fldChar w:fldCharType="end"/>
        </w:r>
      </w:hyperlink>
    </w:p>
    <w:p w:rsidR="00912598" w:rsidRDefault="00912598">
      <w:pPr>
        <w:pStyle w:val="TableofFigures"/>
        <w:tabs>
          <w:tab w:val="right" w:leader="dot" w:pos="9350"/>
        </w:tabs>
        <w:rPr>
          <w:rFonts w:asciiTheme="minorHAnsi" w:eastAsiaTheme="minorEastAsia" w:hAnsiTheme="minorHAnsi" w:cstheme="minorBidi"/>
          <w:noProof/>
          <w:sz w:val="22"/>
          <w:szCs w:val="22"/>
        </w:rPr>
      </w:pPr>
      <w:hyperlink w:anchor="_Toc53994674" w:history="1">
        <w:r w:rsidRPr="00972111">
          <w:rPr>
            <w:rStyle w:val="Hyperlink"/>
            <w:noProof/>
          </w:rPr>
          <w:t>Table 4 NASA Technology Readiness Level Scale</w:t>
        </w:r>
        <w:r>
          <w:rPr>
            <w:noProof/>
            <w:webHidden/>
          </w:rPr>
          <w:tab/>
        </w:r>
        <w:r>
          <w:rPr>
            <w:noProof/>
            <w:webHidden/>
          </w:rPr>
          <w:fldChar w:fldCharType="begin"/>
        </w:r>
        <w:r>
          <w:rPr>
            <w:noProof/>
            <w:webHidden/>
          </w:rPr>
          <w:instrText xml:space="preserve"> PAGEREF _Toc53994674 \h </w:instrText>
        </w:r>
        <w:r>
          <w:rPr>
            <w:noProof/>
            <w:webHidden/>
          </w:rPr>
        </w:r>
        <w:r>
          <w:rPr>
            <w:noProof/>
            <w:webHidden/>
          </w:rPr>
          <w:fldChar w:fldCharType="separate"/>
        </w:r>
        <w:r>
          <w:rPr>
            <w:noProof/>
            <w:webHidden/>
          </w:rPr>
          <w:t>93</w:t>
        </w:r>
        <w:r>
          <w:rPr>
            <w:noProof/>
            <w:webHidden/>
          </w:rPr>
          <w:fldChar w:fldCharType="end"/>
        </w:r>
      </w:hyperlink>
    </w:p>
    <w:p w:rsidR="00912598" w:rsidRDefault="00912598">
      <w:pPr>
        <w:pStyle w:val="TableofFigures"/>
        <w:tabs>
          <w:tab w:val="right" w:leader="dot" w:pos="9350"/>
        </w:tabs>
        <w:rPr>
          <w:rFonts w:asciiTheme="minorHAnsi" w:eastAsiaTheme="minorEastAsia" w:hAnsiTheme="minorHAnsi" w:cstheme="minorBidi"/>
          <w:noProof/>
          <w:sz w:val="22"/>
          <w:szCs w:val="22"/>
        </w:rPr>
      </w:pPr>
      <w:hyperlink w:anchor="_Toc53994675" w:history="1">
        <w:r w:rsidRPr="00972111">
          <w:rPr>
            <w:rStyle w:val="Hyperlink"/>
            <w:noProof/>
          </w:rPr>
          <w:t>Table 5 Alternative Readiness Level Scales</w:t>
        </w:r>
        <w:r>
          <w:rPr>
            <w:noProof/>
            <w:webHidden/>
          </w:rPr>
          <w:tab/>
        </w:r>
        <w:r>
          <w:rPr>
            <w:noProof/>
            <w:webHidden/>
          </w:rPr>
          <w:fldChar w:fldCharType="begin"/>
        </w:r>
        <w:r>
          <w:rPr>
            <w:noProof/>
            <w:webHidden/>
          </w:rPr>
          <w:instrText xml:space="preserve"> PAGEREF _Toc53994675 \h </w:instrText>
        </w:r>
        <w:r>
          <w:rPr>
            <w:noProof/>
            <w:webHidden/>
          </w:rPr>
        </w:r>
        <w:r>
          <w:rPr>
            <w:noProof/>
            <w:webHidden/>
          </w:rPr>
          <w:fldChar w:fldCharType="separate"/>
        </w:r>
        <w:r>
          <w:rPr>
            <w:noProof/>
            <w:webHidden/>
          </w:rPr>
          <w:t>94</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993797"/>
      <w:r w:rsidRPr="00566037">
        <w:lastRenderedPageBreak/>
        <w:t>List of Figures</w:t>
      </w:r>
      <w:bookmarkEnd w:id="2"/>
    </w:p>
    <w:p w:rsidR="008B653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994742" w:history="1">
        <w:r w:rsidR="008B653A" w:rsidRPr="00256C62">
          <w:rPr>
            <w:rStyle w:val="Hyperlink"/>
            <w:noProof/>
          </w:rPr>
          <w:t>Figure 1 Estimate of University Technologies Transferred to the Private Sector</w:t>
        </w:r>
        <w:r w:rsidR="008B653A">
          <w:rPr>
            <w:noProof/>
            <w:webHidden/>
          </w:rPr>
          <w:tab/>
        </w:r>
        <w:r w:rsidR="008B653A">
          <w:rPr>
            <w:noProof/>
            <w:webHidden/>
          </w:rPr>
          <w:fldChar w:fldCharType="begin"/>
        </w:r>
        <w:r w:rsidR="008B653A">
          <w:rPr>
            <w:noProof/>
            <w:webHidden/>
          </w:rPr>
          <w:instrText xml:space="preserve"> PAGEREF _Toc53994742 \h </w:instrText>
        </w:r>
        <w:r w:rsidR="008B653A">
          <w:rPr>
            <w:noProof/>
            <w:webHidden/>
          </w:rPr>
        </w:r>
        <w:r w:rsidR="008B653A">
          <w:rPr>
            <w:noProof/>
            <w:webHidden/>
          </w:rPr>
          <w:fldChar w:fldCharType="separate"/>
        </w:r>
        <w:r w:rsidR="008B653A">
          <w:rPr>
            <w:noProof/>
            <w:webHidden/>
          </w:rPr>
          <w:t>95</w:t>
        </w:r>
        <w:r w:rsidR="008B653A">
          <w:rPr>
            <w:noProof/>
            <w:webHidden/>
          </w:rPr>
          <w:fldChar w:fldCharType="end"/>
        </w:r>
      </w:hyperlink>
    </w:p>
    <w:p w:rsidR="008B653A" w:rsidRDefault="008B653A">
      <w:pPr>
        <w:pStyle w:val="TableofFigures"/>
        <w:tabs>
          <w:tab w:val="right" w:leader="dot" w:pos="9350"/>
        </w:tabs>
        <w:rPr>
          <w:rFonts w:asciiTheme="minorHAnsi" w:eastAsiaTheme="minorEastAsia" w:hAnsiTheme="minorHAnsi" w:cstheme="minorBidi"/>
          <w:noProof/>
          <w:sz w:val="22"/>
          <w:szCs w:val="22"/>
        </w:rPr>
      </w:pPr>
      <w:hyperlink w:anchor="_Toc53994743" w:history="1">
        <w:r w:rsidRPr="00256C62">
          <w:rPr>
            <w:rStyle w:val="Hyperlink"/>
            <w:noProof/>
          </w:rPr>
          <w:t>Figure 2 Federal Obligations to Universities for Research and Development, 2000-2019</w:t>
        </w:r>
        <w:r>
          <w:rPr>
            <w:noProof/>
            <w:webHidden/>
          </w:rPr>
          <w:tab/>
        </w:r>
        <w:r>
          <w:rPr>
            <w:noProof/>
            <w:webHidden/>
          </w:rPr>
          <w:fldChar w:fldCharType="begin"/>
        </w:r>
        <w:r>
          <w:rPr>
            <w:noProof/>
            <w:webHidden/>
          </w:rPr>
          <w:instrText xml:space="preserve"> PAGEREF _Toc53994743 \h </w:instrText>
        </w:r>
        <w:r>
          <w:rPr>
            <w:noProof/>
            <w:webHidden/>
          </w:rPr>
        </w:r>
        <w:r>
          <w:rPr>
            <w:noProof/>
            <w:webHidden/>
          </w:rPr>
          <w:fldChar w:fldCharType="separate"/>
        </w:r>
        <w:r>
          <w:rPr>
            <w:noProof/>
            <w:webHidden/>
          </w:rPr>
          <w:t>96</w:t>
        </w:r>
        <w:r>
          <w:rPr>
            <w:noProof/>
            <w:webHidden/>
          </w:rPr>
          <w:fldChar w:fldCharType="end"/>
        </w:r>
      </w:hyperlink>
    </w:p>
    <w:p w:rsidR="008B653A" w:rsidRDefault="008B653A">
      <w:pPr>
        <w:pStyle w:val="TableofFigures"/>
        <w:tabs>
          <w:tab w:val="right" w:leader="dot" w:pos="9350"/>
        </w:tabs>
        <w:rPr>
          <w:rFonts w:asciiTheme="minorHAnsi" w:eastAsiaTheme="minorEastAsia" w:hAnsiTheme="minorHAnsi" w:cstheme="minorBidi"/>
          <w:noProof/>
          <w:sz w:val="22"/>
          <w:szCs w:val="22"/>
        </w:rPr>
      </w:pPr>
      <w:hyperlink w:anchor="_Toc53994744" w:history="1">
        <w:r w:rsidRPr="00256C62">
          <w:rPr>
            <w:rStyle w:val="Hyperlink"/>
            <w:noProof/>
          </w:rPr>
          <w:t>Figure 3 The Relationship between Research and Societal Benefits</w:t>
        </w:r>
        <w:r>
          <w:rPr>
            <w:noProof/>
            <w:webHidden/>
          </w:rPr>
          <w:tab/>
        </w:r>
        <w:r>
          <w:rPr>
            <w:noProof/>
            <w:webHidden/>
          </w:rPr>
          <w:fldChar w:fldCharType="begin"/>
        </w:r>
        <w:r>
          <w:rPr>
            <w:noProof/>
            <w:webHidden/>
          </w:rPr>
          <w:instrText xml:space="preserve"> PAGEREF _Toc53994744 \h </w:instrText>
        </w:r>
        <w:r>
          <w:rPr>
            <w:noProof/>
            <w:webHidden/>
          </w:rPr>
        </w:r>
        <w:r>
          <w:rPr>
            <w:noProof/>
            <w:webHidden/>
          </w:rPr>
          <w:fldChar w:fldCharType="separate"/>
        </w:r>
        <w:r>
          <w:rPr>
            <w:noProof/>
            <w:webHidden/>
          </w:rPr>
          <w:t>97</w:t>
        </w:r>
        <w:r>
          <w:rPr>
            <w:noProof/>
            <w:webHidden/>
          </w:rPr>
          <w:fldChar w:fldCharType="end"/>
        </w:r>
      </w:hyperlink>
    </w:p>
    <w:p w:rsidR="008B653A" w:rsidRDefault="008B653A">
      <w:pPr>
        <w:pStyle w:val="TableofFigures"/>
        <w:tabs>
          <w:tab w:val="right" w:leader="dot" w:pos="9350"/>
        </w:tabs>
        <w:rPr>
          <w:rFonts w:asciiTheme="minorHAnsi" w:eastAsiaTheme="minorEastAsia" w:hAnsiTheme="minorHAnsi" w:cstheme="minorBidi"/>
          <w:noProof/>
          <w:sz w:val="22"/>
          <w:szCs w:val="22"/>
        </w:rPr>
      </w:pPr>
      <w:hyperlink w:anchor="_Toc53994745" w:history="1">
        <w:r w:rsidRPr="00256C62">
          <w:rPr>
            <w:rStyle w:val="Hyperlink"/>
            <w:noProof/>
          </w:rPr>
          <w:t>Figure 4 Stokes Four-Quadrant Model of Scientific Research</w:t>
        </w:r>
        <w:r>
          <w:rPr>
            <w:noProof/>
            <w:webHidden/>
          </w:rPr>
          <w:tab/>
        </w:r>
        <w:r>
          <w:rPr>
            <w:noProof/>
            <w:webHidden/>
          </w:rPr>
          <w:fldChar w:fldCharType="begin"/>
        </w:r>
        <w:r>
          <w:rPr>
            <w:noProof/>
            <w:webHidden/>
          </w:rPr>
          <w:instrText xml:space="preserve"> PAGEREF _Toc53994745 \h </w:instrText>
        </w:r>
        <w:r>
          <w:rPr>
            <w:noProof/>
            <w:webHidden/>
          </w:rPr>
        </w:r>
        <w:r>
          <w:rPr>
            <w:noProof/>
            <w:webHidden/>
          </w:rPr>
          <w:fldChar w:fldCharType="separate"/>
        </w:r>
        <w:r>
          <w:rPr>
            <w:noProof/>
            <w:webHidden/>
          </w:rPr>
          <w:t>98</w:t>
        </w:r>
        <w:r>
          <w:rPr>
            <w:noProof/>
            <w:webHidden/>
          </w:rPr>
          <w:fldChar w:fldCharType="end"/>
        </w:r>
      </w:hyperlink>
    </w:p>
    <w:p w:rsidR="008B653A" w:rsidRDefault="008B653A">
      <w:pPr>
        <w:pStyle w:val="TableofFigures"/>
        <w:tabs>
          <w:tab w:val="right" w:leader="dot" w:pos="9350"/>
        </w:tabs>
        <w:rPr>
          <w:rFonts w:asciiTheme="minorHAnsi" w:eastAsiaTheme="minorEastAsia" w:hAnsiTheme="minorHAnsi" w:cstheme="minorBidi"/>
          <w:noProof/>
          <w:sz w:val="22"/>
          <w:szCs w:val="22"/>
        </w:rPr>
      </w:pPr>
      <w:hyperlink w:anchor="_Toc53994746" w:history="1">
        <w:r w:rsidRPr="00256C62">
          <w:rPr>
            <w:rStyle w:val="Hyperlink"/>
            <w:noProof/>
          </w:rPr>
          <w:t>Figure 5 The Valley of Death</w:t>
        </w:r>
        <w:r>
          <w:rPr>
            <w:noProof/>
            <w:webHidden/>
          </w:rPr>
          <w:tab/>
        </w:r>
        <w:r>
          <w:rPr>
            <w:noProof/>
            <w:webHidden/>
          </w:rPr>
          <w:fldChar w:fldCharType="begin"/>
        </w:r>
        <w:r>
          <w:rPr>
            <w:noProof/>
            <w:webHidden/>
          </w:rPr>
          <w:instrText xml:space="preserve"> PAGEREF _Toc53994746 \h </w:instrText>
        </w:r>
        <w:r>
          <w:rPr>
            <w:noProof/>
            <w:webHidden/>
          </w:rPr>
        </w:r>
        <w:r>
          <w:rPr>
            <w:noProof/>
            <w:webHidden/>
          </w:rPr>
          <w:fldChar w:fldCharType="separate"/>
        </w:r>
        <w:r>
          <w:rPr>
            <w:noProof/>
            <w:webHidden/>
          </w:rPr>
          <w:t>99</w:t>
        </w:r>
        <w:r>
          <w:rPr>
            <w:noProof/>
            <w:webHidden/>
          </w:rPr>
          <w:fldChar w:fldCharType="end"/>
        </w:r>
      </w:hyperlink>
    </w:p>
    <w:p w:rsidR="008B653A" w:rsidRDefault="008B653A">
      <w:pPr>
        <w:pStyle w:val="TableofFigures"/>
        <w:tabs>
          <w:tab w:val="right" w:leader="dot" w:pos="9350"/>
        </w:tabs>
        <w:rPr>
          <w:rFonts w:asciiTheme="minorHAnsi" w:eastAsiaTheme="minorEastAsia" w:hAnsiTheme="minorHAnsi" w:cstheme="minorBidi"/>
          <w:noProof/>
          <w:sz w:val="22"/>
          <w:szCs w:val="22"/>
        </w:rPr>
      </w:pPr>
      <w:hyperlink w:anchor="_Toc53994747" w:history="1">
        <w:r w:rsidRPr="00256C62">
          <w:rPr>
            <w:rStyle w:val="Hyperlink"/>
            <w:noProof/>
          </w:rPr>
          <w:t>Figure 6 Theory of the Organization</w:t>
        </w:r>
        <w:r>
          <w:rPr>
            <w:noProof/>
            <w:webHidden/>
          </w:rPr>
          <w:tab/>
        </w:r>
        <w:r>
          <w:rPr>
            <w:noProof/>
            <w:webHidden/>
          </w:rPr>
          <w:fldChar w:fldCharType="begin"/>
        </w:r>
        <w:r>
          <w:rPr>
            <w:noProof/>
            <w:webHidden/>
          </w:rPr>
          <w:instrText xml:space="preserve"> PAGEREF _Toc53994747 \h </w:instrText>
        </w:r>
        <w:r>
          <w:rPr>
            <w:noProof/>
            <w:webHidden/>
          </w:rPr>
        </w:r>
        <w:r>
          <w:rPr>
            <w:noProof/>
            <w:webHidden/>
          </w:rPr>
          <w:fldChar w:fldCharType="separate"/>
        </w:r>
        <w:r>
          <w:rPr>
            <w:noProof/>
            <w:webHidden/>
          </w:rPr>
          <w:t>100</w:t>
        </w:r>
        <w:r>
          <w:rPr>
            <w:noProof/>
            <w:webHidden/>
          </w:rPr>
          <w:fldChar w:fldCharType="end"/>
        </w:r>
      </w:hyperlink>
    </w:p>
    <w:p w:rsidR="008B653A" w:rsidRDefault="008B653A">
      <w:pPr>
        <w:pStyle w:val="TableofFigures"/>
        <w:tabs>
          <w:tab w:val="right" w:leader="dot" w:pos="9350"/>
        </w:tabs>
        <w:rPr>
          <w:rFonts w:asciiTheme="minorHAnsi" w:eastAsiaTheme="minorEastAsia" w:hAnsiTheme="minorHAnsi" w:cstheme="minorBidi"/>
          <w:noProof/>
          <w:sz w:val="22"/>
          <w:szCs w:val="22"/>
        </w:rPr>
      </w:pPr>
      <w:hyperlink w:anchor="_Toc53994748" w:history="1">
        <w:r w:rsidRPr="00256C62">
          <w:rPr>
            <w:rStyle w:val="Hyperlink"/>
            <w:noProof/>
          </w:rPr>
          <w:t>Figure 7 Demand-Side Model of Technology Transfer</w:t>
        </w:r>
        <w:r>
          <w:rPr>
            <w:noProof/>
            <w:webHidden/>
          </w:rPr>
          <w:tab/>
        </w:r>
        <w:r>
          <w:rPr>
            <w:noProof/>
            <w:webHidden/>
          </w:rPr>
          <w:fldChar w:fldCharType="begin"/>
        </w:r>
        <w:r>
          <w:rPr>
            <w:noProof/>
            <w:webHidden/>
          </w:rPr>
          <w:instrText xml:space="preserve"> PAGEREF _Toc53994748 \h </w:instrText>
        </w:r>
        <w:r>
          <w:rPr>
            <w:noProof/>
            <w:webHidden/>
          </w:rPr>
        </w:r>
        <w:r>
          <w:rPr>
            <w:noProof/>
            <w:webHidden/>
          </w:rPr>
          <w:fldChar w:fldCharType="separate"/>
        </w:r>
        <w:r>
          <w:rPr>
            <w:noProof/>
            <w:webHidden/>
          </w:rPr>
          <w:t>101</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993798"/>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993799"/>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5" w:name="_Toc53993800"/>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3993801"/>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w:t>
      </w:r>
      <w:proofErr w:type="gramStart"/>
      <w:r w:rsidR="00F57506">
        <w:t>general public</w:t>
      </w:r>
      <w:proofErr w:type="gramEnd"/>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lastRenderedPageBreak/>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w:t>
      </w:r>
      <w:r w:rsidR="00C037B7">
        <w:t xml:space="preserve">agency and </w:t>
      </w:r>
      <w:r>
        <w:t xml:space="preserve">culture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proofErr w:type="gramStart"/>
      <w:r>
        <w:t>According to</w:t>
      </w:r>
      <w:proofErr w:type="gramEnd"/>
      <w:r>
        <w:t xml:space="preserve">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lastRenderedPageBreak/>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w:t>
      </w:r>
      <w:proofErr w:type="gramStart"/>
      <w:r>
        <w:t>put to use</w:t>
      </w:r>
      <w:proofErr w:type="gramEnd"/>
      <w:r>
        <w:t xml:space="preserv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Herschbach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proofErr w:type="gramStart"/>
      <w:r w:rsidR="005A2DE8">
        <w:rPr>
          <w:rFonts w:eastAsia="Calibri"/>
        </w:rPr>
        <w:t>By definition, intentionally</w:t>
      </w:r>
      <w:proofErr w:type="gramEnd"/>
      <w:r w:rsidR="005A2DE8">
        <w:rPr>
          <w:rFonts w:eastAsia="Calibri"/>
        </w:rPr>
        <w:t xml:space="preserve">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993802"/>
      <w:r>
        <w:t xml:space="preserve">Conceptualizing </w:t>
      </w:r>
      <w:r w:rsidR="004E6565">
        <w:t xml:space="preserve">University </w:t>
      </w:r>
      <w:r w:rsidR="004E6565" w:rsidRPr="002F08DF">
        <w:t>Technology Transfer</w:t>
      </w:r>
      <w:bookmarkEnd w:id="7"/>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w:t>
      </w:r>
      <w:proofErr w:type="gramStart"/>
      <w:r w:rsidR="0060104B">
        <w:t>for the purpose of</w:t>
      </w:r>
      <w:proofErr w:type="gramEnd"/>
      <w:r w:rsidR="0060104B">
        <w:t xml:space="preserve">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w:t>
      </w:r>
      <w:r w:rsidR="008416D7">
        <w:t>is inconsistent</w:t>
      </w:r>
      <w:r w:rsidRPr="001317A6">
        <w:t xml:space="preserve">.  </w:t>
      </w:r>
      <w:r w:rsidR="008416D7">
        <w:t>At one point Speser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proofErr w:type="gramStart"/>
      <w:r>
        <w:t>Generally speaking, technology</w:t>
      </w:r>
      <w:proofErr w:type="gramEnd"/>
      <w:r>
        <w:t xml:space="preserve">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(Desmarais-Tremblay,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(Lidecap,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8" w:name="_Toc53993803"/>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9" w:name="_Toc53993804"/>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r w:rsidRPr="00805CD2">
        <w:lastRenderedPageBreak/>
        <w:t>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993805"/>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(Lidecap,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3993806"/>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Rosengard,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2" w:name="_Toc53993807"/>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w:t>
      </w:r>
      <w:proofErr w:type="gramStart"/>
      <w:r>
        <w:t>in connection with</w:t>
      </w:r>
      <w:proofErr w:type="gramEnd"/>
      <w:r>
        <w:t xml:space="preserve">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proofErr w:type="gramStart"/>
      <w:r w:rsidR="00BB4D68">
        <w:t>According to</w:t>
      </w:r>
      <w:proofErr w:type="gramEnd"/>
      <w:r w:rsidR="00BB4D68">
        <w:t xml:space="preserve">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007D1AA6" w:rsidRPr="007D134A">
        <w:t xml:space="preserve">Speser (2006) also discussed these differences in kinds of risk and included firm-specific risk as a third type.  Speser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 xml:space="preserve">demand.  No one will care.  In both cases, </w:t>
      </w:r>
      <w:proofErr w:type="gramStart"/>
      <w:r w:rsidRPr="007D134A">
        <w:t>the final result</w:t>
      </w:r>
      <w:proofErr w:type="gramEnd"/>
      <w:r w:rsidRPr="007D134A">
        <w:t xml:space="preserve">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w:t>
      </w:r>
      <w:proofErr w:type="gramStart"/>
      <w:r w:rsidR="00780AD6">
        <w:t>transfer in particular</w:t>
      </w:r>
      <w:proofErr w:type="gramEnd"/>
      <w:r w:rsidR="00782770">
        <w:t>.</w:t>
      </w:r>
    </w:p>
    <w:p w:rsidR="00100B5B" w:rsidRPr="00E4317F" w:rsidRDefault="00100B5B" w:rsidP="00100B5B">
      <w:pPr>
        <w:pStyle w:val="LiteratureReviewHeader2Bold"/>
      </w:pPr>
      <w:bookmarkStart w:id="13" w:name="_Toc53993808"/>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993809"/>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5" w:name="_Toc53993810"/>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summarize the body of knowledge and help to make sense of it all (see e.g., Battistella, De Toni, &amp; Pillon, 2016; Bengoa, Maseda, Iturralde, &amp; Aparicio,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 xml:space="preserve">and not private sector organizations that acquire and assimilate the technology (Bengoa, Maseda, Iturralde, &amp; Aparicio).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r w:rsidR="00F26754">
        <w:t>Bengoa, Maseda, Iturralde, &amp; Aparicio,</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(Bengoa, Maseda, Iturralde, &amp; Aparicio)</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significant inadequacies with this data.  The AUTM data is voluntarily self-reported, not independently verified or validated, and likely inaccurate and biased because of inconsistencies in reporting across institutions (</w:t>
      </w:r>
      <w:r w:rsidR="00FD3AE7" w:rsidRPr="00FD3AE7">
        <w:rPr>
          <w:rFonts w:eastAsia="Calibri"/>
          <w:iCs/>
        </w:rPr>
        <w:t>Sigurdson, Sá, &amp; Kretz, 2015</w:t>
      </w:r>
      <w:r w:rsidR="00FD3AE7">
        <w:rPr>
          <w:rFonts w:eastAsia="Calibri"/>
          <w:iCs/>
        </w:rPr>
        <w:t>).</w:t>
      </w:r>
    </w:p>
    <w:p w:rsidR="00124582" w:rsidRDefault="0088623B" w:rsidP="001F4643">
      <w:pPr>
        <w:ind w:firstLine="720"/>
        <w:rPr>
          <w:rFonts w:eastAsia="Calibri"/>
        </w:rPr>
      </w:pPr>
      <w:r>
        <w:t xml:space="preserve">Arshadi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lastRenderedPageBreak/>
        <w:t xml:space="preserve">Studies of technology transfer in general, and university technology transfer in specific, seem to have mostly focused on factors exogeneous to the technology transfer process.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Kim, Daim,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56BF6" w:rsidRPr="005E2F8F">
        <w:rPr>
          <w:iCs/>
        </w:rPr>
        <w:lastRenderedPageBreak/>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993811"/>
      <w:r>
        <w:t>Technology Maturity Level</w:t>
      </w:r>
      <w:r w:rsidR="0082167C">
        <w:t xml:space="preserve"> as an Understudied Explanatory Factor</w:t>
      </w:r>
      <w:bookmarkEnd w:id="16"/>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 xml:space="preserve">roposed study addresses.  </w:t>
      </w:r>
    </w:p>
    <w:p w:rsidR="009A198C" w:rsidRDefault="00724604" w:rsidP="009A198C">
      <w:pPr>
        <w:ind w:firstLine="720"/>
      </w:pPr>
      <w:r>
        <w:t xml:space="preserve">While </w:t>
      </w:r>
      <w:r w:rsidR="009A198C">
        <w:t>Munteanu (2012) provide</w:t>
      </w:r>
      <w:r>
        <w:t>s useful insight into the topic,</w:t>
      </w:r>
      <w:r w:rsidR="009A198C">
        <w:t xml:space="preserve"> there are important differences between the research </w:t>
      </w:r>
      <w:r>
        <w:t>design used by Munteanu and the proposed</w:t>
      </w:r>
      <w:r w:rsidR="009A198C">
        <w:t xml:space="preserve"> study.  These differences have implications for the generalizability of the results and their usefulness in formulating public policy. </w:t>
      </w:r>
      <w:r>
        <w:t xml:space="preserve">  In applying economics-based rational choice theory, </w:t>
      </w:r>
      <w:r w:rsidR="009A198C">
        <w:t>Munteanu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These operationalizations are</w:t>
      </w:r>
      <w:r>
        <w:t xml:space="preserve"> typical of te</w:t>
      </w:r>
      <w:r w:rsidR="003E1DF8">
        <w:t>chnology transfer studies but are</w:t>
      </w:r>
      <w:r>
        <w:t xml:space="preserve"> perhaps overly narrow.  </w:t>
      </w:r>
      <w:r w:rsidR="0094754F">
        <w:t>The study used d</w:t>
      </w:r>
      <w:r>
        <w:t>evelopment stage</w:t>
      </w:r>
      <w:r w:rsidR="0094754F">
        <w:t xml:space="preserve"> to operationalize technology maturity level, which</w:t>
      </w:r>
      <w:r>
        <w:t xml:space="preserve"> was the primary explanatory variable</w:t>
      </w:r>
      <w:r w:rsidR="0094754F">
        <w:t xml:space="preserve"> of interest</w:t>
      </w:r>
      <w:r>
        <w:t xml:space="preserve">.  Munteanu used an ordinal level of measure for development stage and a scale </w:t>
      </w:r>
      <w:r w:rsidR="0094754F">
        <w:t xml:space="preserve">that he </w:t>
      </w:r>
      <w:r>
        <w:t xml:space="preserve">conceived.  </w:t>
      </w:r>
      <w:r>
        <w:lastRenderedPageBreak/>
        <w:t xml:space="preserve">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Munteanu </w:t>
      </w:r>
      <w:r>
        <w:t xml:space="preserve">used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w:t>
      </w:r>
      <w:r>
        <w:lastRenderedPageBreak/>
        <w:t xml:space="preserve">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Munteanu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w:t>
      </w:r>
      <w:r w:rsidR="000507CA">
        <w:t>by</w:t>
      </w:r>
      <w:r>
        <w:t xml:space="preserve">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w:t>
      </w:r>
      <w:proofErr w:type="gramStart"/>
      <w:r>
        <w:t>actually prefer</w:t>
      </w:r>
      <w:proofErr w:type="gramEnd"/>
      <w:r>
        <w:t xml:space="preserve">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w:t>
      </w:r>
      <w:r>
        <w:lastRenderedPageBreak/>
        <w:t>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9A198C">
        <w:lastRenderedPageBreak/>
        <w:t>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w:t>
      </w:r>
      <w:r w:rsidRPr="003F55E8">
        <w:lastRenderedPageBreak/>
        <w:t xml:space="preserve">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w:t>
      </w:r>
      <w:r w:rsidR="00701FD6">
        <w:lastRenderedPageBreak/>
        <w:t>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993812"/>
      <w:r>
        <w:t>The Valley of Death in University Technology Transfer</w:t>
      </w:r>
      <w:bookmarkEnd w:id="17"/>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w:t>
      </w:r>
      <w:r w:rsidRPr="00805CD2">
        <w:lastRenderedPageBreak/>
        <w:t xml:space="preserve">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Aiman-Smith, &amp; Kingon</w:t>
      </w:r>
      <w:r w:rsidRPr="00A22400">
        <w:t>, 201</w:t>
      </w:r>
      <w:r>
        <w:t>0; Tirpak, 2017; Wessner, 2005)</w:t>
      </w:r>
      <w:r w:rsidR="00743029">
        <w:t>.  They generally employ a three-stage framework that describes the progress of technology from laboratory to market.</w:t>
      </w:r>
    </w:p>
    <w:p w:rsidR="00743029" w:rsidRDefault="00743029" w:rsidP="00743029">
      <w:pPr>
        <w:ind w:firstLine="720"/>
      </w:pPr>
      <w:r>
        <w:t xml:space="preserve">Wessner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w:t>
      </w:r>
      <w:proofErr w:type="gramStart"/>
      <w:r>
        <w:t>According to</w:t>
      </w:r>
      <w:proofErr w:type="gramEnd"/>
      <w:r>
        <w:t xml:space="preserve"> Wessner, this approach has led to the successful transfer of fuel cell, proteomics, medical diagnostic, and lithography technol</w:t>
      </w:r>
      <w:r w:rsidR="00720CB8">
        <w:t>ogies.  Moreover, Wessner argued</w:t>
      </w:r>
      <w:r>
        <w:t xml:space="preserve"> there is clear evidence that ATP helped attract the private investment necessary to successfully transfer technologies to offerings in the private sector that benefited the public interest.</w:t>
      </w:r>
      <w:r w:rsidR="00B8661C">
        <w:t xml:space="preserve">  However, this is not definitive evidence that low technology maturity level is the 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w:t>
      </w:r>
      <w:r w:rsidR="00697217">
        <w:lastRenderedPageBreak/>
        <w:t>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proofErr w:type="gramStart"/>
      <w:r>
        <w:t>According to</w:t>
      </w:r>
      <w:proofErr w:type="gramEnd"/>
      <w:r>
        <w:t xml:space="preserve">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explains why the private sector would focus on opportunities to pursue technologies at maturity levels higher than what universities typically offer.</w:t>
      </w:r>
    </w:p>
    <w:p w:rsidR="00743029" w:rsidRPr="00C5065A" w:rsidRDefault="00743029" w:rsidP="00743029">
      <w:pPr>
        <w:ind w:firstLine="720"/>
      </w:pPr>
      <w:r>
        <w:lastRenderedPageBreak/>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8" w:name="_Toc53993813"/>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w:t>
      </w:r>
      <w:r w:rsidR="00EE1B57">
        <w:lastRenderedPageBreak/>
        <w:t xml:space="preserve">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(Cyert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 xml:space="preserve">arth-centered model that didn’t </w:t>
      </w:r>
      <w:r w:rsidR="005E173C">
        <w:lastRenderedPageBreak/>
        <w:t>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r w:rsidR="00D939F3">
        <w:t>As such, a decision to acquire and use a technology is made by one or more members of an organiza</w:t>
      </w:r>
      <w:r w:rsidR="00C80F79">
        <w:t xml:space="preserve">tion (e.g., a for-profit commercial </w:t>
      </w:r>
      <w:r w:rsidR="00C80F79">
        <w:lastRenderedPageBreak/>
        <w:t>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9" w:name="_Toc53993814"/>
      <w:r>
        <w:t xml:space="preserve">Organizational Structure </w:t>
      </w:r>
      <w:r w:rsidR="00C96A70">
        <w:t>and Technology Maturity Level</w:t>
      </w:r>
      <w:bookmarkEnd w:id="19"/>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w:t>
      </w:r>
      <w:r w:rsidR="00A47B74">
        <w:lastRenderedPageBreak/>
        <w:t xml:space="preserve">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argues that the threshold at which an organization will transition from nurturing loonshots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t xml:space="preserve">In the context of university technology transfer, it may be that low maturity level technologies are akin to loonshots and high maturity level technologies are analogous to franchise projects.  However, it’s also quite possible that most, if not all, efforts to transfer newly </w:t>
      </w:r>
      <w:r w:rsidRPr="00B71CE0">
        <w:rPr>
          <w:iCs/>
        </w:rPr>
        <w:lastRenderedPageBreak/>
        <w:t>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w:t>
      </w:r>
      <w:r w:rsidR="008C00CC">
        <w:rPr>
          <w:iCs/>
        </w:rPr>
        <w:t xml:space="preserve"> i</w:t>
      </w:r>
      <w:r w:rsidR="002A2253">
        <w:rPr>
          <w:iCs/>
        </w:rPr>
        <w:t>s the case that most, if not all, efforts to transfer newly created technologies to the private sector are essentially loonshots regardless of maturity level.</w:t>
      </w:r>
    </w:p>
    <w:p w:rsidR="008B39C7" w:rsidRDefault="008B39C7" w:rsidP="008B39C7">
      <w:pPr>
        <w:pStyle w:val="LiteratureReviewHeader2Bold"/>
      </w:pPr>
      <w:bookmarkStart w:id="20" w:name="_Toc53993815"/>
      <w:r>
        <w:t>Uncertainty Avoidance</w:t>
      </w:r>
      <w:r w:rsidR="00391DE0">
        <w:t xml:space="preserve"> </w:t>
      </w:r>
      <w:r w:rsidR="00C96A70">
        <w:t>and Technology Maturity Level</w:t>
      </w:r>
      <w:bookmarkEnd w:id="20"/>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w:t>
      </w:r>
      <w:r w:rsidRPr="003E4D46">
        <w:rPr>
          <w:iCs/>
        </w:rPr>
        <w:lastRenderedPageBreak/>
        <w:t>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(Cyert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proofErr w:type="gramStart"/>
      <w:r w:rsidR="008B39C7" w:rsidRPr="00904819">
        <w:t>According to</w:t>
      </w:r>
      <w:proofErr w:type="gramEnd"/>
      <w:r w:rsidR="008B39C7" w:rsidRPr="00904819">
        <w:t xml:space="preserve">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1" w:name="_Toc53993816"/>
      <w:r>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lastRenderedPageBreak/>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proofErr w:type="gramStart"/>
      <w:r w:rsidR="003E753B">
        <w:t>According to</w:t>
      </w:r>
      <w:proofErr w:type="gramEnd"/>
      <w:r w:rsidR="003E753B">
        <w:t xml:space="preserve">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w:t>
      </w:r>
      <w:r>
        <w:lastRenderedPageBreak/>
        <w:t xml:space="preserve">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proofErr w:type="gramStart"/>
      <w:r w:rsidRPr="00F62694">
        <w:rPr>
          <w:u w:val="single"/>
        </w:rPr>
        <w:t>actually</w:t>
      </w:r>
      <w:r w:rsidRPr="00496458">
        <w:t xml:space="preserve"> make</w:t>
      </w:r>
      <w:proofErr w:type="gramEnd"/>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w:t>
      </w:r>
      <w:r w:rsidR="00F40FB1">
        <w:lastRenderedPageBreak/>
        <w:t>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proofErr w:type="gramStart"/>
      <w:r>
        <w:t>According to</w:t>
      </w:r>
      <w:proofErr w:type="gramEnd"/>
      <w:r>
        <w:t xml:space="preserve">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lastRenderedPageBreak/>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w:t>
      </w:r>
      <w:r w:rsidR="00CD1E66">
        <w:lastRenderedPageBreak/>
        <w:t xml:space="preserve">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lastRenderedPageBreak/>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lastRenderedPageBreak/>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 xml:space="preserve">Researchers have postulated that in addition to organizational cultures, communities of occupations create occupational cultures that extend across organizations, </w:t>
      </w:r>
      <w:r w:rsidR="00C66514">
        <w:t>influence the activities of organizations</w:t>
      </w:r>
      <w:r w:rsidR="00C66514">
        <w:t xml:space="preserve">, </w:t>
      </w:r>
      <w:r w:rsidR="00C66514">
        <w:t>and</w:t>
      </w:r>
      <w:r w:rsidR="00C66514">
        <w:t xml:space="preserve"> contribute to the similarities among organizations (Rojot, 2008).</w:t>
      </w:r>
      <w:r w:rsidR="00830FAB">
        <w:t xml:space="preserve">  </w:t>
      </w:r>
      <w:r w:rsidR="00E958C4">
        <w:t>This suggests that there exists an</w:t>
      </w:r>
      <w:r w:rsidR="00830FAB">
        <w:t xml:space="preserve"> occupational </w:t>
      </w:r>
      <w:r w:rsidR="00830FAB">
        <w:lastRenderedPageBreak/>
        <w:t>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2" w:name="_Toc53993817"/>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 xml:space="preserve">rojects generally are focused on addressing identified needs </w:t>
      </w:r>
      <w:r>
        <w:lastRenderedPageBreak/>
        <w:t>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 xml:space="preserve">They found that the primary public policy measures studied in the literature included </w:t>
      </w:r>
      <w:r w:rsidRPr="0015245D">
        <w:lastRenderedPageBreak/>
        <w:t>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w:t>
      </w:r>
      <w:r>
        <w:lastRenderedPageBreak/>
        <w:t>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3993818"/>
      <w:r>
        <w:t>A Demand-Side Model of Technology Transfer</w:t>
      </w:r>
      <w:bookmarkEnd w:id="23"/>
    </w:p>
    <w:p w:rsidR="009C1D63" w:rsidRDefault="009C1D63" w:rsidP="009C1D63">
      <w:r>
        <w:tab/>
        <w:t>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proposed with the administrative theory of Simon (1997). [Explain the concepts of the theory].</w:t>
      </w:r>
    </w:p>
    <w:p w:rsidR="009C1D63" w:rsidRDefault="009C1D63" w:rsidP="009C1D63">
      <w:r>
        <w:tab/>
        <w:t>Applying this proposed theory of the organization, I model demand-side technology transfer to help explain why a low percentage of university-created technologies are transferred to the private sector for use that benefits the public interest (Figure 6). [Explain the model].</w:t>
      </w:r>
    </w:p>
    <w:p w:rsidR="009C1D63" w:rsidRDefault="009C1D63" w:rsidP="009C1D63"/>
    <w:p w:rsidR="009C1D63" w:rsidRDefault="009C1D63" w:rsidP="009C1D63">
      <w:r>
        <w:t>[</w:t>
      </w:r>
      <w:r w:rsidRPr="009C1D63">
        <w:rPr>
          <w:smallCaps/>
        </w:rPr>
        <w:t>Question for Dr. Gilsinan</w:t>
      </w:r>
      <w:r>
        <w:t>: Should this section be a part of the research methodology discussion of Chapter 3</w:t>
      </w:r>
      <w:r w:rsidR="00596981">
        <w:t xml:space="preserve"> instead of the literature review</w:t>
      </w:r>
      <w:r>
        <w:t>?]</w:t>
      </w:r>
    </w:p>
    <w:p w:rsidR="00250EC3" w:rsidRPr="0003023E" w:rsidRDefault="000B06E9" w:rsidP="00013D7B">
      <w:pPr>
        <w:pStyle w:val="LiteratureReviewHeader2Bold"/>
      </w:pPr>
      <w:bookmarkStart w:id="24" w:name="_Toc53993819"/>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w:t>
      </w:r>
      <w:r w:rsidR="00703A64">
        <w:lastRenderedPageBreak/>
        <w:t xml:space="preserve">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decision theory literature provides insight into the role that technology maturity level may play in the university technology transfer outcomes observed.</w:t>
      </w:r>
    </w:p>
    <w:p w:rsidR="00A11F83" w:rsidRDefault="00330155" w:rsidP="00545D1A">
      <w:r>
        <w:lastRenderedPageBreak/>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D7328F">
        <w:t>they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university</w:t>
      </w:r>
      <w:r w:rsidR="00D7328F">
        <w:t>-created technologies 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3993820"/>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 xml:space="preserve">(5), 306-318. </w:t>
      </w:r>
      <w:proofErr w:type="gramStart"/>
      <w:r w:rsidR="007B27B9" w:rsidRPr="007B27B9">
        <w:t>doi:10.1016/j.technovation</w:t>
      </w:r>
      <w:proofErr w:type="gramEnd"/>
      <w:r w:rsidR="007B27B9" w:rsidRPr="007B27B9">
        <w:t>.2006.10.003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F1736E" w:rsidRDefault="00126784" w:rsidP="00287B8D">
      <w:pPr>
        <w:ind w:left="720" w:hanging="720"/>
      </w:pPr>
      <w:r>
        <w:t>*</w:t>
      </w:r>
      <w:r w:rsidR="00F1736E" w:rsidRPr="00F1736E">
        <w:t xml:space="preserve">Battistella, C., De Toni, A. F., &amp; Pillon, R. (2016). Inter-organizational technology/knowledge transfer: A framework from critical literature review. </w:t>
      </w:r>
      <w:r w:rsidR="00F1736E" w:rsidRPr="00F1736E">
        <w:rPr>
          <w:i/>
        </w:rPr>
        <w:t>The Journal of Technology Transfer</w:t>
      </w:r>
      <w:r w:rsidR="00F1736E" w:rsidRPr="00F1736E">
        <w:t>, 41(5), 1195–1234.</w:t>
      </w:r>
    </w:p>
    <w:p w:rsidR="00A303D0" w:rsidRDefault="00A303D0" w:rsidP="00287B8D">
      <w:pPr>
        <w:ind w:left="720" w:hanging="720"/>
      </w:pPr>
      <w:r>
        <w:t>*Benson, D. C. (2012). The ballet of the planets: On the mathematical elegance of planetary motion. New York, NY: Oxford University Press.</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w:t>
      </w:r>
      <w:r w:rsidR="00D77E6A" w:rsidRPr="00653692">
        <w:rPr>
          <w:i/>
        </w:rPr>
        <w:lastRenderedPageBreak/>
        <w:t>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lastRenderedPageBreak/>
        <w:t>*</w:t>
      </w:r>
      <w:r w:rsidR="0009261D" w:rsidRPr="0009261D">
        <w:rPr>
          <w:i/>
        </w:rPr>
        <w:t>Daily Compilation of Presidential Documents</w:t>
      </w:r>
      <w:r w:rsidR="0009261D" w:rsidRPr="0009261D">
        <w:t xml:space="preserve">. (2011, October 28). Retrieved </w:t>
      </w:r>
      <w:proofErr w:type="gramStart"/>
      <w:r w:rsidR="0009261D" w:rsidRPr="0009261D">
        <w:t>from  https://www.govinfo.gov/app/collection/CPD/</w:t>
      </w:r>
      <w:proofErr w:type="gramEnd"/>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lastRenderedPageBreak/>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lastRenderedPageBreak/>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lastRenderedPageBreak/>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 xml:space="preserve">(3), 69-95. </w:t>
      </w:r>
      <w:proofErr w:type="gramStart"/>
      <w:r w:rsidRPr="00287B8D">
        <w:t>doi:Retrieved</w:t>
      </w:r>
      <w:proofErr w:type="gramEnd"/>
      <w:r w:rsidRPr="00287B8D">
        <w:t xml:space="preserve">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lastRenderedPageBreak/>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lastRenderedPageBreak/>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lastRenderedPageBreak/>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B23160" w:rsidRDefault="00A4713E" w:rsidP="001134F8">
      <w:pPr>
        <w:ind w:left="720" w:hanging="720"/>
      </w:pPr>
      <w:r>
        <w:lastRenderedPageBreak/>
        <w:t>*</w:t>
      </w:r>
      <w:r w:rsidR="00B23160" w:rsidRPr="00B23160">
        <w:t xml:space="preserve">Noh, H., &amp; Lee, S. (2017). Where technology transfer research originated and where it is going: A quantitative analysis of literature published between 1980 and 2015. </w:t>
      </w:r>
      <w:r w:rsidR="00B23160" w:rsidRPr="00B23160">
        <w:rPr>
          <w:i/>
        </w:rPr>
        <w:t>The Journal of Technology Transfer</w:t>
      </w:r>
      <w:r w:rsidR="00B23160" w:rsidRPr="00B23160">
        <w:t>, 44(3), 700–740.</w:t>
      </w:r>
    </w:p>
    <w:p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lastRenderedPageBreak/>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DC0E7E" w:rsidRPr="00DC0E7E" w:rsidRDefault="00DC0E7E" w:rsidP="00DC0E7E">
      <w:pPr>
        <w:ind w:left="720" w:hanging="720"/>
        <w:rPr>
          <w:rFonts w:eastAsia="Calibri"/>
          <w:iCs/>
        </w:rPr>
      </w:pPr>
      <w:r w:rsidRPr="00DC0E7E">
        <w:rPr>
          <w:rFonts w:eastAsia="Calibri"/>
          <w:iCs/>
        </w:rPr>
        <w:t xml:space="preserve">Rojot,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gramStart"/>
      <w:r w:rsidRPr="00756E53">
        <w:t>doi:https://doi.org/10.1177%2F0165551506070706</w:t>
      </w:r>
      <w:proofErr w:type="gramEnd"/>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D6ACF" w:rsidRPr="008D6ACF" w:rsidRDefault="008D6ACF" w:rsidP="008D6ACF">
      <w:pPr>
        <w:ind w:left="720" w:hanging="720"/>
        <w:rPr>
          <w:rFonts w:eastAsia="Calibri"/>
          <w:iCs/>
        </w:rPr>
      </w:pPr>
      <w:r w:rsidRPr="008D6ACF">
        <w:rPr>
          <w:rFonts w:eastAsia="Calibri"/>
          <w:iCs/>
        </w:rPr>
        <w:lastRenderedPageBreak/>
        <w:t xml:space="preserve">Sigurdson, K., Sá, C. M., &amp; Kretz,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doi:10.1093/scipol/scu080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p>
    <w:p w:rsidR="00F1736E" w:rsidRDefault="00F1736E" w:rsidP="00F1736E">
      <w:pPr>
        <w:ind w:left="720" w:hanging="720"/>
      </w:pPr>
      <w:r>
        <w:t xml:space="preserve">*Wahab, S. A., Rose, R. C., &amp; Osman, S. I. W. (2012b). The Theoretical perspectives underlying technology transfer: A literature review. </w:t>
      </w:r>
      <w:r w:rsidRPr="00F1736E">
        <w:rPr>
          <w:i/>
        </w:rPr>
        <w:t>International Journal of Business and Management</w:t>
      </w:r>
      <w:r>
        <w:t>, 7(2), 277–288.</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proofErr w:type="gramStart"/>
      <w:r w:rsidR="00F01C8B" w:rsidRPr="00F01C8B">
        <w:rPr>
          <w:i/>
        </w:rPr>
        <w:t>The</w:t>
      </w:r>
      <w:proofErr w:type="gramEnd"/>
      <w:r w:rsidR="00F01C8B" w:rsidRPr="00F01C8B">
        <w:rPr>
          <w:i/>
        </w:rPr>
        <w:t xml:space="preserv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lastRenderedPageBreak/>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xml:space="preserve">, 12-25. </w:t>
      </w:r>
      <w:proofErr w:type="gramStart"/>
      <w:r w:rsidR="00A36AA2" w:rsidRPr="00A36AA2">
        <w:t>doi:10.1016/j.technovation</w:t>
      </w:r>
      <w:proofErr w:type="gramEnd"/>
      <w:r w:rsidR="00A36AA2" w:rsidRPr="00A36AA2">
        <w:t>.2014.09.004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993821"/>
      <w:r>
        <w:lastRenderedPageBreak/>
        <w:t xml:space="preserve">Appendix A. </w:t>
      </w:r>
      <w:r w:rsidR="00D87ADF">
        <w:t>Tables and Figures</w:t>
      </w:r>
      <w:bookmarkEnd w:id="27"/>
    </w:p>
    <w:p w:rsidR="00326E0E" w:rsidRPr="00326E0E" w:rsidRDefault="00326E0E" w:rsidP="00083637">
      <w:pPr>
        <w:pStyle w:val="Table"/>
      </w:pPr>
      <w:bookmarkStart w:id="28" w:name="_Toc53994671"/>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99467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399467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774DE2" w:rsidRDefault="00774DE2">
                            <w:r>
                              <w:t>Table 3</w:t>
                            </w:r>
                          </w:p>
                          <w:p w:rsidR="00774DE2" w:rsidRPr="006A4B6F" w:rsidRDefault="00774DE2">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774DE2" w:rsidRDefault="00774DE2">
                      <w:r>
                        <w:t>Table 3</w:t>
                      </w:r>
                    </w:p>
                    <w:p w:rsidR="00774DE2" w:rsidRPr="006A4B6F" w:rsidRDefault="00774DE2">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774DE2" w:rsidRDefault="00774DE2" w:rsidP="00E24908">
                            <w:r>
                              <w:t>Table 3 (continued)</w:t>
                            </w:r>
                          </w:p>
                          <w:p w:rsidR="00774DE2" w:rsidRPr="006A4B6F" w:rsidRDefault="00774DE2"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774DE2" w:rsidRDefault="00774DE2" w:rsidP="00E24908">
                      <w:r>
                        <w:t>Table 3 (continued)</w:t>
                      </w:r>
                    </w:p>
                    <w:p w:rsidR="00774DE2" w:rsidRPr="006A4B6F" w:rsidRDefault="00774DE2"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774DE2" w:rsidRDefault="00774DE2" w:rsidP="00D005A4">
                            <w:r>
                              <w:t>Table 3 (continued)</w:t>
                            </w:r>
                          </w:p>
                          <w:p w:rsidR="00774DE2" w:rsidRPr="006A4B6F" w:rsidRDefault="00774DE2"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774DE2" w:rsidRDefault="00774DE2" w:rsidP="00D005A4">
                      <w:r>
                        <w:t>Table 3 (continued)</w:t>
                      </w:r>
                    </w:p>
                    <w:p w:rsidR="00774DE2" w:rsidRPr="006A4B6F" w:rsidRDefault="00774DE2"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994674"/>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994675"/>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994742"/>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994743"/>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3994744"/>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774DE2" w:rsidRPr="00185280" w:rsidRDefault="00774DE2" w:rsidP="003065D0">
                            <w:r>
                              <w:t>Figure 3</w:t>
                            </w:r>
                            <w:r w:rsidRPr="00185280">
                              <w:br/>
                            </w:r>
                            <w:r>
                              <w:rPr>
                                <w:i/>
                              </w:rPr>
                              <w:t>The Relationship between Research and Societal Benefits</w:t>
                            </w:r>
                          </w:p>
                          <w:p w:rsidR="00774DE2" w:rsidRDefault="00774DE2"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774DE2" w:rsidRPr="00185280" w:rsidRDefault="00774DE2" w:rsidP="003065D0">
                      <w:r>
                        <w:t>Figure 3</w:t>
                      </w:r>
                      <w:r w:rsidRPr="00185280">
                        <w:br/>
                      </w:r>
                      <w:r>
                        <w:rPr>
                          <w:i/>
                        </w:rPr>
                        <w:t>The Relationship between Research and Societal Benefits</w:t>
                      </w:r>
                    </w:p>
                    <w:p w:rsidR="00774DE2" w:rsidRDefault="00774DE2"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994745"/>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994746"/>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3994747"/>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774DE2" w:rsidRPr="00185280" w:rsidRDefault="00774DE2" w:rsidP="00185280">
                            <w:r>
                              <w:t>Figure 6</w:t>
                            </w:r>
                            <w:r w:rsidRPr="00185280">
                              <w:br/>
                            </w:r>
                            <w:r>
                              <w:rPr>
                                <w:i/>
                              </w:rPr>
                              <w:t>Theory of the Organization</w:t>
                            </w:r>
                          </w:p>
                          <w:p w:rsidR="00774DE2" w:rsidRDefault="00774D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774DE2" w:rsidRPr="00185280" w:rsidRDefault="00774DE2" w:rsidP="00185280">
                      <w:r>
                        <w:t>Figure 6</w:t>
                      </w:r>
                      <w:r w:rsidRPr="00185280">
                        <w:br/>
                      </w:r>
                      <w:r>
                        <w:rPr>
                          <w:i/>
                        </w:rPr>
                        <w:t>Theory of the Organization</w:t>
                      </w:r>
                    </w:p>
                    <w:p w:rsidR="00774DE2" w:rsidRDefault="00774DE2"/>
                  </w:txbxContent>
                </v:textbox>
                <w10:anchorlock/>
              </v:shape>
            </w:pict>
          </mc:Fallback>
        </mc:AlternateContent>
      </w:r>
      <w:r w:rsidRPr="00185280">
        <w:rPr>
          <w:noProof/>
        </w:rPr>
        <w:drawing>
          <wp:inline distT="0" distB="0" distL="0" distR="0">
            <wp:extent cx="7498080" cy="2188226"/>
            <wp:effectExtent l="698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8226"/>
                    </a:xfrm>
                    <a:prstGeom prst="rect">
                      <a:avLst/>
                    </a:prstGeom>
                    <a:noFill/>
                    <a:ln>
                      <a:noFill/>
                    </a:ln>
                  </pic:spPr>
                </pic:pic>
              </a:graphicData>
            </a:graphic>
          </wp:inline>
        </w:drawing>
      </w:r>
    </w:p>
    <w:p w:rsidR="00975A18" w:rsidRPr="00562B8D" w:rsidRDefault="007E315D" w:rsidP="0024112A">
      <w:pPr>
        <w:pStyle w:val="Figure"/>
        <w:rPr>
          <w:i w:val="0"/>
        </w:rPr>
      </w:pPr>
      <w:bookmarkStart w:id="39" w:name="_Toc53994748"/>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Pr="00ED3A93" w:rsidRDefault="00CD1AAD" w:rsidP="00ED3A93">
      <w:r>
        <w:rPr>
          <w:noProof/>
        </w:rPr>
        <w:drawing>
          <wp:inline distT="0" distB="0" distL="0" distR="0" wp14:anchorId="2C4112D5">
            <wp:extent cx="5943600" cy="53294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329448"/>
                    </a:xfrm>
                    <a:prstGeom prst="rect">
                      <a:avLst/>
                    </a:prstGeom>
                    <a:noFill/>
                  </pic:spPr>
                </pic:pic>
              </a:graphicData>
            </a:graphic>
          </wp:inline>
        </w:drawing>
      </w:r>
    </w:p>
    <w:sectPr w:rsidR="00975A1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E2" w:rsidRDefault="00774DE2" w:rsidP="00ED3A93">
      <w:pPr>
        <w:spacing w:line="240" w:lineRule="auto"/>
      </w:pPr>
      <w:r>
        <w:separator/>
      </w:r>
    </w:p>
  </w:endnote>
  <w:endnote w:type="continuationSeparator" w:id="0">
    <w:p w:rsidR="00774DE2" w:rsidRDefault="00774DE2"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E2" w:rsidRDefault="00774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E2" w:rsidRDefault="00774D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E2" w:rsidRDefault="00774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E2" w:rsidRDefault="00774DE2" w:rsidP="00ED3A93">
      <w:pPr>
        <w:spacing w:line="240" w:lineRule="auto"/>
      </w:pPr>
      <w:r>
        <w:separator/>
      </w:r>
    </w:p>
  </w:footnote>
  <w:footnote w:type="continuationSeparator" w:id="0">
    <w:p w:rsidR="00774DE2" w:rsidRDefault="00774DE2" w:rsidP="00ED3A93">
      <w:pPr>
        <w:spacing w:line="240" w:lineRule="auto"/>
      </w:pPr>
      <w:r>
        <w:continuationSeparator/>
      </w:r>
    </w:p>
  </w:footnote>
  <w:footnote w:id="1">
    <w:p w:rsidR="00774DE2" w:rsidRDefault="00774DE2">
      <w:pPr>
        <w:pStyle w:val="FootnoteText"/>
      </w:pPr>
      <w:r>
        <w:rPr>
          <w:rStyle w:val="FootnoteReference"/>
        </w:rPr>
        <w:footnoteRef/>
      </w:r>
      <w:r>
        <w:t xml:space="preserve"> A practical joke or fool’s errand in which one tricks an unsuspecting individual into trying to locate something that does not exist, often an animal called a “snipe.”</w:t>
      </w:r>
    </w:p>
  </w:footnote>
  <w:footnote w:id="2">
    <w:p w:rsidR="00774DE2" w:rsidRDefault="00774DE2">
      <w:pPr>
        <w:pStyle w:val="FootnoteText"/>
      </w:pPr>
      <w:r>
        <w:rPr>
          <w:rStyle w:val="FootnoteReference"/>
        </w:rPr>
        <w:footnoteRef/>
      </w:r>
      <w:r>
        <w:t xml:space="preserve"> Clovis points are stone artifacts associated with a prehistoric Paleoamerican culture </w:t>
      </w:r>
      <w:r w:rsidR="007201A4">
        <w:t>located in what is now the Americas</w:t>
      </w:r>
      <w:r w:rsidR="00F028B6">
        <w:t xml:space="preserve"> that existed from around 11,050</w:t>
      </w:r>
      <w:r w:rsidR="007201A4">
        <w:t xml:space="preserve"> B</w:t>
      </w:r>
      <w:r w:rsidR="00F028B6">
        <w:t>CE</w:t>
      </w:r>
      <w:r w:rsidR="00463AEE">
        <w:t xml:space="preserve"> to 9,</w:t>
      </w:r>
      <w:r w:rsidR="00F028B6">
        <w:t>0</w:t>
      </w:r>
      <w:r w:rsidR="00463AEE">
        <w:t>50 BCE</w:t>
      </w:r>
      <w:r w:rsidR="00F028B6">
        <w:t>.</w:t>
      </w:r>
      <w:r w:rsidR="007201A4">
        <w:t xml:space="preserv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E2" w:rsidRDefault="00774D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2"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18.001"/>
          <w10:wrap anchorx="margin" anchory="margin"/>
        </v:shape>
      </w:pict>
    </w: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74DE2" w:rsidRDefault="00774DE2"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E2" w:rsidRPr="00ED3A93" w:rsidRDefault="00774DE2"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3"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18.001"/>
          <w10:wrap anchorx="margin" anchory="margin"/>
        </v:shape>
      </w:pict>
    </w: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8B653A">
      <w:rPr>
        <w:noProof/>
      </w:rPr>
      <w:t>2</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E2" w:rsidRPr="00ED3A93" w:rsidRDefault="00774DE2"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914281"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18.001"/>
          <w10:wrap anchorx="margin" anchory="margin"/>
        </v:shape>
      </w:pict>
    </w: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8B653A">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dirty" w:grammar="clean"/>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4260"/>
    <w:rsid w:val="00004C79"/>
    <w:rsid w:val="00004D42"/>
    <w:rsid w:val="000064BC"/>
    <w:rsid w:val="00006702"/>
    <w:rsid w:val="0000675F"/>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3A"/>
    <w:rsid w:val="0013285B"/>
    <w:rsid w:val="00133839"/>
    <w:rsid w:val="0013513F"/>
    <w:rsid w:val="00135498"/>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0C2E"/>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349D"/>
    <w:rsid w:val="00223585"/>
    <w:rsid w:val="002250FA"/>
    <w:rsid w:val="002253CF"/>
    <w:rsid w:val="00225D36"/>
    <w:rsid w:val="00226860"/>
    <w:rsid w:val="00227EEF"/>
    <w:rsid w:val="002302B6"/>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49E"/>
    <w:rsid w:val="00267F15"/>
    <w:rsid w:val="00270B1F"/>
    <w:rsid w:val="00270E31"/>
    <w:rsid w:val="0027207C"/>
    <w:rsid w:val="002721C7"/>
    <w:rsid w:val="00273338"/>
    <w:rsid w:val="00274047"/>
    <w:rsid w:val="002753EB"/>
    <w:rsid w:val="002814DF"/>
    <w:rsid w:val="0028257B"/>
    <w:rsid w:val="00283A7B"/>
    <w:rsid w:val="00283EFA"/>
    <w:rsid w:val="00287B8D"/>
    <w:rsid w:val="00290F48"/>
    <w:rsid w:val="00291952"/>
    <w:rsid w:val="00291B69"/>
    <w:rsid w:val="00292529"/>
    <w:rsid w:val="002925A3"/>
    <w:rsid w:val="00294291"/>
    <w:rsid w:val="002954DC"/>
    <w:rsid w:val="002A2253"/>
    <w:rsid w:val="002A2C8B"/>
    <w:rsid w:val="002A30C6"/>
    <w:rsid w:val="002A3328"/>
    <w:rsid w:val="002A5D75"/>
    <w:rsid w:val="002A7951"/>
    <w:rsid w:val="002B0C61"/>
    <w:rsid w:val="002B15C1"/>
    <w:rsid w:val="002B63D3"/>
    <w:rsid w:val="002B6500"/>
    <w:rsid w:val="002C211E"/>
    <w:rsid w:val="002C236D"/>
    <w:rsid w:val="002C4AEE"/>
    <w:rsid w:val="002C62F7"/>
    <w:rsid w:val="002C7A73"/>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0EFA"/>
    <w:rsid w:val="003914BC"/>
    <w:rsid w:val="00391DE0"/>
    <w:rsid w:val="00393EC8"/>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721A2"/>
    <w:rsid w:val="00475281"/>
    <w:rsid w:val="004753DF"/>
    <w:rsid w:val="00477E2B"/>
    <w:rsid w:val="004819C5"/>
    <w:rsid w:val="00482E41"/>
    <w:rsid w:val="00482F2B"/>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306"/>
    <w:rsid w:val="005204D9"/>
    <w:rsid w:val="00520DC6"/>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5100A"/>
    <w:rsid w:val="005527C8"/>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72DC"/>
    <w:rsid w:val="00640E07"/>
    <w:rsid w:val="006410AD"/>
    <w:rsid w:val="00641B11"/>
    <w:rsid w:val="00642C55"/>
    <w:rsid w:val="00644208"/>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217"/>
    <w:rsid w:val="00697BD3"/>
    <w:rsid w:val="00697F63"/>
    <w:rsid w:val="006A251D"/>
    <w:rsid w:val="006A314D"/>
    <w:rsid w:val="006A3275"/>
    <w:rsid w:val="006A4B6F"/>
    <w:rsid w:val="006A546F"/>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5EA"/>
    <w:rsid w:val="008D118A"/>
    <w:rsid w:val="008D15E2"/>
    <w:rsid w:val="008D51F3"/>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697"/>
    <w:rsid w:val="008F6939"/>
    <w:rsid w:val="00901D8E"/>
    <w:rsid w:val="009023C6"/>
    <w:rsid w:val="0090461C"/>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57EB"/>
    <w:rsid w:val="009B5B25"/>
    <w:rsid w:val="009B6D22"/>
    <w:rsid w:val="009C1768"/>
    <w:rsid w:val="009C1D63"/>
    <w:rsid w:val="009C1DBF"/>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3066"/>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AAE"/>
    <w:rsid w:val="00A94E70"/>
    <w:rsid w:val="00A95B39"/>
    <w:rsid w:val="00AA02F5"/>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59D6"/>
    <w:rsid w:val="00B36ADD"/>
    <w:rsid w:val="00B4066E"/>
    <w:rsid w:val="00B40BA9"/>
    <w:rsid w:val="00B42045"/>
    <w:rsid w:val="00B4635C"/>
    <w:rsid w:val="00B4636A"/>
    <w:rsid w:val="00B46C1A"/>
    <w:rsid w:val="00B4714F"/>
    <w:rsid w:val="00B47B99"/>
    <w:rsid w:val="00B50A7A"/>
    <w:rsid w:val="00B531E1"/>
    <w:rsid w:val="00B541DF"/>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8661C"/>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7DD"/>
    <w:rsid w:val="00BC581D"/>
    <w:rsid w:val="00BC5CD8"/>
    <w:rsid w:val="00BD171E"/>
    <w:rsid w:val="00BD1F64"/>
    <w:rsid w:val="00BD3740"/>
    <w:rsid w:val="00BD40A1"/>
    <w:rsid w:val="00BD50B4"/>
    <w:rsid w:val="00BD5BBD"/>
    <w:rsid w:val="00BD6F1B"/>
    <w:rsid w:val="00BE0CC5"/>
    <w:rsid w:val="00BE3875"/>
    <w:rsid w:val="00BE3FAD"/>
    <w:rsid w:val="00BE400E"/>
    <w:rsid w:val="00BE54D5"/>
    <w:rsid w:val="00BE6449"/>
    <w:rsid w:val="00BE7BEF"/>
    <w:rsid w:val="00BF1396"/>
    <w:rsid w:val="00BF2D6F"/>
    <w:rsid w:val="00BF4325"/>
    <w:rsid w:val="00BF6CDD"/>
    <w:rsid w:val="00BF75C5"/>
    <w:rsid w:val="00C00C51"/>
    <w:rsid w:val="00C01043"/>
    <w:rsid w:val="00C019CE"/>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364A"/>
    <w:rsid w:val="00C3533E"/>
    <w:rsid w:val="00C37C82"/>
    <w:rsid w:val="00C4030A"/>
    <w:rsid w:val="00C407A3"/>
    <w:rsid w:val="00C411DD"/>
    <w:rsid w:val="00C41AB8"/>
    <w:rsid w:val="00C420AE"/>
    <w:rsid w:val="00C4502E"/>
    <w:rsid w:val="00C47E1D"/>
    <w:rsid w:val="00C5065A"/>
    <w:rsid w:val="00C50AFC"/>
    <w:rsid w:val="00C50BC3"/>
    <w:rsid w:val="00C51D14"/>
    <w:rsid w:val="00C536E1"/>
    <w:rsid w:val="00C55F39"/>
    <w:rsid w:val="00C57728"/>
    <w:rsid w:val="00C62809"/>
    <w:rsid w:val="00C63078"/>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4D7"/>
    <w:rsid w:val="00CA7BC1"/>
    <w:rsid w:val="00CB091B"/>
    <w:rsid w:val="00CB222C"/>
    <w:rsid w:val="00CB28A0"/>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498E"/>
    <w:rsid w:val="00CE5700"/>
    <w:rsid w:val="00CE58F8"/>
    <w:rsid w:val="00CE5ADF"/>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66E8"/>
    <w:rsid w:val="00D97644"/>
    <w:rsid w:val="00DA07AA"/>
    <w:rsid w:val="00DA1842"/>
    <w:rsid w:val="00DA191C"/>
    <w:rsid w:val="00DA19BD"/>
    <w:rsid w:val="00DA1A29"/>
    <w:rsid w:val="00DA20C8"/>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24E3"/>
    <w:rsid w:val="00E938AD"/>
    <w:rsid w:val="00E93F6D"/>
    <w:rsid w:val="00E958C4"/>
    <w:rsid w:val="00EA29A6"/>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39AB"/>
    <w:rsid w:val="00FC49D7"/>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4CE803D1"/>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CE0B-5971-4D5A-8542-DC3B657B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3730</TotalTime>
  <Pages>101</Pages>
  <Words>23693</Words>
  <Characters>135055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1046</cp:revision>
  <cp:lastPrinted>2020-05-08T20:03:00Z</cp:lastPrinted>
  <dcterms:created xsi:type="dcterms:W3CDTF">2020-05-08T19:55:00Z</dcterms:created>
  <dcterms:modified xsi:type="dcterms:W3CDTF">2020-10-19T15:12:00Z</dcterms:modified>
</cp:coreProperties>
</file>