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ED4CAD"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4529829" w:history="1">
            <w:r w:rsidR="00ED4CAD" w:rsidRPr="00414940">
              <w:rPr>
                <w:rStyle w:val="Hyperlink"/>
                <w:noProof/>
              </w:rPr>
              <w:t>List of Tables</w:t>
            </w:r>
            <w:r w:rsidR="00ED4CAD">
              <w:rPr>
                <w:noProof/>
                <w:webHidden/>
              </w:rPr>
              <w:tab/>
            </w:r>
            <w:r w:rsidR="00ED4CAD">
              <w:rPr>
                <w:noProof/>
                <w:webHidden/>
              </w:rPr>
              <w:fldChar w:fldCharType="begin"/>
            </w:r>
            <w:r w:rsidR="00ED4CAD">
              <w:rPr>
                <w:noProof/>
                <w:webHidden/>
              </w:rPr>
              <w:instrText xml:space="preserve"> PAGEREF _Toc54529829 \h </w:instrText>
            </w:r>
            <w:r w:rsidR="00ED4CAD">
              <w:rPr>
                <w:noProof/>
                <w:webHidden/>
              </w:rPr>
            </w:r>
            <w:r w:rsidR="00ED4CAD">
              <w:rPr>
                <w:noProof/>
                <w:webHidden/>
              </w:rPr>
              <w:fldChar w:fldCharType="separate"/>
            </w:r>
            <w:r w:rsidR="00ED4CAD">
              <w:rPr>
                <w:noProof/>
                <w:webHidden/>
              </w:rPr>
              <w:t>4</w:t>
            </w:r>
            <w:r w:rsidR="00ED4CAD">
              <w:rPr>
                <w:noProof/>
                <w:webHidden/>
              </w:rPr>
              <w:fldChar w:fldCharType="end"/>
            </w:r>
          </w:hyperlink>
        </w:p>
        <w:p w:rsidR="00ED4CAD" w:rsidRDefault="00ED4CAD">
          <w:pPr>
            <w:pStyle w:val="TOC1"/>
            <w:tabs>
              <w:tab w:val="right" w:leader="dot" w:pos="9350"/>
            </w:tabs>
            <w:rPr>
              <w:rFonts w:asciiTheme="minorHAnsi" w:eastAsiaTheme="minorEastAsia" w:hAnsiTheme="minorHAnsi" w:cstheme="minorBidi"/>
              <w:noProof/>
              <w:sz w:val="22"/>
              <w:szCs w:val="22"/>
            </w:rPr>
          </w:pPr>
          <w:hyperlink w:anchor="_Toc54529830" w:history="1">
            <w:r w:rsidRPr="00414940">
              <w:rPr>
                <w:rStyle w:val="Hyperlink"/>
                <w:noProof/>
              </w:rPr>
              <w:t>List of Figures</w:t>
            </w:r>
            <w:r>
              <w:rPr>
                <w:noProof/>
                <w:webHidden/>
              </w:rPr>
              <w:tab/>
            </w:r>
            <w:r>
              <w:rPr>
                <w:noProof/>
                <w:webHidden/>
              </w:rPr>
              <w:fldChar w:fldCharType="begin"/>
            </w:r>
            <w:r>
              <w:rPr>
                <w:noProof/>
                <w:webHidden/>
              </w:rPr>
              <w:instrText xml:space="preserve"> PAGEREF _Toc54529830 \h </w:instrText>
            </w:r>
            <w:r>
              <w:rPr>
                <w:noProof/>
                <w:webHidden/>
              </w:rPr>
            </w:r>
            <w:r>
              <w:rPr>
                <w:noProof/>
                <w:webHidden/>
              </w:rPr>
              <w:fldChar w:fldCharType="separate"/>
            </w:r>
            <w:r>
              <w:rPr>
                <w:noProof/>
                <w:webHidden/>
              </w:rPr>
              <w:t>5</w:t>
            </w:r>
            <w:r>
              <w:rPr>
                <w:noProof/>
                <w:webHidden/>
              </w:rPr>
              <w:fldChar w:fldCharType="end"/>
            </w:r>
          </w:hyperlink>
        </w:p>
        <w:p w:rsidR="00ED4CAD" w:rsidRDefault="00ED4CAD">
          <w:pPr>
            <w:pStyle w:val="TOC1"/>
            <w:tabs>
              <w:tab w:val="right" w:leader="dot" w:pos="9350"/>
            </w:tabs>
            <w:rPr>
              <w:rFonts w:asciiTheme="minorHAnsi" w:eastAsiaTheme="minorEastAsia" w:hAnsiTheme="minorHAnsi" w:cstheme="minorBidi"/>
              <w:noProof/>
              <w:sz w:val="22"/>
              <w:szCs w:val="22"/>
            </w:rPr>
          </w:pPr>
          <w:hyperlink w:anchor="_Toc54529831" w:history="1">
            <w:r w:rsidRPr="00414940">
              <w:rPr>
                <w:rStyle w:val="Hyperlink"/>
                <w:noProof/>
              </w:rPr>
              <w:t>Abstract</w:t>
            </w:r>
            <w:r>
              <w:rPr>
                <w:noProof/>
                <w:webHidden/>
              </w:rPr>
              <w:tab/>
            </w:r>
            <w:r>
              <w:rPr>
                <w:noProof/>
                <w:webHidden/>
              </w:rPr>
              <w:fldChar w:fldCharType="begin"/>
            </w:r>
            <w:r>
              <w:rPr>
                <w:noProof/>
                <w:webHidden/>
              </w:rPr>
              <w:instrText xml:space="preserve"> PAGEREF _Toc54529831 \h </w:instrText>
            </w:r>
            <w:r>
              <w:rPr>
                <w:noProof/>
                <w:webHidden/>
              </w:rPr>
            </w:r>
            <w:r>
              <w:rPr>
                <w:noProof/>
                <w:webHidden/>
              </w:rPr>
              <w:fldChar w:fldCharType="separate"/>
            </w:r>
            <w:r>
              <w:rPr>
                <w:noProof/>
                <w:webHidden/>
              </w:rPr>
              <w:t>6</w:t>
            </w:r>
            <w:r>
              <w:rPr>
                <w:noProof/>
                <w:webHidden/>
              </w:rPr>
              <w:fldChar w:fldCharType="end"/>
            </w:r>
          </w:hyperlink>
        </w:p>
        <w:p w:rsidR="00ED4CAD" w:rsidRDefault="00ED4CAD">
          <w:pPr>
            <w:pStyle w:val="TOC1"/>
            <w:tabs>
              <w:tab w:val="right" w:leader="dot" w:pos="9350"/>
            </w:tabs>
            <w:rPr>
              <w:rFonts w:asciiTheme="minorHAnsi" w:eastAsiaTheme="minorEastAsia" w:hAnsiTheme="minorHAnsi" w:cstheme="minorBidi"/>
              <w:noProof/>
              <w:sz w:val="22"/>
              <w:szCs w:val="22"/>
            </w:rPr>
          </w:pPr>
          <w:hyperlink w:anchor="_Toc54529832" w:history="1">
            <w:r w:rsidRPr="00414940">
              <w:rPr>
                <w:rStyle w:val="Hyperlink"/>
                <w:noProof/>
              </w:rPr>
              <w:t>Chapter 1 – Introduction</w:t>
            </w:r>
            <w:r>
              <w:rPr>
                <w:noProof/>
                <w:webHidden/>
              </w:rPr>
              <w:tab/>
            </w:r>
            <w:r>
              <w:rPr>
                <w:noProof/>
                <w:webHidden/>
              </w:rPr>
              <w:fldChar w:fldCharType="begin"/>
            </w:r>
            <w:r>
              <w:rPr>
                <w:noProof/>
                <w:webHidden/>
              </w:rPr>
              <w:instrText xml:space="preserve"> PAGEREF _Toc54529832 \h </w:instrText>
            </w:r>
            <w:r>
              <w:rPr>
                <w:noProof/>
                <w:webHidden/>
              </w:rPr>
            </w:r>
            <w:r>
              <w:rPr>
                <w:noProof/>
                <w:webHidden/>
              </w:rPr>
              <w:fldChar w:fldCharType="separate"/>
            </w:r>
            <w:r>
              <w:rPr>
                <w:noProof/>
                <w:webHidden/>
              </w:rPr>
              <w:t>7</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33" w:history="1">
            <w:r w:rsidRPr="00414940">
              <w:rPr>
                <w:rStyle w:val="Hyperlink"/>
                <w:noProof/>
              </w:rPr>
              <w:t>Motivation for and Purpose of the Proposed Study</w:t>
            </w:r>
            <w:r>
              <w:rPr>
                <w:noProof/>
                <w:webHidden/>
              </w:rPr>
              <w:tab/>
            </w:r>
            <w:r>
              <w:rPr>
                <w:noProof/>
                <w:webHidden/>
              </w:rPr>
              <w:fldChar w:fldCharType="begin"/>
            </w:r>
            <w:r>
              <w:rPr>
                <w:noProof/>
                <w:webHidden/>
              </w:rPr>
              <w:instrText xml:space="preserve"> PAGEREF _Toc54529833 \h </w:instrText>
            </w:r>
            <w:r>
              <w:rPr>
                <w:noProof/>
                <w:webHidden/>
              </w:rPr>
            </w:r>
            <w:r>
              <w:rPr>
                <w:noProof/>
                <w:webHidden/>
              </w:rPr>
              <w:fldChar w:fldCharType="separate"/>
            </w:r>
            <w:r>
              <w:rPr>
                <w:noProof/>
                <w:webHidden/>
              </w:rPr>
              <w:t>8</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34" w:history="1">
            <w:r w:rsidRPr="00414940">
              <w:rPr>
                <w:rStyle w:val="Hyperlink"/>
                <w:noProof/>
              </w:rPr>
              <w:t>Defining Technology</w:t>
            </w:r>
            <w:r>
              <w:rPr>
                <w:noProof/>
                <w:webHidden/>
              </w:rPr>
              <w:tab/>
            </w:r>
            <w:r>
              <w:rPr>
                <w:noProof/>
                <w:webHidden/>
              </w:rPr>
              <w:fldChar w:fldCharType="begin"/>
            </w:r>
            <w:r>
              <w:rPr>
                <w:noProof/>
                <w:webHidden/>
              </w:rPr>
              <w:instrText xml:space="preserve"> PAGEREF _Toc54529834 \h </w:instrText>
            </w:r>
            <w:r>
              <w:rPr>
                <w:noProof/>
                <w:webHidden/>
              </w:rPr>
            </w:r>
            <w:r>
              <w:rPr>
                <w:noProof/>
                <w:webHidden/>
              </w:rPr>
              <w:fldChar w:fldCharType="separate"/>
            </w:r>
            <w:r>
              <w:rPr>
                <w:noProof/>
                <w:webHidden/>
              </w:rPr>
              <w:t>9</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35" w:history="1">
            <w:r w:rsidRPr="00414940">
              <w:rPr>
                <w:rStyle w:val="Hyperlink"/>
                <w:noProof/>
              </w:rPr>
              <w:t>Conceptualizing University Technology Transfer</w:t>
            </w:r>
            <w:r>
              <w:rPr>
                <w:noProof/>
                <w:webHidden/>
              </w:rPr>
              <w:tab/>
            </w:r>
            <w:r>
              <w:rPr>
                <w:noProof/>
                <w:webHidden/>
              </w:rPr>
              <w:fldChar w:fldCharType="begin"/>
            </w:r>
            <w:r>
              <w:rPr>
                <w:noProof/>
                <w:webHidden/>
              </w:rPr>
              <w:instrText xml:space="preserve"> PAGEREF _Toc54529835 \h </w:instrText>
            </w:r>
            <w:r>
              <w:rPr>
                <w:noProof/>
                <w:webHidden/>
              </w:rPr>
            </w:r>
            <w:r>
              <w:rPr>
                <w:noProof/>
                <w:webHidden/>
              </w:rPr>
              <w:fldChar w:fldCharType="separate"/>
            </w:r>
            <w:r>
              <w:rPr>
                <w:noProof/>
                <w:webHidden/>
              </w:rPr>
              <w:t>15</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36" w:history="1">
            <w:r w:rsidRPr="00414940">
              <w:rPr>
                <w:rStyle w:val="Hyperlink"/>
                <w:noProof/>
              </w:rPr>
              <w:t>The Significance of University Technology Transfer</w:t>
            </w:r>
            <w:r>
              <w:rPr>
                <w:noProof/>
                <w:webHidden/>
              </w:rPr>
              <w:tab/>
            </w:r>
            <w:r>
              <w:rPr>
                <w:noProof/>
                <w:webHidden/>
              </w:rPr>
              <w:fldChar w:fldCharType="begin"/>
            </w:r>
            <w:r>
              <w:rPr>
                <w:noProof/>
                <w:webHidden/>
              </w:rPr>
              <w:instrText xml:space="preserve"> PAGEREF _Toc54529836 \h </w:instrText>
            </w:r>
            <w:r>
              <w:rPr>
                <w:noProof/>
                <w:webHidden/>
              </w:rPr>
            </w:r>
            <w:r>
              <w:rPr>
                <w:noProof/>
                <w:webHidden/>
              </w:rPr>
              <w:fldChar w:fldCharType="separate"/>
            </w:r>
            <w:r>
              <w:rPr>
                <w:noProof/>
                <w:webHidden/>
              </w:rPr>
              <w:t>20</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37" w:history="1">
            <w:r w:rsidRPr="00414940">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_Toc54529837 \h </w:instrText>
            </w:r>
            <w:r>
              <w:rPr>
                <w:noProof/>
                <w:webHidden/>
              </w:rPr>
            </w:r>
            <w:r>
              <w:rPr>
                <w:noProof/>
                <w:webHidden/>
              </w:rPr>
              <w:fldChar w:fldCharType="separate"/>
            </w:r>
            <w:r>
              <w:rPr>
                <w:noProof/>
                <w:webHidden/>
              </w:rPr>
              <w:t>21</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38" w:history="1">
            <w:r w:rsidRPr="00414940">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_Toc54529838 \h </w:instrText>
            </w:r>
            <w:r>
              <w:rPr>
                <w:noProof/>
                <w:webHidden/>
              </w:rPr>
            </w:r>
            <w:r>
              <w:rPr>
                <w:noProof/>
                <w:webHidden/>
              </w:rPr>
              <w:fldChar w:fldCharType="separate"/>
            </w:r>
            <w:r>
              <w:rPr>
                <w:noProof/>
                <w:webHidden/>
              </w:rPr>
              <w:t>25</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39" w:history="1">
            <w:r w:rsidRPr="00414940">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_Toc54529839 \h </w:instrText>
            </w:r>
            <w:r>
              <w:rPr>
                <w:noProof/>
                <w:webHidden/>
              </w:rPr>
            </w:r>
            <w:r>
              <w:rPr>
                <w:noProof/>
                <w:webHidden/>
              </w:rPr>
              <w:fldChar w:fldCharType="separate"/>
            </w:r>
            <w:r>
              <w:rPr>
                <w:noProof/>
                <w:webHidden/>
              </w:rPr>
              <w:t>26</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40" w:history="1">
            <w:r w:rsidRPr="00414940">
              <w:rPr>
                <w:rStyle w:val="Hyperlink"/>
                <w:noProof/>
              </w:rPr>
              <w:t>The Notion of Technology Maturity Level</w:t>
            </w:r>
            <w:r>
              <w:rPr>
                <w:noProof/>
                <w:webHidden/>
              </w:rPr>
              <w:tab/>
            </w:r>
            <w:r>
              <w:rPr>
                <w:noProof/>
                <w:webHidden/>
              </w:rPr>
              <w:fldChar w:fldCharType="begin"/>
            </w:r>
            <w:r>
              <w:rPr>
                <w:noProof/>
                <w:webHidden/>
              </w:rPr>
              <w:instrText xml:space="preserve"> PAGEREF _Toc54529840 \h </w:instrText>
            </w:r>
            <w:r>
              <w:rPr>
                <w:noProof/>
                <w:webHidden/>
              </w:rPr>
            </w:r>
            <w:r>
              <w:rPr>
                <w:noProof/>
                <w:webHidden/>
              </w:rPr>
              <w:fldChar w:fldCharType="separate"/>
            </w:r>
            <w:r>
              <w:rPr>
                <w:noProof/>
                <w:webHidden/>
              </w:rPr>
              <w:t>30</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41" w:history="1">
            <w:r w:rsidRPr="00414940">
              <w:rPr>
                <w:rStyle w:val="Hyperlink"/>
                <w:noProof/>
              </w:rPr>
              <w:t>Approach to Examining the Topic</w:t>
            </w:r>
            <w:r>
              <w:rPr>
                <w:noProof/>
                <w:webHidden/>
              </w:rPr>
              <w:tab/>
            </w:r>
            <w:r>
              <w:rPr>
                <w:noProof/>
                <w:webHidden/>
              </w:rPr>
              <w:fldChar w:fldCharType="begin"/>
            </w:r>
            <w:r>
              <w:rPr>
                <w:noProof/>
                <w:webHidden/>
              </w:rPr>
              <w:instrText xml:space="preserve"> PAGEREF _Toc54529841 \h </w:instrText>
            </w:r>
            <w:r>
              <w:rPr>
                <w:noProof/>
                <w:webHidden/>
              </w:rPr>
            </w:r>
            <w:r>
              <w:rPr>
                <w:noProof/>
                <w:webHidden/>
              </w:rPr>
              <w:fldChar w:fldCharType="separate"/>
            </w:r>
            <w:r>
              <w:rPr>
                <w:noProof/>
                <w:webHidden/>
              </w:rPr>
              <w:t>34</w:t>
            </w:r>
            <w:r>
              <w:rPr>
                <w:noProof/>
                <w:webHidden/>
              </w:rPr>
              <w:fldChar w:fldCharType="end"/>
            </w:r>
          </w:hyperlink>
        </w:p>
        <w:p w:rsidR="00ED4CAD" w:rsidRDefault="00ED4CAD">
          <w:pPr>
            <w:pStyle w:val="TOC1"/>
            <w:tabs>
              <w:tab w:val="right" w:leader="dot" w:pos="9350"/>
            </w:tabs>
            <w:rPr>
              <w:rFonts w:asciiTheme="minorHAnsi" w:eastAsiaTheme="minorEastAsia" w:hAnsiTheme="minorHAnsi" w:cstheme="minorBidi"/>
              <w:noProof/>
              <w:sz w:val="22"/>
              <w:szCs w:val="22"/>
            </w:rPr>
          </w:pPr>
          <w:hyperlink w:anchor="_Toc54529842" w:history="1">
            <w:r w:rsidRPr="00414940">
              <w:rPr>
                <w:rStyle w:val="Hyperlink"/>
                <w:noProof/>
              </w:rPr>
              <w:t>Chapter 2 – Review of the Related Literature</w:t>
            </w:r>
            <w:r>
              <w:rPr>
                <w:noProof/>
                <w:webHidden/>
              </w:rPr>
              <w:tab/>
            </w:r>
            <w:r>
              <w:rPr>
                <w:noProof/>
                <w:webHidden/>
              </w:rPr>
              <w:fldChar w:fldCharType="begin"/>
            </w:r>
            <w:r>
              <w:rPr>
                <w:noProof/>
                <w:webHidden/>
              </w:rPr>
              <w:instrText xml:space="preserve"> PAGEREF _Toc54529842 \h </w:instrText>
            </w:r>
            <w:r>
              <w:rPr>
                <w:noProof/>
                <w:webHidden/>
              </w:rPr>
            </w:r>
            <w:r>
              <w:rPr>
                <w:noProof/>
                <w:webHidden/>
              </w:rPr>
              <w:fldChar w:fldCharType="separate"/>
            </w:r>
            <w:r>
              <w:rPr>
                <w:noProof/>
                <w:webHidden/>
              </w:rPr>
              <w:t>36</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43" w:history="1">
            <w:r w:rsidRPr="00414940">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_Toc54529843 \h </w:instrText>
            </w:r>
            <w:r>
              <w:rPr>
                <w:noProof/>
                <w:webHidden/>
              </w:rPr>
            </w:r>
            <w:r>
              <w:rPr>
                <w:noProof/>
                <w:webHidden/>
              </w:rPr>
              <w:fldChar w:fldCharType="separate"/>
            </w:r>
            <w:r>
              <w:rPr>
                <w:noProof/>
                <w:webHidden/>
              </w:rPr>
              <w:t>36</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44" w:history="1">
            <w:r w:rsidRPr="00414940">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_Toc54529844 \h </w:instrText>
            </w:r>
            <w:r>
              <w:rPr>
                <w:noProof/>
                <w:webHidden/>
              </w:rPr>
            </w:r>
            <w:r>
              <w:rPr>
                <w:noProof/>
                <w:webHidden/>
              </w:rPr>
              <w:fldChar w:fldCharType="separate"/>
            </w:r>
            <w:r>
              <w:rPr>
                <w:noProof/>
                <w:webHidden/>
              </w:rPr>
              <w:t>41</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45" w:history="1">
            <w:r w:rsidRPr="00414940">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_Toc54529845 \h </w:instrText>
            </w:r>
            <w:r>
              <w:rPr>
                <w:noProof/>
                <w:webHidden/>
              </w:rPr>
            </w:r>
            <w:r>
              <w:rPr>
                <w:noProof/>
                <w:webHidden/>
              </w:rPr>
              <w:fldChar w:fldCharType="separate"/>
            </w:r>
            <w:r>
              <w:rPr>
                <w:noProof/>
                <w:webHidden/>
              </w:rPr>
              <w:t>48</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46" w:history="1">
            <w:r w:rsidRPr="00414940">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_Toc54529846 \h </w:instrText>
            </w:r>
            <w:r>
              <w:rPr>
                <w:noProof/>
                <w:webHidden/>
              </w:rPr>
            </w:r>
            <w:r>
              <w:rPr>
                <w:noProof/>
                <w:webHidden/>
              </w:rPr>
              <w:fldChar w:fldCharType="separate"/>
            </w:r>
            <w:r>
              <w:rPr>
                <w:noProof/>
                <w:webHidden/>
              </w:rPr>
              <w:t>51</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47" w:history="1">
            <w:r w:rsidRPr="00414940">
              <w:rPr>
                <w:rStyle w:val="Hyperlink"/>
                <w:noProof/>
              </w:rPr>
              <w:t>Organizational Structure and Technology Maturity Level</w:t>
            </w:r>
            <w:r>
              <w:rPr>
                <w:noProof/>
                <w:webHidden/>
              </w:rPr>
              <w:tab/>
            </w:r>
            <w:r>
              <w:rPr>
                <w:noProof/>
                <w:webHidden/>
              </w:rPr>
              <w:fldChar w:fldCharType="begin"/>
            </w:r>
            <w:r>
              <w:rPr>
                <w:noProof/>
                <w:webHidden/>
              </w:rPr>
              <w:instrText xml:space="preserve"> PAGEREF _Toc54529847 \h </w:instrText>
            </w:r>
            <w:r>
              <w:rPr>
                <w:noProof/>
                <w:webHidden/>
              </w:rPr>
            </w:r>
            <w:r>
              <w:rPr>
                <w:noProof/>
                <w:webHidden/>
              </w:rPr>
              <w:fldChar w:fldCharType="separate"/>
            </w:r>
            <w:r>
              <w:rPr>
                <w:noProof/>
                <w:webHidden/>
              </w:rPr>
              <w:t>54</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48" w:history="1">
            <w:r w:rsidRPr="00414940">
              <w:rPr>
                <w:rStyle w:val="Hyperlink"/>
                <w:noProof/>
              </w:rPr>
              <w:t>Uncertainty Avoidance and Technology Maturity Level</w:t>
            </w:r>
            <w:r>
              <w:rPr>
                <w:noProof/>
                <w:webHidden/>
              </w:rPr>
              <w:tab/>
            </w:r>
            <w:r>
              <w:rPr>
                <w:noProof/>
                <w:webHidden/>
              </w:rPr>
              <w:fldChar w:fldCharType="begin"/>
            </w:r>
            <w:r>
              <w:rPr>
                <w:noProof/>
                <w:webHidden/>
              </w:rPr>
              <w:instrText xml:space="preserve"> PAGEREF _Toc54529848 \h </w:instrText>
            </w:r>
            <w:r>
              <w:rPr>
                <w:noProof/>
                <w:webHidden/>
              </w:rPr>
            </w:r>
            <w:r>
              <w:rPr>
                <w:noProof/>
                <w:webHidden/>
              </w:rPr>
              <w:fldChar w:fldCharType="separate"/>
            </w:r>
            <w:r>
              <w:rPr>
                <w:noProof/>
                <w:webHidden/>
              </w:rPr>
              <w:t>56</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49" w:history="1">
            <w:r w:rsidRPr="00414940">
              <w:rPr>
                <w:rStyle w:val="Hyperlink"/>
                <w:noProof/>
              </w:rPr>
              <w:t>Decision Premises and Technology Maturity Level</w:t>
            </w:r>
            <w:r>
              <w:rPr>
                <w:noProof/>
                <w:webHidden/>
              </w:rPr>
              <w:tab/>
            </w:r>
            <w:r>
              <w:rPr>
                <w:noProof/>
                <w:webHidden/>
              </w:rPr>
              <w:fldChar w:fldCharType="begin"/>
            </w:r>
            <w:r>
              <w:rPr>
                <w:noProof/>
                <w:webHidden/>
              </w:rPr>
              <w:instrText xml:space="preserve"> PAGEREF _Toc54529849 \h </w:instrText>
            </w:r>
            <w:r>
              <w:rPr>
                <w:noProof/>
                <w:webHidden/>
              </w:rPr>
            </w:r>
            <w:r>
              <w:rPr>
                <w:noProof/>
                <w:webHidden/>
              </w:rPr>
              <w:fldChar w:fldCharType="separate"/>
            </w:r>
            <w:r>
              <w:rPr>
                <w:noProof/>
                <w:webHidden/>
              </w:rPr>
              <w:t>57</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50" w:history="1">
            <w:r w:rsidRPr="00414940">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_Toc54529850 \h </w:instrText>
            </w:r>
            <w:r>
              <w:rPr>
                <w:noProof/>
                <w:webHidden/>
              </w:rPr>
            </w:r>
            <w:r>
              <w:rPr>
                <w:noProof/>
                <w:webHidden/>
              </w:rPr>
              <w:fldChar w:fldCharType="separate"/>
            </w:r>
            <w:r>
              <w:rPr>
                <w:noProof/>
                <w:webHidden/>
              </w:rPr>
              <w:t>65</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51" w:history="1">
            <w:r w:rsidRPr="00414940">
              <w:rPr>
                <w:rStyle w:val="Hyperlink"/>
                <w:noProof/>
              </w:rPr>
              <w:t>A Demand-Side Model of Technology Transfer</w:t>
            </w:r>
            <w:r>
              <w:rPr>
                <w:noProof/>
                <w:webHidden/>
              </w:rPr>
              <w:tab/>
            </w:r>
            <w:r>
              <w:rPr>
                <w:noProof/>
                <w:webHidden/>
              </w:rPr>
              <w:fldChar w:fldCharType="begin"/>
            </w:r>
            <w:r>
              <w:rPr>
                <w:noProof/>
                <w:webHidden/>
              </w:rPr>
              <w:instrText xml:space="preserve"> PAGEREF _Toc54529851 \h </w:instrText>
            </w:r>
            <w:r>
              <w:rPr>
                <w:noProof/>
                <w:webHidden/>
              </w:rPr>
            </w:r>
            <w:r>
              <w:rPr>
                <w:noProof/>
                <w:webHidden/>
              </w:rPr>
              <w:fldChar w:fldCharType="separate"/>
            </w:r>
            <w:r>
              <w:rPr>
                <w:noProof/>
                <w:webHidden/>
              </w:rPr>
              <w:t>68</w:t>
            </w:r>
            <w:r>
              <w:rPr>
                <w:noProof/>
                <w:webHidden/>
              </w:rPr>
              <w:fldChar w:fldCharType="end"/>
            </w:r>
          </w:hyperlink>
        </w:p>
        <w:p w:rsidR="00ED4CAD" w:rsidRDefault="00ED4CAD">
          <w:pPr>
            <w:pStyle w:val="TOC2"/>
            <w:tabs>
              <w:tab w:val="right" w:leader="dot" w:pos="9350"/>
            </w:tabs>
            <w:rPr>
              <w:rFonts w:asciiTheme="minorHAnsi" w:eastAsiaTheme="minorEastAsia" w:hAnsiTheme="minorHAnsi" w:cstheme="minorBidi"/>
              <w:noProof/>
              <w:sz w:val="22"/>
              <w:szCs w:val="22"/>
            </w:rPr>
          </w:pPr>
          <w:hyperlink w:anchor="_Toc54529852" w:history="1">
            <w:r w:rsidRPr="00414940">
              <w:rPr>
                <w:rStyle w:val="Hyperlink"/>
                <w:noProof/>
              </w:rPr>
              <w:t>Gaps in the Literature</w:t>
            </w:r>
            <w:r>
              <w:rPr>
                <w:noProof/>
                <w:webHidden/>
              </w:rPr>
              <w:tab/>
            </w:r>
            <w:r>
              <w:rPr>
                <w:noProof/>
                <w:webHidden/>
              </w:rPr>
              <w:fldChar w:fldCharType="begin"/>
            </w:r>
            <w:r>
              <w:rPr>
                <w:noProof/>
                <w:webHidden/>
              </w:rPr>
              <w:instrText xml:space="preserve"> PAGEREF _Toc54529852 \h </w:instrText>
            </w:r>
            <w:r>
              <w:rPr>
                <w:noProof/>
                <w:webHidden/>
              </w:rPr>
            </w:r>
            <w:r>
              <w:rPr>
                <w:noProof/>
                <w:webHidden/>
              </w:rPr>
              <w:fldChar w:fldCharType="separate"/>
            </w:r>
            <w:r>
              <w:rPr>
                <w:noProof/>
                <w:webHidden/>
              </w:rPr>
              <w:t>70</w:t>
            </w:r>
            <w:r>
              <w:rPr>
                <w:noProof/>
                <w:webHidden/>
              </w:rPr>
              <w:fldChar w:fldCharType="end"/>
            </w:r>
          </w:hyperlink>
        </w:p>
        <w:p w:rsidR="00ED4CAD" w:rsidRDefault="00ED4CAD">
          <w:pPr>
            <w:pStyle w:val="TOC1"/>
            <w:tabs>
              <w:tab w:val="right" w:leader="dot" w:pos="9350"/>
            </w:tabs>
            <w:rPr>
              <w:rFonts w:asciiTheme="minorHAnsi" w:eastAsiaTheme="minorEastAsia" w:hAnsiTheme="minorHAnsi" w:cstheme="minorBidi"/>
              <w:noProof/>
              <w:sz w:val="22"/>
              <w:szCs w:val="22"/>
            </w:rPr>
          </w:pPr>
          <w:hyperlink w:anchor="_Toc54529853" w:history="1">
            <w:r w:rsidRPr="00414940">
              <w:rPr>
                <w:rStyle w:val="Hyperlink"/>
                <w:noProof/>
              </w:rPr>
              <w:t>References</w:t>
            </w:r>
            <w:r>
              <w:rPr>
                <w:noProof/>
                <w:webHidden/>
              </w:rPr>
              <w:tab/>
            </w:r>
            <w:r>
              <w:rPr>
                <w:noProof/>
                <w:webHidden/>
              </w:rPr>
              <w:fldChar w:fldCharType="begin"/>
            </w:r>
            <w:r>
              <w:rPr>
                <w:noProof/>
                <w:webHidden/>
              </w:rPr>
              <w:instrText xml:space="preserve"> PAGEREF _Toc54529853 \h </w:instrText>
            </w:r>
            <w:r>
              <w:rPr>
                <w:noProof/>
                <w:webHidden/>
              </w:rPr>
            </w:r>
            <w:r>
              <w:rPr>
                <w:noProof/>
                <w:webHidden/>
              </w:rPr>
              <w:fldChar w:fldCharType="separate"/>
            </w:r>
            <w:r>
              <w:rPr>
                <w:noProof/>
                <w:webHidden/>
              </w:rPr>
              <w:t>73</w:t>
            </w:r>
            <w:r>
              <w:rPr>
                <w:noProof/>
                <w:webHidden/>
              </w:rPr>
              <w:fldChar w:fldCharType="end"/>
            </w:r>
          </w:hyperlink>
        </w:p>
        <w:p w:rsidR="00ED4CAD" w:rsidRDefault="00ED4CAD">
          <w:pPr>
            <w:pStyle w:val="TOC1"/>
            <w:tabs>
              <w:tab w:val="right" w:leader="dot" w:pos="9350"/>
            </w:tabs>
            <w:rPr>
              <w:rFonts w:asciiTheme="minorHAnsi" w:eastAsiaTheme="minorEastAsia" w:hAnsiTheme="minorHAnsi" w:cstheme="minorBidi"/>
              <w:noProof/>
              <w:sz w:val="22"/>
              <w:szCs w:val="22"/>
            </w:rPr>
          </w:pPr>
          <w:hyperlink w:anchor="_Toc54529854" w:history="1">
            <w:r w:rsidRPr="00414940">
              <w:rPr>
                <w:rStyle w:val="Hyperlink"/>
                <w:noProof/>
              </w:rPr>
              <w:t>Appendix A. Tables and Figures</w:t>
            </w:r>
            <w:r>
              <w:rPr>
                <w:noProof/>
                <w:webHidden/>
              </w:rPr>
              <w:tab/>
            </w:r>
            <w:r>
              <w:rPr>
                <w:noProof/>
                <w:webHidden/>
              </w:rPr>
              <w:fldChar w:fldCharType="begin"/>
            </w:r>
            <w:r>
              <w:rPr>
                <w:noProof/>
                <w:webHidden/>
              </w:rPr>
              <w:instrText xml:space="preserve"> PAGEREF _Toc54529854 \h </w:instrText>
            </w:r>
            <w:r>
              <w:rPr>
                <w:noProof/>
                <w:webHidden/>
              </w:rPr>
            </w:r>
            <w:r>
              <w:rPr>
                <w:noProof/>
                <w:webHidden/>
              </w:rPr>
              <w:fldChar w:fldCharType="separate"/>
            </w:r>
            <w:r>
              <w:rPr>
                <w:noProof/>
                <w:webHidden/>
              </w:rPr>
              <w:t>89</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4529829"/>
      <w:r>
        <w:lastRenderedPageBreak/>
        <w:t xml:space="preserve">List of </w:t>
      </w:r>
      <w:r w:rsidR="005E72F3">
        <w:t>Tables</w:t>
      </w:r>
      <w:bookmarkEnd w:id="1"/>
    </w:p>
    <w:p w:rsidR="00ED4CAD"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4529821" w:history="1">
        <w:r w:rsidR="00ED4CAD" w:rsidRPr="009213A7">
          <w:rPr>
            <w:rStyle w:val="Hyperlink"/>
            <w:noProof/>
          </w:rPr>
          <w:t>Table 1 Federal Obligations to Universities for Research and Development</w:t>
        </w:r>
        <w:r w:rsidR="00ED4CAD">
          <w:rPr>
            <w:noProof/>
            <w:webHidden/>
          </w:rPr>
          <w:tab/>
        </w:r>
        <w:r w:rsidR="00ED4CAD">
          <w:rPr>
            <w:noProof/>
            <w:webHidden/>
          </w:rPr>
          <w:fldChar w:fldCharType="begin"/>
        </w:r>
        <w:r w:rsidR="00ED4CAD">
          <w:rPr>
            <w:noProof/>
            <w:webHidden/>
          </w:rPr>
          <w:instrText xml:space="preserve"> PAGEREF _Toc54529821 \h </w:instrText>
        </w:r>
        <w:r w:rsidR="00ED4CAD">
          <w:rPr>
            <w:noProof/>
            <w:webHidden/>
          </w:rPr>
        </w:r>
        <w:r w:rsidR="00ED4CAD">
          <w:rPr>
            <w:noProof/>
            <w:webHidden/>
          </w:rPr>
          <w:fldChar w:fldCharType="separate"/>
        </w:r>
        <w:r w:rsidR="00ED4CAD">
          <w:rPr>
            <w:noProof/>
            <w:webHidden/>
          </w:rPr>
          <w:t>89</w:t>
        </w:r>
        <w:r w:rsidR="00ED4CAD">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22" w:history="1">
        <w:r w:rsidRPr="009213A7">
          <w:rPr>
            <w:rStyle w:val="Hyperlink"/>
            <w:noProof/>
          </w:rPr>
          <w:t>Table 2 Federal Policies Related to University Technology Transfer</w:t>
        </w:r>
        <w:r>
          <w:rPr>
            <w:noProof/>
            <w:webHidden/>
          </w:rPr>
          <w:tab/>
        </w:r>
        <w:r>
          <w:rPr>
            <w:noProof/>
            <w:webHidden/>
          </w:rPr>
          <w:fldChar w:fldCharType="begin"/>
        </w:r>
        <w:r>
          <w:rPr>
            <w:noProof/>
            <w:webHidden/>
          </w:rPr>
          <w:instrText xml:space="preserve"> PAGEREF _Toc54529822 \h </w:instrText>
        </w:r>
        <w:r>
          <w:rPr>
            <w:noProof/>
            <w:webHidden/>
          </w:rPr>
        </w:r>
        <w:r>
          <w:rPr>
            <w:noProof/>
            <w:webHidden/>
          </w:rPr>
          <w:fldChar w:fldCharType="separate"/>
        </w:r>
        <w:r>
          <w:rPr>
            <w:noProof/>
            <w:webHidden/>
          </w:rPr>
          <w:t>90</w:t>
        </w:r>
        <w:r>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23" w:history="1">
        <w:r w:rsidRPr="009213A7">
          <w:rPr>
            <w:rStyle w:val="Hyperlink"/>
            <w:noProof/>
          </w:rPr>
          <w:t>Table 3 Determinants of Technology Transfer Outcomes</w:t>
        </w:r>
        <w:r>
          <w:rPr>
            <w:noProof/>
            <w:webHidden/>
          </w:rPr>
          <w:tab/>
        </w:r>
        <w:r>
          <w:rPr>
            <w:noProof/>
            <w:webHidden/>
          </w:rPr>
          <w:fldChar w:fldCharType="begin"/>
        </w:r>
        <w:r>
          <w:rPr>
            <w:noProof/>
            <w:webHidden/>
          </w:rPr>
          <w:instrText xml:space="preserve"> PAGEREF _Toc54529823 \h </w:instrText>
        </w:r>
        <w:r>
          <w:rPr>
            <w:noProof/>
            <w:webHidden/>
          </w:rPr>
        </w:r>
        <w:r>
          <w:rPr>
            <w:noProof/>
            <w:webHidden/>
          </w:rPr>
          <w:fldChar w:fldCharType="separate"/>
        </w:r>
        <w:r>
          <w:rPr>
            <w:noProof/>
            <w:webHidden/>
          </w:rPr>
          <w:t>92</w:t>
        </w:r>
        <w:r>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24" w:history="1">
        <w:r w:rsidRPr="009213A7">
          <w:rPr>
            <w:rStyle w:val="Hyperlink"/>
            <w:noProof/>
          </w:rPr>
          <w:t>Table 4 NASA Technology Readiness Level Scale</w:t>
        </w:r>
        <w:r>
          <w:rPr>
            <w:noProof/>
            <w:webHidden/>
          </w:rPr>
          <w:tab/>
        </w:r>
        <w:r>
          <w:rPr>
            <w:noProof/>
            <w:webHidden/>
          </w:rPr>
          <w:fldChar w:fldCharType="begin"/>
        </w:r>
        <w:r>
          <w:rPr>
            <w:noProof/>
            <w:webHidden/>
          </w:rPr>
          <w:instrText xml:space="preserve"> PAGEREF _Toc54529824 \h </w:instrText>
        </w:r>
        <w:r>
          <w:rPr>
            <w:noProof/>
            <w:webHidden/>
          </w:rPr>
        </w:r>
        <w:r>
          <w:rPr>
            <w:noProof/>
            <w:webHidden/>
          </w:rPr>
          <w:fldChar w:fldCharType="separate"/>
        </w:r>
        <w:r>
          <w:rPr>
            <w:noProof/>
            <w:webHidden/>
          </w:rPr>
          <w:t>95</w:t>
        </w:r>
        <w:r>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25" w:history="1">
        <w:r w:rsidRPr="009213A7">
          <w:rPr>
            <w:rStyle w:val="Hyperlink"/>
            <w:noProof/>
          </w:rPr>
          <w:t>Table 5 Alternative Readiness Level Scales</w:t>
        </w:r>
        <w:r>
          <w:rPr>
            <w:noProof/>
            <w:webHidden/>
          </w:rPr>
          <w:tab/>
        </w:r>
        <w:r>
          <w:rPr>
            <w:noProof/>
            <w:webHidden/>
          </w:rPr>
          <w:fldChar w:fldCharType="begin"/>
        </w:r>
        <w:r>
          <w:rPr>
            <w:noProof/>
            <w:webHidden/>
          </w:rPr>
          <w:instrText xml:space="preserve"> PAGEREF _Toc54529825 \h </w:instrText>
        </w:r>
        <w:r>
          <w:rPr>
            <w:noProof/>
            <w:webHidden/>
          </w:rPr>
        </w:r>
        <w:r>
          <w:rPr>
            <w:noProof/>
            <w:webHidden/>
          </w:rPr>
          <w:fldChar w:fldCharType="separate"/>
        </w:r>
        <w:r>
          <w:rPr>
            <w:noProof/>
            <w:webHidden/>
          </w:rPr>
          <w:t>96</w:t>
        </w:r>
        <w:r>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4529830"/>
      <w:r w:rsidRPr="00566037">
        <w:lastRenderedPageBreak/>
        <w:t>List of Figures</w:t>
      </w:r>
      <w:bookmarkEnd w:id="2"/>
    </w:p>
    <w:p w:rsidR="00ED4CAD"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4529811" w:history="1">
        <w:r w:rsidR="00ED4CAD" w:rsidRPr="00256B91">
          <w:rPr>
            <w:rStyle w:val="Hyperlink"/>
            <w:noProof/>
          </w:rPr>
          <w:t>Figure 1 Estimate of University Technologies Transferred to the Private Sector</w:t>
        </w:r>
        <w:r w:rsidR="00ED4CAD">
          <w:rPr>
            <w:noProof/>
            <w:webHidden/>
          </w:rPr>
          <w:tab/>
        </w:r>
        <w:r w:rsidR="00ED4CAD">
          <w:rPr>
            <w:noProof/>
            <w:webHidden/>
          </w:rPr>
          <w:fldChar w:fldCharType="begin"/>
        </w:r>
        <w:r w:rsidR="00ED4CAD">
          <w:rPr>
            <w:noProof/>
            <w:webHidden/>
          </w:rPr>
          <w:instrText xml:space="preserve"> PAGEREF _Toc54529811 \h </w:instrText>
        </w:r>
        <w:r w:rsidR="00ED4CAD">
          <w:rPr>
            <w:noProof/>
            <w:webHidden/>
          </w:rPr>
        </w:r>
        <w:r w:rsidR="00ED4CAD">
          <w:rPr>
            <w:noProof/>
            <w:webHidden/>
          </w:rPr>
          <w:fldChar w:fldCharType="separate"/>
        </w:r>
        <w:r w:rsidR="00ED4CAD">
          <w:rPr>
            <w:noProof/>
            <w:webHidden/>
          </w:rPr>
          <w:t>97</w:t>
        </w:r>
        <w:r w:rsidR="00ED4CAD">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12" w:history="1">
        <w:r w:rsidRPr="00256B91">
          <w:rPr>
            <w:rStyle w:val="Hyperlink"/>
            <w:noProof/>
          </w:rPr>
          <w:t>Figure 2 Federal Obligations to Universities for Research and Development, 2000-2019</w:t>
        </w:r>
        <w:r>
          <w:rPr>
            <w:noProof/>
            <w:webHidden/>
          </w:rPr>
          <w:tab/>
        </w:r>
        <w:r>
          <w:rPr>
            <w:noProof/>
            <w:webHidden/>
          </w:rPr>
          <w:fldChar w:fldCharType="begin"/>
        </w:r>
        <w:r>
          <w:rPr>
            <w:noProof/>
            <w:webHidden/>
          </w:rPr>
          <w:instrText xml:space="preserve"> PAGEREF _Toc54529812 \h </w:instrText>
        </w:r>
        <w:r>
          <w:rPr>
            <w:noProof/>
            <w:webHidden/>
          </w:rPr>
        </w:r>
        <w:r>
          <w:rPr>
            <w:noProof/>
            <w:webHidden/>
          </w:rPr>
          <w:fldChar w:fldCharType="separate"/>
        </w:r>
        <w:r>
          <w:rPr>
            <w:noProof/>
            <w:webHidden/>
          </w:rPr>
          <w:t>98</w:t>
        </w:r>
        <w:r>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13" w:history="1">
        <w:r w:rsidRPr="00256B91">
          <w:rPr>
            <w:rStyle w:val="Hyperlink"/>
            <w:noProof/>
          </w:rPr>
          <w:t>Figure 3 The Relationship between Research and Societal Benefits</w:t>
        </w:r>
        <w:r>
          <w:rPr>
            <w:noProof/>
            <w:webHidden/>
          </w:rPr>
          <w:tab/>
        </w:r>
        <w:r>
          <w:rPr>
            <w:noProof/>
            <w:webHidden/>
          </w:rPr>
          <w:fldChar w:fldCharType="begin"/>
        </w:r>
        <w:r>
          <w:rPr>
            <w:noProof/>
            <w:webHidden/>
          </w:rPr>
          <w:instrText xml:space="preserve"> PAGEREF _Toc54529813 \h </w:instrText>
        </w:r>
        <w:r>
          <w:rPr>
            <w:noProof/>
            <w:webHidden/>
          </w:rPr>
        </w:r>
        <w:r>
          <w:rPr>
            <w:noProof/>
            <w:webHidden/>
          </w:rPr>
          <w:fldChar w:fldCharType="separate"/>
        </w:r>
        <w:r>
          <w:rPr>
            <w:noProof/>
            <w:webHidden/>
          </w:rPr>
          <w:t>99</w:t>
        </w:r>
        <w:r>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14" w:history="1">
        <w:r w:rsidRPr="00256B91">
          <w:rPr>
            <w:rStyle w:val="Hyperlink"/>
            <w:noProof/>
          </w:rPr>
          <w:t>Figure 4 Stokes Four-Quadrant Model of Scientific Research</w:t>
        </w:r>
        <w:r>
          <w:rPr>
            <w:noProof/>
            <w:webHidden/>
          </w:rPr>
          <w:tab/>
        </w:r>
        <w:r>
          <w:rPr>
            <w:noProof/>
            <w:webHidden/>
          </w:rPr>
          <w:fldChar w:fldCharType="begin"/>
        </w:r>
        <w:r>
          <w:rPr>
            <w:noProof/>
            <w:webHidden/>
          </w:rPr>
          <w:instrText xml:space="preserve"> PAGEREF _Toc54529814 \h </w:instrText>
        </w:r>
        <w:r>
          <w:rPr>
            <w:noProof/>
            <w:webHidden/>
          </w:rPr>
        </w:r>
        <w:r>
          <w:rPr>
            <w:noProof/>
            <w:webHidden/>
          </w:rPr>
          <w:fldChar w:fldCharType="separate"/>
        </w:r>
        <w:r>
          <w:rPr>
            <w:noProof/>
            <w:webHidden/>
          </w:rPr>
          <w:t>100</w:t>
        </w:r>
        <w:r>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15" w:history="1">
        <w:r w:rsidRPr="00256B91">
          <w:rPr>
            <w:rStyle w:val="Hyperlink"/>
            <w:noProof/>
          </w:rPr>
          <w:t>Figure 5 The Valley of Death</w:t>
        </w:r>
        <w:r>
          <w:rPr>
            <w:noProof/>
            <w:webHidden/>
          </w:rPr>
          <w:tab/>
        </w:r>
        <w:r>
          <w:rPr>
            <w:noProof/>
            <w:webHidden/>
          </w:rPr>
          <w:fldChar w:fldCharType="begin"/>
        </w:r>
        <w:r>
          <w:rPr>
            <w:noProof/>
            <w:webHidden/>
          </w:rPr>
          <w:instrText xml:space="preserve"> PAGEREF _Toc54529815 \h </w:instrText>
        </w:r>
        <w:r>
          <w:rPr>
            <w:noProof/>
            <w:webHidden/>
          </w:rPr>
        </w:r>
        <w:r>
          <w:rPr>
            <w:noProof/>
            <w:webHidden/>
          </w:rPr>
          <w:fldChar w:fldCharType="separate"/>
        </w:r>
        <w:r>
          <w:rPr>
            <w:noProof/>
            <w:webHidden/>
          </w:rPr>
          <w:t>101</w:t>
        </w:r>
        <w:r>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16" w:history="1">
        <w:r w:rsidRPr="00256B91">
          <w:rPr>
            <w:rStyle w:val="Hyperlink"/>
            <w:noProof/>
          </w:rPr>
          <w:t>Figure 6 Theory of the Organization</w:t>
        </w:r>
        <w:r>
          <w:rPr>
            <w:noProof/>
            <w:webHidden/>
          </w:rPr>
          <w:tab/>
        </w:r>
        <w:r>
          <w:rPr>
            <w:noProof/>
            <w:webHidden/>
          </w:rPr>
          <w:fldChar w:fldCharType="begin"/>
        </w:r>
        <w:r>
          <w:rPr>
            <w:noProof/>
            <w:webHidden/>
          </w:rPr>
          <w:instrText xml:space="preserve"> PAGEREF _Toc54529816 \h </w:instrText>
        </w:r>
        <w:r>
          <w:rPr>
            <w:noProof/>
            <w:webHidden/>
          </w:rPr>
        </w:r>
        <w:r>
          <w:rPr>
            <w:noProof/>
            <w:webHidden/>
          </w:rPr>
          <w:fldChar w:fldCharType="separate"/>
        </w:r>
        <w:r>
          <w:rPr>
            <w:noProof/>
            <w:webHidden/>
          </w:rPr>
          <w:t>102</w:t>
        </w:r>
        <w:r>
          <w:rPr>
            <w:noProof/>
            <w:webHidden/>
          </w:rPr>
          <w:fldChar w:fldCharType="end"/>
        </w:r>
      </w:hyperlink>
    </w:p>
    <w:p w:rsidR="00ED4CAD" w:rsidRDefault="00ED4CAD">
      <w:pPr>
        <w:pStyle w:val="TableofFigures"/>
        <w:tabs>
          <w:tab w:val="right" w:leader="dot" w:pos="9350"/>
        </w:tabs>
        <w:rPr>
          <w:rFonts w:asciiTheme="minorHAnsi" w:eastAsiaTheme="minorEastAsia" w:hAnsiTheme="minorHAnsi" w:cstheme="minorBidi"/>
          <w:noProof/>
          <w:sz w:val="22"/>
          <w:szCs w:val="22"/>
        </w:rPr>
      </w:pPr>
      <w:hyperlink w:anchor="_Toc54529817" w:history="1">
        <w:r w:rsidRPr="00256B91">
          <w:rPr>
            <w:rStyle w:val="Hyperlink"/>
            <w:noProof/>
          </w:rPr>
          <w:t>Figure 7 Demand-Side Model of Technology Transfer</w:t>
        </w:r>
        <w:r>
          <w:rPr>
            <w:noProof/>
            <w:webHidden/>
          </w:rPr>
          <w:tab/>
        </w:r>
        <w:r>
          <w:rPr>
            <w:noProof/>
            <w:webHidden/>
          </w:rPr>
          <w:fldChar w:fldCharType="begin"/>
        </w:r>
        <w:r>
          <w:rPr>
            <w:noProof/>
            <w:webHidden/>
          </w:rPr>
          <w:instrText xml:space="preserve"> PAGEREF _Toc54529817 \h </w:instrText>
        </w:r>
        <w:r>
          <w:rPr>
            <w:noProof/>
            <w:webHidden/>
          </w:rPr>
        </w:r>
        <w:r>
          <w:rPr>
            <w:noProof/>
            <w:webHidden/>
          </w:rPr>
          <w:fldChar w:fldCharType="separate"/>
        </w:r>
        <w:r>
          <w:rPr>
            <w:noProof/>
            <w:webHidden/>
          </w:rPr>
          <w:t>103</w:t>
        </w:r>
        <w:r>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4529831"/>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4529832"/>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proofErr w:type="spellStart"/>
      <w:r w:rsidR="001C138F" w:rsidRPr="00805CD2">
        <w:t>Cairney</w:t>
      </w:r>
      <w:proofErr w:type="spellEnd"/>
      <w:r w:rsidR="001C138F" w:rsidRPr="00805CD2">
        <w:t>,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DB6A4F" w:rsidRDefault="004A7E08" w:rsidP="00DB6A4F">
      <w:pPr>
        <w:pStyle w:val="LiteratureReviewHeader2Bold"/>
      </w:pPr>
      <w:bookmarkStart w:id="5" w:name="_Toc54529833"/>
      <w:r>
        <w:lastRenderedPageBreak/>
        <w:t xml:space="preserve">Motivation for and </w:t>
      </w:r>
      <w:r w:rsidR="00DB6A4F">
        <w:t xml:space="preserve">Purpose of </w:t>
      </w:r>
      <w:r>
        <w:t xml:space="preserve">the </w:t>
      </w:r>
      <w:r w:rsidR="00DB6A4F">
        <w:t>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proofErr w:type="spellStart"/>
      <w:r w:rsidR="00721198">
        <w:t>Feibleman</w:t>
      </w:r>
      <w:proofErr w:type="spellEnd"/>
      <w:r w:rsidR="00721198">
        <w:t>, 1961; Schact, 1998; Schact, 1999</w:t>
      </w:r>
      <w:r w:rsidR="00901D8E">
        <w:t xml:space="preserve">; </w:t>
      </w:r>
      <w:r w:rsidR="002012CF">
        <w:t xml:space="preserve">Schact, 2012; </w:t>
      </w:r>
      <w:r w:rsidR="00901D8E">
        <w:t xml:space="preserve">Tseng &amp; </w:t>
      </w:r>
      <w:proofErr w:type="spellStart"/>
      <w:r w:rsidR="00901D8E">
        <w:t>Raudensky</w:t>
      </w:r>
      <w:proofErr w:type="spellEnd"/>
      <w:r w:rsidR="00901D8E">
        <w:t>,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6" w:name="_Toc54529834"/>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w:t>
      </w:r>
      <w:proofErr w:type="spellStart"/>
      <w:r w:rsidR="00D727AB">
        <w:t>Lall</w:t>
      </w:r>
      <w:proofErr w:type="spellEnd"/>
      <w:r w:rsidR="00D727AB">
        <w:t xml:space="preserve"> (2001) that technology must </w:t>
      </w:r>
      <w:r w:rsidR="0013285B">
        <w:t>be embodied in specific items as well as the notions of other scholars that have commented on the subject (</w:t>
      </w:r>
      <w:r w:rsidR="008938C8">
        <w:t xml:space="preserve">see e.g., </w:t>
      </w:r>
      <w:proofErr w:type="spellStart"/>
      <w:r w:rsidR="001A5362">
        <w:t>Herschbach</w:t>
      </w:r>
      <w:proofErr w:type="spellEnd"/>
      <w:r w:rsidR="001A5362">
        <w:t xml:space="preserve">,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r w:rsidR="00774DE2">
        <w:rPr>
          <w:rStyle w:val="FootnoteReference"/>
        </w:rPr>
        <w:footnoteReference w:id="2"/>
      </w:r>
      <w:r w:rsidR="001B1337">
        <w:t xml:space="preserve"> 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w:t>
      </w:r>
      <w:proofErr w:type="gramStart"/>
      <w:r w:rsidR="00F57506">
        <w:t>general public</w:t>
      </w:r>
      <w:proofErr w:type="gramEnd"/>
      <w:r w:rsidR="001B1337">
        <w:t>.</w:t>
      </w:r>
      <w:r w:rsidR="00A943B4">
        <w:t xml:space="preserve">  All these examples repr</w:t>
      </w:r>
      <w:r w:rsidR="000505D0">
        <w:t>esent embodiments of technology and the literature provides support for this conceptualization of technology.</w:t>
      </w:r>
    </w:p>
    <w:p w:rsidR="009D4C6E" w:rsidRDefault="004E6565" w:rsidP="004E6565">
      <w:r>
        <w:tab/>
        <w:t>As a construct, it seems that technology is “a bastard child of uncertain parentage” (</w:t>
      </w:r>
      <w:proofErr w:type="spellStart"/>
      <w:r>
        <w:t>Schatzberg</w:t>
      </w:r>
      <w:proofErr w:type="spellEnd"/>
      <w:r>
        <w:t xml:space="preserve">,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proofErr w:type="spellStart"/>
      <w:r w:rsidRPr="00850D63">
        <w:rPr>
          <w:i/>
        </w:rPr>
        <w:t>techne</w:t>
      </w:r>
      <w:proofErr w:type="spellEnd"/>
      <w:r>
        <w:t xml:space="preserve">, which is its oldest </w:t>
      </w:r>
      <w:r w:rsidR="00F75EF8">
        <w:t xml:space="preserve">known </w:t>
      </w:r>
      <w:r>
        <w:t xml:space="preserve">cognate.  As </w:t>
      </w:r>
      <w:proofErr w:type="spellStart"/>
      <w:r>
        <w:t>Schatzberg</w:t>
      </w:r>
      <w:proofErr w:type="spellEnd"/>
      <w:r>
        <w:t xml:space="preserve"> explained, </w:t>
      </w:r>
      <w:proofErr w:type="spellStart"/>
      <w:r w:rsidR="009D4C6E">
        <w:rPr>
          <w:i/>
        </w:rPr>
        <w:t>t</w:t>
      </w:r>
      <w:r w:rsidRPr="00850D63">
        <w:rPr>
          <w:i/>
        </w:rPr>
        <w:t>echne</w:t>
      </w:r>
      <w:proofErr w:type="spellEnd"/>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proofErr w:type="spellStart"/>
      <w:r w:rsidR="009D4C6E">
        <w:rPr>
          <w:i/>
        </w:rPr>
        <w:t>t</w:t>
      </w:r>
      <w:r w:rsidRPr="007B4C19">
        <w:rPr>
          <w:i/>
        </w:rPr>
        <w:t>echnik</w:t>
      </w:r>
      <w:proofErr w:type="spellEnd"/>
      <w:r>
        <w:t xml:space="preserve">, which was derived from the concept of </w:t>
      </w:r>
      <w:proofErr w:type="spellStart"/>
      <w:r w:rsidRPr="007B4C19">
        <w:rPr>
          <w:i/>
        </w:rPr>
        <w:t>techne</w:t>
      </w:r>
      <w:proofErr w:type="spellEnd"/>
      <w:r>
        <w:t xml:space="preserve"> in Ancient Greek,</w:t>
      </w:r>
      <w:r w:rsidRPr="007C3906">
        <w:t xml:space="preserve"> </w:t>
      </w:r>
      <w:r>
        <w:t>also had a broad meaning in its original use.</w:t>
      </w:r>
      <w:r w:rsidRPr="00850D63">
        <w:t xml:space="preserve"> </w:t>
      </w:r>
      <w:r>
        <w:t xml:space="preserve"> </w:t>
      </w:r>
      <w:proofErr w:type="spellStart"/>
      <w:r w:rsidRPr="000B6373">
        <w:rPr>
          <w:i/>
        </w:rPr>
        <w:t>Technik</w:t>
      </w:r>
      <w:proofErr w:type="spellEnd"/>
      <w:r>
        <w:t xml:space="preserve"> was distinct from the German term </w:t>
      </w:r>
      <w:proofErr w:type="spellStart"/>
      <w:r w:rsidR="009D4C6E">
        <w:rPr>
          <w:i/>
        </w:rPr>
        <w:t>t</w:t>
      </w:r>
      <w:r w:rsidRPr="00590D27">
        <w:rPr>
          <w:i/>
        </w:rPr>
        <w:t>echnologie</w:t>
      </w:r>
      <w:proofErr w:type="spellEnd"/>
      <w:r>
        <w:t xml:space="preserve">, both of which were associated with craft production.  </w:t>
      </w:r>
      <w:proofErr w:type="spellStart"/>
      <w:r w:rsidRPr="00B36ADD">
        <w:rPr>
          <w:i/>
        </w:rPr>
        <w:t>Technik</w:t>
      </w:r>
      <w:proofErr w:type="spellEnd"/>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proofErr w:type="spellStart"/>
      <w:r w:rsidRPr="00590D27">
        <w:rPr>
          <w:i/>
        </w:rPr>
        <w:lastRenderedPageBreak/>
        <w:t>Technik</w:t>
      </w:r>
      <w:proofErr w:type="spellEnd"/>
      <w:r>
        <w:t xml:space="preserve"> eventually shaped the modern concept of technology in the English language in an unfortunate way.  English language scholars mistranslated </w:t>
      </w:r>
      <w:proofErr w:type="spellStart"/>
      <w:r>
        <w:rPr>
          <w:i/>
        </w:rPr>
        <w:t>T</w:t>
      </w:r>
      <w:r w:rsidRPr="007B4C19">
        <w:rPr>
          <w:i/>
        </w:rPr>
        <w:t>echnik</w:t>
      </w:r>
      <w:proofErr w:type="spellEnd"/>
      <w:r>
        <w:t xml:space="preserve">, whose meaning in the German language varied depending on context.  Mistranslation of </w:t>
      </w:r>
      <w:proofErr w:type="spellStart"/>
      <w:r w:rsidRPr="00DA761B">
        <w:rPr>
          <w:i/>
        </w:rPr>
        <w:t>Technik</w:t>
      </w:r>
      <w:proofErr w:type="spellEnd"/>
      <w:r>
        <w:t xml:space="preserve"> contributed significantly to the current confusion in the meaning of technology in the English language (</w:t>
      </w:r>
      <w:proofErr w:type="spellStart"/>
      <w:r w:rsidR="00384799">
        <w:t>Mitchman</w:t>
      </w:r>
      <w:proofErr w:type="spellEnd"/>
      <w:r w:rsidR="00384799">
        <w:t xml:space="preserve"> &amp; </w:t>
      </w:r>
      <w:proofErr w:type="spellStart"/>
      <w:r w:rsidR="00384799">
        <w:t>Schatzberg</w:t>
      </w:r>
      <w:proofErr w:type="spellEnd"/>
      <w:r w:rsidR="00384799">
        <w:t xml:space="preserve">, 2009; </w:t>
      </w:r>
      <w:proofErr w:type="spellStart"/>
      <w:r>
        <w:t>Schatzberg</w:t>
      </w:r>
      <w:proofErr w:type="spellEnd"/>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proofErr w:type="spellStart"/>
      <w:r w:rsidR="00FA52BD">
        <w:t>Mitchman</w:t>
      </w:r>
      <w:proofErr w:type="spellEnd"/>
      <w:r w:rsidR="00FA52BD">
        <w:t xml:space="preserve"> &amp; </w:t>
      </w:r>
      <w:proofErr w:type="spellStart"/>
      <w:r w:rsidR="00FA52BD">
        <w:t>Schatzberg</w:t>
      </w:r>
      <w:proofErr w:type="spellEnd"/>
      <w:r w:rsidR="00FA52BD">
        <w:t xml:space="preserve">, 2009; </w:t>
      </w:r>
      <w:proofErr w:type="spellStart"/>
      <w:r>
        <w:t>Schatzberg</w:t>
      </w:r>
      <w:proofErr w:type="spellEnd"/>
      <w:r>
        <w:t>,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w:t>
      </w:r>
      <w:proofErr w:type="spellStart"/>
      <w:r>
        <w:t>Schatzberg</w:t>
      </w:r>
      <w:proofErr w:type="spellEnd"/>
      <w:r>
        <w:t xml:space="preserve">, p. 3).  Scholars in this camp point to the influence that human </w:t>
      </w:r>
      <w:r w:rsidR="00C037B7">
        <w:t xml:space="preserve">agency and </w:t>
      </w:r>
      <w:r>
        <w:t xml:space="preserve">culture has in shaping </w:t>
      </w:r>
      <w:r w:rsidR="007F7F4E">
        <w:t>the form of technology over time</w:t>
      </w:r>
      <w:r>
        <w:t>.  Both these viewpoints seem to touch on fundamental truths about the nature of technology (</w:t>
      </w:r>
      <w:proofErr w:type="spellStart"/>
      <w:r>
        <w:t>Schatzberg</w:t>
      </w:r>
      <w:proofErr w:type="spellEnd"/>
      <w:r>
        <w:t xml:space="preserve">)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w:t>
      </w:r>
      <w:proofErr w:type="spellStart"/>
      <w:r w:rsidRPr="00F577AD">
        <w:t>Schatzberg</w:t>
      </w:r>
      <w:proofErr w:type="spellEnd"/>
      <w:r w:rsidRPr="00F577AD">
        <w:t>,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proofErr w:type="gramStart"/>
      <w:r>
        <w:t>According to</w:t>
      </w:r>
      <w:proofErr w:type="gramEnd"/>
      <w:r>
        <w:t xml:space="preserve"> </w:t>
      </w:r>
      <w:proofErr w:type="spellStart"/>
      <w:r>
        <w:t>Schatzberg</w:t>
      </w:r>
      <w:proofErr w:type="spellEnd"/>
      <w:r>
        <w:t xml:space="preserve">,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proofErr w:type="spellStart"/>
      <w:r>
        <w:lastRenderedPageBreak/>
        <w:t>Feibleman</w:t>
      </w:r>
      <w:proofErr w:type="spellEnd"/>
      <w:r>
        <w:t xml:space="preserve"> (1961) exemplified</w:t>
      </w:r>
      <w:r w:rsidR="004E6565">
        <w:t xml:space="preserve"> the quandary of conceptualizing technology.  </w:t>
      </w:r>
      <w:proofErr w:type="spellStart"/>
      <w:r w:rsidR="004E6565">
        <w:t>Feibleman</w:t>
      </w:r>
      <w:proofErr w:type="spellEnd"/>
      <w:r w:rsidR="004E6565">
        <w:t xml:space="preserve"> attempted to distinguish between pure science, applied science, technology, and engineering. </w:t>
      </w:r>
      <w:r>
        <w:t xml:space="preserve"> His approach essentially placed</w:t>
      </w:r>
      <w:r w:rsidR="004E6565">
        <w:t xml:space="preserve"> these constructs on a continuum with each one building on the previous one.  </w:t>
      </w:r>
      <w:proofErr w:type="spellStart"/>
      <w:r w:rsidR="004E6565">
        <w:t>Feibleman</w:t>
      </w:r>
      <w:proofErr w:type="spellEnd"/>
      <w:r w:rsidR="004E6565">
        <w:t xml:space="preserve"> argued that pure science was systematic theoretical and experimental efforts to describe nature and discover laws with no concern for potential application.  Applied science was the application of pure science for improving human means and ends.  </w:t>
      </w:r>
      <w:proofErr w:type="spellStart"/>
      <w:r w:rsidR="004E6565">
        <w:t>Fiebleman</w:t>
      </w:r>
      <w:proofErr w:type="spellEnd"/>
      <w:r w:rsidR="004E6565">
        <w:t xml:space="preserve"> defined technology as improvements of instruments used to extend applied science.  This definition conforms to the instrumental reason conceptualization of technology.  </w:t>
      </w:r>
      <w:proofErr w:type="spellStart"/>
      <w:r w:rsidR="004E6565">
        <w:t>Fiebleman</w:t>
      </w:r>
      <w:proofErr w:type="spellEnd"/>
      <w:r w:rsidR="004E6565">
        <w:t xml:space="preserve"> argued that engineering was technology applied to specific situations.</w:t>
      </w:r>
      <w:r w:rsidR="004E6565" w:rsidRPr="00114F32">
        <w:t xml:space="preserve"> </w:t>
      </w:r>
      <w:r w:rsidR="004E6565">
        <w:t xml:space="preserve"> </w:t>
      </w:r>
      <w:proofErr w:type="spellStart"/>
      <w:r w:rsidR="004E6565">
        <w:t>Fiebleman</w:t>
      </w:r>
      <w:proofErr w:type="spellEnd"/>
      <w:r w:rsidR="004E6565">
        <w:t xml:space="preserve">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w:t>
      </w:r>
      <w:proofErr w:type="spellStart"/>
      <w:r>
        <w:t>Daim</w:t>
      </w:r>
      <w:proofErr w:type="spellEnd"/>
      <w:r>
        <w:t>, &amp; Lavoie (2007); González-</w:t>
      </w:r>
      <w:proofErr w:type="spellStart"/>
      <w:r>
        <w:t>Pernía</w:t>
      </w:r>
      <w:proofErr w:type="spellEnd"/>
      <w:r>
        <w:t xml:space="preserve">, </w:t>
      </w:r>
      <w:proofErr w:type="spellStart"/>
      <w:r>
        <w:t>Kuechle</w:t>
      </w:r>
      <w:proofErr w:type="spellEnd"/>
      <w:r>
        <w:t>, &amp; Peña-</w:t>
      </w:r>
      <w:proofErr w:type="spellStart"/>
      <w:r>
        <w:t>Legazkue</w:t>
      </w:r>
      <w:proofErr w:type="spellEnd"/>
      <w:r>
        <w:t xml:space="preserve"> (2013); and </w:t>
      </w:r>
      <w:proofErr w:type="spellStart"/>
      <w:r>
        <w:t>Markman</w:t>
      </w:r>
      <w:proofErr w:type="spellEnd"/>
      <w:r>
        <w:t xml:space="preserve">, </w:t>
      </w:r>
      <w:proofErr w:type="spellStart"/>
      <w:r>
        <w:t>Gianiodis</w:t>
      </w:r>
      <w:proofErr w:type="spellEnd"/>
      <w:r>
        <w:t xml:space="preserve">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w:t>
      </w:r>
      <w:proofErr w:type="gramStart"/>
      <w:r>
        <w:t>put to use</w:t>
      </w:r>
      <w:proofErr w:type="gramEnd"/>
      <w:r>
        <w:t xml:space="preserv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w:t>
      </w:r>
      <w:proofErr w:type="spellStart"/>
      <w:r>
        <w:t>Herschbach</w:t>
      </w:r>
      <w:proofErr w:type="spellEnd"/>
      <w:r>
        <w:t xml:space="preserve">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proofErr w:type="spellStart"/>
      <w:r w:rsidRPr="00823757">
        <w:rPr>
          <w:rFonts w:eastAsia="Calibri"/>
        </w:rPr>
        <w:t>Frické</w:t>
      </w:r>
      <w:proofErr w:type="spellEnd"/>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proofErr w:type="spellStart"/>
      <w:r w:rsidRPr="00823757">
        <w:rPr>
          <w:rFonts w:eastAsia="Calibri"/>
        </w:rPr>
        <w:t>Frické</w:t>
      </w:r>
      <w:proofErr w:type="spellEnd"/>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proofErr w:type="gramStart"/>
      <w:r w:rsidR="005A2DE8">
        <w:rPr>
          <w:rFonts w:eastAsia="Calibri"/>
        </w:rPr>
        <w:t>By definition, intentionally</w:t>
      </w:r>
      <w:proofErr w:type="gramEnd"/>
      <w:r w:rsidR="005A2DE8">
        <w:rPr>
          <w:rFonts w:eastAsia="Calibri"/>
        </w:rPr>
        <w:t xml:space="preserve">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proofErr w:type="spellStart"/>
      <w:r w:rsidR="00BC4178">
        <w:rPr>
          <w:rFonts w:eastAsia="Calibri"/>
        </w:rPr>
        <w:t>Frické</w:t>
      </w:r>
      <w:proofErr w:type="spellEnd"/>
      <w:r w:rsidR="00BC4178">
        <w:rPr>
          <w:rFonts w:eastAsia="Calibri"/>
        </w:rPr>
        <w:t xml:space="preserve">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proofErr w:type="spellStart"/>
      <w:r w:rsidRPr="00823757">
        <w:rPr>
          <w:rFonts w:eastAsia="Calibri"/>
        </w:rPr>
        <w:t>Frick</w:t>
      </w:r>
      <w:r w:rsidR="00BC4178" w:rsidRPr="00823757">
        <w:rPr>
          <w:rFonts w:eastAsia="Calibri"/>
        </w:rPr>
        <w:t>é</w:t>
      </w:r>
      <w:proofErr w:type="spellEnd"/>
      <w:r>
        <w:rPr>
          <w:rFonts w:eastAsia="Calibri"/>
        </w:rPr>
        <w:t xml:space="preserve"> </w:t>
      </w:r>
      <w:r w:rsidR="00BC4178">
        <w:rPr>
          <w:rFonts w:eastAsia="Calibri"/>
        </w:rPr>
        <w:t xml:space="preserve">further </w:t>
      </w:r>
      <w:r>
        <w:rPr>
          <w:rFonts w:eastAsia="Calibri"/>
        </w:rPr>
        <w:t xml:space="preserve">argued that the DIKW hierarchy is insufficient and should include document and sign as two additional concepts.  This aligns with the notion expressed by Leonard-Barton (1990) that knowledge must be captured in communicable form to be considered technology.  </w:t>
      </w:r>
      <w:proofErr w:type="spellStart"/>
      <w:r>
        <w:rPr>
          <w:rFonts w:eastAsia="Calibri"/>
        </w:rPr>
        <w:t>Frick</w:t>
      </w:r>
      <w:r w:rsidRPr="00E562EE">
        <w:rPr>
          <w:rFonts w:eastAsia="Calibri"/>
        </w:rPr>
        <w:t>é</w:t>
      </w:r>
      <w:proofErr w:type="spellEnd"/>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w:t>
      </w:r>
      <w:proofErr w:type="spellStart"/>
      <w:r w:rsidR="005A2DE8" w:rsidRPr="005A2DE8">
        <w:t>Pernía</w:t>
      </w:r>
      <w:proofErr w:type="spellEnd"/>
      <w:r w:rsidR="005A2DE8" w:rsidRPr="005A2DE8">
        <w:t xml:space="preserve">, </w:t>
      </w:r>
      <w:proofErr w:type="spellStart"/>
      <w:r w:rsidR="005A2DE8" w:rsidRPr="005A2DE8">
        <w:t>Kuechle</w:t>
      </w:r>
      <w:proofErr w:type="spellEnd"/>
      <w:r w:rsidR="005A2DE8" w:rsidRPr="005A2DE8">
        <w:t>, &amp; Peñ</w:t>
      </w:r>
      <w:r w:rsidR="005A2DE8">
        <w:t>a-</w:t>
      </w:r>
      <w:proofErr w:type="spellStart"/>
      <w:r w:rsidR="005A2DE8">
        <w:t>Legazkue</w:t>
      </w:r>
      <w:proofErr w:type="spellEnd"/>
      <w:r w:rsidR="005A2DE8">
        <w:t>,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w:t>
      </w:r>
      <w:proofErr w:type="spellStart"/>
      <w:r>
        <w:t>Frické</w:t>
      </w:r>
      <w:proofErr w:type="spellEnd"/>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proofErr w:type="spellStart"/>
      <w:r w:rsidR="00E8568B">
        <w:t>Lall</w:t>
      </w:r>
      <w:proofErr w:type="spellEnd"/>
      <w:r w:rsidR="00E8568B">
        <w:t xml:space="preserve">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4529835"/>
      <w:r>
        <w:t xml:space="preserve">Conceptualizing </w:t>
      </w:r>
      <w:r w:rsidR="004E6565">
        <w:t xml:space="preserve">University </w:t>
      </w:r>
      <w:r w:rsidR="004E6565" w:rsidRPr="002F08DF">
        <w:t>Technology Transfer</w:t>
      </w:r>
      <w:bookmarkEnd w:id="7"/>
    </w:p>
    <w:p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 xml:space="preserve">n their investigation of the effects of international technology transfer on welfare under the conditions of Bertrand and </w:t>
      </w:r>
      <w:proofErr w:type="spellStart"/>
      <w:r w:rsidR="00C76724">
        <w:t>Cournot</w:t>
      </w:r>
      <w:proofErr w:type="spellEnd"/>
      <w:r w:rsidR="00C76724">
        <w:t xml:space="preserve"> competition, </w:t>
      </w:r>
      <w:proofErr w:type="spellStart"/>
      <w:r w:rsidR="00C76724">
        <w:t>Kuo</w:t>
      </w:r>
      <w:proofErr w:type="spellEnd"/>
      <w:r w:rsidR="00C76724">
        <w:t>,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proofErr w:type="spellStart"/>
      <w:r w:rsidR="00996C78">
        <w:t>Gulbrandsen</w:t>
      </w:r>
      <w:proofErr w:type="spellEnd"/>
      <w:r w:rsidR="00996C78" w:rsidRPr="00996C78">
        <w:t xml:space="preserve"> &amp; Rasmussen, 2012</w:t>
      </w:r>
      <w:r w:rsidR="00996C78">
        <w:t xml:space="preserve">; </w:t>
      </w:r>
      <w:proofErr w:type="spellStart"/>
      <w:r w:rsidR="00996C78">
        <w:t>Mercelis</w:t>
      </w:r>
      <w:proofErr w:type="spellEnd"/>
      <w:r w:rsidR="00996C78">
        <w:t>, Galvez-Behar</w:t>
      </w:r>
      <w:r w:rsidR="00996C78" w:rsidRPr="00996C78">
        <w:t xml:space="preserve"> &amp; </w:t>
      </w:r>
      <w:proofErr w:type="spellStart"/>
      <w:r w:rsidR="00996C78" w:rsidRPr="00996C78">
        <w:t>Guagnini</w:t>
      </w:r>
      <w:proofErr w:type="spellEnd"/>
      <w:r w:rsidR="00996C78" w:rsidRPr="00996C78">
        <w:t>,</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w:t>
      </w:r>
      <w:proofErr w:type="gramStart"/>
      <w:r w:rsidR="0060104B">
        <w:t>for the purpose of</w:t>
      </w:r>
      <w:proofErr w:type="gramEnd"/>
      <w:r w:rsidR="0060104B">
        <w:t xml:space="preserve">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proofErr w:type="spellStart"/>
      <w:r w:rsidRPr="00CB3663">
        <w:t>Kundu</w:t>
      </w:r>
      <w:proofErr w:type="spellEnd"/>
      <w:r w:rsidRPr="00CB3663">
        <w:t xml:space="preserve">, </w:t>
      </w:r>
      <w:proofErr w:type="spellStart"/>
      <w:r w:rsidRPr="00CB3663">
        <w:t>Bhar</w:t>
      </w:r>
      <w:proofErr w:type="spellEnd"/>
      <w:r w:rsidRPr="00CB3663">
        <w:t xml:space="preserve">, and </w:t>
      </w:r>
      <w:proofErr w:type="spellStart"/>
      <w:r w:rsidRPr="00CB3663">
        <w:t>Pandurangan</w:t>
      </w:r>
      <w:proofErr w:type="spellEnd"/>
      <w:r w:rsidRPr="00CB3663">
        <w:t xml:space="preserve">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seem to have been striving for a definition that comprehensively captures the technology transfer phenomenon.</w:t>
      </w:r>
    </w:p>
    <w:p w:rsidR="004E6565" w:rsidRDefault="001317A6" w:rsidP="004E6565">
      <w:pPr>
        <w:ind w:firstLine="720"/>
      </w:pPr>
      <w:proofErr w:type="spellStart"/>
      <w:r>
        <w:t>Speser</w:t>
      </w:r>
      <w:proofErr w:type="spellEnd"/>
      <w:r>
        <w:t xml:space="preserve">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w:t>
      </w:r>
      <w:proofErr w:type="spellStart"/>
      <w:r w:rsidR="00C15047">
        <w:t>Speser</w:t>
      </w:r>
      <w:proofErr w:type="spellEnd"/>
      <w:r w:rsidR="00C15047">
        <w:t xml:space="preserve"> </w:t>
      </w:r>
      <w:r w:rsidRPr="001317A6">
        <w:t>use</w:t>
      </w:r>
      <w:r w:rsidR="00C15047">
        <w:t>s</w:t>
      </w:r>
      <w:r w:rsidRPr="001317A6">
        <w:t xml:space="preserve"> </w:t>
      </w:r>
      <w:r w:rsidR="008416D7">
        <w:t>is inconsistent</w:t>
      </w:r>
      <w:r w:rsidRPr="001317A6">
        <w:t xml:space="preserve">.  </w:t>
      </w:r>
      <w:r w:rsidR="008416D7">
        <w:t xml:space="preserve">At one point </w:t>
      </w:r>
      <w:proofErr w:type="spellStart"/>
      <w:r w:rsidR="008416D7">
        <w:t>Speser</w:t>
      </w:r>
      <w:proofErr w:type="spellEnd"/>
      <w:r w:rsidR="008416D7">
        <w:t xml:space="preserve">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w:t>
      </w:r>
      <w:proofErr w:type="spellStart"/>
      <w:r w:rsidR="00C315F7" w:rsidRPr="00C315F7">
        <w:t>Pernía</w:t>
      </w:r>
      <w:proofErr w:type="spellEnd"/>
      <w:r w:rsidR="00C315F7" w:rsidRPr="00C315F7">
        <w:t xml:space="preserve">, </w:t>
      </w:r>
      <w:proofErr w:type="spellStart"/>
      <w:r w:rsidR="00C315F7" w:rsidRPr="00C315F7">
        <w:t>Kuechle</w:t>
      </w:r>
      <w:proofErr w:type="spellEnd"/>
      <w:r w:rsidR="00C315F7" w:rsidRPr="00C315F7">
        <w:t>, &amp; Peñ</w:t>
      </w:r>
      <w:r w:rsidR="00C315F7">
        <w:t>a-</w:t>
      </w:r>
      <w:proofErr w:type="spellStart"/>
      <w:r w:rsidR="00C315F7">
        <w:t>Legazkue</w:t>
      </w:r>
      <w:proofErr w:type="spellEnd"/>
      <w:r w:rsidR="00C315F7">
        <w:t>, 2013</w:t>
      </w:r>
      <w:r w:rsidRPr="00A22400">
        <w:t xml:space="preserve">; Hallam, Wurth &amp; Mancha, 2014; </w:t>
      </w:r>
      <w:proofErr w:type="spellStart"/>
      <w:r w:rsidRPr="00A22400">
        <w:t>Markman</w:t>
      </w:r>
      <w:proofErr w:type="spellEnd"/>
      <w:r w:rsidRPr="00A22400">
        <w:t xml:space="preserve">, </w:t>
      </w:r>
      <w:proofErr w:type="spellStart"/>
      <w:r w:rsidRPr="00A22400">
        <w:t>Gianiodis</w:t>
      </w:r>
      <w:proofErr w:type="spellEnd"/>
      <w:r w:rsidRPr="00A22400">
        <w:t xml:space="preserve"> &amp; Phan, 2009</w:t>
      </w:r>
      <w:r w:rsidR="00AF1D3B">
        <w:t xml:space="preserve">; Tseng &amp; </w:t>
      </w:r>
      <w:proofErr w:type="spellStart"/>
      <w:r w:rsidR="00AF1D3B">
        <w:t>Raudensky</w:t>
      </w:r>
      <w:proofErr w:type="spellEnd"/>
      <w:r w:rsidR="00AF1D3B">
        <w:t>,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proofErr w:type="spellStart"/>
      <w:r w:rsidRPr="00590049">
        <w:t>Carlsson</w:t>
      </w:r>
      <w:proofErr w:type="spellEnd"/>
      <w:r w:rsidRPr="00590049">
        <w:t xml:space="preserve"> and </w:t>
      </w:r>
      <w:proofErr w:type="spellStart"/>
      <w:r w:rsidRPr="00590049">
        <w:t>Fridh</w:t>
      </w:r>
      <w:proofErr w:type="spellEnd"/>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t>
      </w:r>
      <w:proofErr w:type="spellStart"/>
      <w:r>
        <w:t>Wasden</w:t>
      </w:r>
      <w:proofErr w:type="spellEnd"/>
      <w:r>
        <w:t xml:space="preserve">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417710" w:rsidRDefault="00E93F6D" w:rsidP="005F2BAE">
      <w:pPr>
        <w:ind w:firstLine="720"/>
      </w:pPr>
      <w:proofErr w:type="gramStart"/>
      <w:r>
        <w:t>Generally speaking, technology</w:t>
      </w:r>
      <w:proofErr w:type="gramEnd"/>
      <w:r>
        <w:t xml:space="preserve">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w:t>
      </w:r>
      <w:proofErr w:type="spellStart"/>
      <w:r w:rsidR="007C406E">
        <w:t>Desmarais</w:t>
      </w:r>
      <w:proofErr w:type="spellEnd"/>
      <w:r w:rsidR="007C406E">
        <w:t xml:space="preserve">-Tremblay, 2017; Musgrave, 1959). </w:t>
      </w:r>
      <w:r w:rsidR="00950D1D">
        <w:t xml:space="preserve"> </w:t>
      </w:r>
      <w:r w:rsidR="00417710">
        <w:t>However, I see no reason why a merit good could not also suffer from market failures.</w:t>
      </w:r>
    </w:p>
    <w:p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w:t>
      </w:r>
      <w:proofErr w:type="spellStart"/>
      <w:r w:rsidR="00E93F6D">
        <w:t>Lidecap</w:t>
      </w:r>
      <w:proofErr w:type="spellEnd"/>
      <w:r w:rsidR="00E93F6D">
        <w:t>,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w:t>
      </w:r>
      <w:proofErr w:type="spellStart"/>
      <w:r w:rsidRPr="00805CD2">
        <w:t>Schrier</w:t>
      </w:r>
      <w:proofErr w:type="spellEnd"/>
      <w:r w:rsidRPr="00805CD2">
        <w:t xml:space="preserve"> (1964) is one of the earliest peer-reviewed published works to explicitly address the subject.  The paper was inspired by </w:t>
      </w:r>
      <w:proofErr w:type="spellStart"/>
      <w:r w:rsidRPr="00805CD2">
        <w:t>Schrier’s</w:t>
      </w:r>
      <w:proofErr w:type="spellEnd"/>
      <w:r w:rsidRPr="00805CD2">
        <w:t xml:space="preserve">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proofErr w:type="spellStart"/>
      <w:r w:rsidR="005F2BAE">
        <w:t>Schrier</w:t>
      </w:r>
      <w:proofErr w:type="spellEnd"/>
      <w:r w:rsidR="005F2BAE">
        <w:t xml:space="preserve">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w:t>
      </w:r>
      <w:proofErr w:type="spellStart"/>
      <w:r w:rsidR="005F2BAE">
        <w:t>Schrier</w:t>
      </w:r>
      <w:proofErr w:type="spellEnd"/>
      <w:r w:rsidR="005F2BAE">
        <w:t xml:space="preserve">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rsidR="00BB4827" w:rsidRPr="00073E04" w:rsidRDefault="00047283" w:rsidP="00FB4FEE">
      <w:pPr>
        <w:pStyle w:val="LiteratureReviewHeader2Bold"/>
      </w:pPr>
      <w:bookmarkStart w:id="8" w:name="_Toc54529836"/>
      <w:r>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lastRenderedPageBreak/>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w:t>
      </w:r>
      <w:r w:rsidR="004E5D03">
        <w:t>echnology transfer satisfies the</w:t>
      </w:r>
      <w:r>
        <w:t>s</w:t>
      </w:r>
      <w:r w:rsidR="004E5D03">
        <w:t>e</w:t>
      </w:r>
      <w:r>
        <w:t xml:space="preserve"> criteri</w:t>
      </w:r>
      <w:r w:rsidR="004E5D03">
        <w:t>a</w:t>
      </w:r>
      <w:r>
        <w:t>.</w:t>
      </w:r>
    </w:p>
    <w:p w:rsidR="0073242C" w:rsidRDefault="0073242C" w:rsidP="0073242C">
      <w:pPr>
        <w:ind w:firstLine="720"/>
      </w:pPr>
      <w:r>
        <w:t xml:space="preserve">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w:t>
      </w:r>
      <w:proofErr w:type="spellStart"/>
      <w:r>
        <w:t>Rosengard</w:t>
      </w:r>
      <w:proofErr w:type="spellEnd"/>
      <w:r>
        <w:t>,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rsidR="00752DF5" w:rsidRDefault="00752DF5" w:rsidP="00615E78">
      <w:pPr>
        <w:pStyle w:val="LiteratureReviewHeader2Bold"/>
      </w:pPr>
      <w:bookmarkStart w:id="9" w:name="_Toc54529837"/>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w:t>
      </w:r>
      <w:r w:rsidR="002C7E22" w:rsidRPr="002C7E22">
        <w:lastRenderedPageBreak/>
        <w:t xml:space="preserve">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w:t>
      </w:r>
      <w:r w:rsidR="00442D63">
        <w:lastRenderedPageBreak/>
        <w:t>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w:t>
      </w:r>
      <w:r w:rsidRPr="002C7E22">
        <w:lastRenderedPageBreak/>
        <w:t xml:space="preserve">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rsidR="0035263C" w:rsidRPr="00805CD2" w:rsidRDefault="0035263C" w:rsidP="0035263C">
      <w:pPr>
        <w:ind w:firstLine="720"/>
      </w:pPr>
      <w:proofErr w:type="spellStart"/>
      <w:r w:rsidRPr="00805CD2">
        <w:lastRenderedPageBreak/>
        <w:t>Schrier</w:t>
      </w:r>
      <w:proofErr w:type="spellEnd"/>
      <w:r w:rsidRPr="00805CD2">
        <w:t xml:space="preserve">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w:t>
      </w:r>
      <w:proofErr w:type="spellStart"/>
      <w:r w:rsidRPr="00805CD2">
        <w:t>n.d.</w:t>
      </w:r>
      <w:proofErr w:type="spellEnd"/>
      <w:r w:rsidRPr="00805CD2">
        <w:t>).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4529838"/>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w:t>
      </w:r>
      <w:proofErr w:type="spellStart"/>
      <w:r w:rsidR="00B2495F">
        <w:t>Lidecap</w:t>
      </w:r>
      <w:proofErr w:type="spellEnd"/>
      <w:r w:rsidR="00B2495F">
        <w:t>,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 xml:space="preserve">As </w:t>
      </w:r>
      <w:proofErr w:type="spellStart"/>
      <w:r w:rsidR="006004DA">
        <w:t>Lidecap</w:t>
      </w:r>
      <w:proofErr w:type="spellEnd"/>
      <w:r w:rsidR="006004DA">
        <w:t xml:space="preserve">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w:t>
      </w:r>
      <w:proofErr w:type="spellStart"/>
      <w:r w:rsidR="00DA7E59">
        <w:t>Lidecap</w:t>
      </w:r>
      <w:proofErr w:type="spellEnd"/>
      <w:r w:rsidR="00DA7E59">
        <w:t xml:space="preserve">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1" w:name="_Toc54529839"/>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proofErr w:type="spellStart"/>
      <w:r>
        <w:lastRenderedPageBreak/>
        <w:t>Kochenkova</w:t>
      </w:r>
      <w:proofErr w:type="spellEnd"/>
      <w:r>
        <w:t xml:space="preserve">, Grimaldi, and </w:t>
      </w:r>
      <w:proofErr w:type="spellStart"/>
      <w:r>
        <w:t>Munari</w:t>
      </w:r>
      <w:proofErr w:type="spellEnd"/>
      <w:r>
        <w:t xml:space="preserve">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w:t>
      </w:r>
      <w:proofErr w:type="spellStart"/>
      <w:r>
        <w:t>Kochenkova</w:t>
      </w:r>
      <w:proofErr w:type="spellEnd"/>
      <w:r>
        <w:t xml:space="preserve">, Grimaldi, and </w:t>
      </w:r>
      <w:proofErr w:type="spellStart"/>
      <w:r>
        <w:t>Munari</w:t>
      </w:r>
      <w:proofErr w:type="spellEnd"/>
      <w:r>
        <w:t xml:space="preserve">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proofErr w:type="spellStart"/>
      <w:r>
        <w:t>M</w:t>
      </w:r>
      <w:r w:rsidR="00F14A89">
        <w:t>arkman</w:t>
      </w:r>
      <w:proofErr w:type="spellEnd"/>
      <w:r w:rsidR="00F14A89">
        <w:t xml:space="preserve">, </w:t>
      </w:r>
      <w:proofErr w:type="spellStart"/>
      <w:r w:rsidR="00F14A89">
        <w:t>Gionidis</w:t>
      </w:r>
      <w:proofErr w:type="spellEnd"/>
      <w:r w:rsidR="00F14A89">
        <w:t>,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w:t>
      </w:r>
      <w:proofErr w:type="spellStart"/>
      <w:r w:rsidR="00625A71">
        <w:t>Heisey</w:t>
      </w:r>
      <w:proofErr w:type="spellEnd"/>
      <w:r w:rsidR="00625A71">
        <w:t xml:space="preserve"> &amp; Adelman, 2011).</w:t>
      </w:r>
    </w:p>
    <w:p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w:t>
      </w:r>
      <w:proofErr w:type="spellStart"/>
      <w:r w:rsidR="00AA02F5">
        <w:t>Rosengard</w:t>
      </w:r>
      <w:proofErr w:type="spellEnd"/>
      <w:r w:rsidR="00AA02F5">
        <w:t>, 2015, p. 83)</w:t>
      </w:r>
      <w:r>
        <w:t xml:space="preserve">.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rsidR="007D1AA6" w:rsidRPr="007D134A" w:rsidRDefault="007D1AA6" w:rsidP="007D1AA6">
      <w:pPr>
        <w:pStyle w:val="LiteratureReviewHeader2Bold"/>
      </w:pPr>
      <w:bookmarkStart w:id="12" w:name="_Toc54529840"/>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w:t>
      </w:r>
      <w:proofErr w:type="gramStart"/>
      <w:r>
        <w:t>in connection with</w:t>
      </w:r>
      <w:proofErr w:type="gramEnd"/>
      <w:r>
        <w:t xml:space="preserve">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w:t>
      </w:r>
      <w:proofErr w:type="spellStart"/>
      <w:r w:rsidR="00BF6CDD">
        <w:t>Olechowski</w:t>
      </w:r>
      <w:proofErr w:type="spellEnd"/>
      <w:r w:rsidR="00BF6CDD">
        <w:t xml:space="preserve">, </w:t>
      </w:r>
      <w:proofErr w:type="spellStart"/>
      <w:r w:rsidR="00BF6CDD">
        <w:t>Eppinger</w:t>
      </w:r>
      <w:proofErr w:type="spellEnd"/>
      <w:r w:rsidR="00BF6CDD">
        <w:t xml:space="preserve">, &amp; </w:t>
      </w:r>
      <w:proofErr w:type="spellStart"/>
      <w:r w:rsidR="00BF6CDD">
        <w:t>Joglekar</w:t>
      </w:r>
      <w:proofErr w:type="spellEnd"/>
      <w:r w:rsidR="00BF6CDD">
        <w:t>,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rsidR="007D1AA6" w:rsidRPr="007D134A" w:rsidRDefault="00AF69CF" w:rsidP="00AF69CF">
      <w:pPr>
        <w:ind w:firstLine="720"/>
      </w:pPr>
      <w:r>
        <w:t xml:space="preserve">Technology maturity level seems closely associated with risk.  </w:t>
      </w:r>
      <w:proofErr w:type="gramStart"/>
      <w:r w:rsidR="00BB4D68">
        <w:t>According to</w:t>
      </w:r>
      <w:proofErr w:type="gramEnd"/>
      <w:r w:rsidR="00BB4D68">
        <w:t xml:space="preserve">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proofErr w:type="spellStart"/>
      <w:r w:rsidR="007D1AA6" w:rsidRPr="007D134A">
        <w:t>Speser</w:t>
      </w:r>
      <w:proofErr w:type="spellEnd"/>
      <w:r w:rsidR="007D1AA6" w:rsidRPr="007D134A">
        <w:t xml:space="preserve"> (2006) also discussed these differences in kinds of risk and included firm-specific risk as a third type.  </w:t>
      </w:r>
      <w:proofErr w:type="spellStart"/>
      <w:r w:rsidR="007D1AA6" w:rsidRPr="007D134A">
        <w:t>Speser</w:t>
      </w:r>
      <w:proofErr w:type="spellEnd"/>
      <w:r w:rsidR="007D1AA6" w:rsidRPr="007D134A">
        <w:t xml:space="preserve">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 xml:space="preserve">demand.  No one will care.  In both cases, </w:t>
      </w:r>
      <w:proofErr w:type="gramStart"/>
      <w:r w:rsidRPr="007D134A">
        <w:t>the final result</w:t>
      </w:r>
      <w:proofErr w:type="gramEnd"/>
      <w:r w:rsidRPr="007D134A">
        <w:t xml:space="preserve">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 xml:space="preserve">of new technologies (Mankins, 2009).  This provided a way for the agency to determine which technologies were appropriate for consideration and inclusion in vehicles and systems for space missions.  Stan </w:t>
      </w:r>
      <w:proofErr w:type="spellStart"/>
      <w:r>
        <w:t>Sadin</w:t>
      </w:r>
      <w:proofErr w:type="spellEnd"/>
      <w:r>
        <w:t xml:space="preserve"> of the Office of Aeronautics and Space Technology is credited with devising the original TRL scale, which consisted of seven levels, each with a brief one-line definition (</w:t>
      </w:r>
      <w:proofErr w:type="spellStart"/>
      <w:r>
        <w:t>Banke</w:t>
      </w:r>
      <w:proofErr w:type="spellEnd"/>
      <w:r>
        <w:t>,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proofErr w:type="spellStart"/>
      <w:r>
        <w:t>Speser</w:t>
      </w:r>
      <w:proofErr w:type="spellEnd"/>
      <w:r>
        <w:t xml:space="preserve">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w:t>
      </w:r>
      <w:proofErr w:type="spellStart"/>
      <w:r>
        <w:t>Olechowski</w:t>
      </w:r>
      <w:proofErr w:type="spellEnd"/>
      <w:r>
        <w:t xml:space="preserve">, </w:t>
      </w:r>
      <w:proofErr w:type="spellStart"/>
      <w:r>
        <w:t>Eppinger</w:t>
      </w:r>
      <w:proofErr w:type="spellEnd"/>
      <w:r>
        <w:t xml:space="preserve">, </w:t>
      </w:r>
      <w:proofErr w:type="spellStart"/>
      <w:r>
        <w:t>Tomascheck</w:t>
      </w:r>
      <w:proofErr w:type="spellEnd"/>
      <w:r>
        <w:t xml:space="preserve">, and </w:t>
      </w:r>
      <w:proofErr w:type="spellStart"/>
      <w:r>
        <w:t>Joglekar</w:t>
      </w:r>
      <w:proofErr w:type="spellEnd"/>
      <w:r>
        <w:t xml:space="preserve">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proofErr w:type="spellStart"/>
      <w:r w:rsidRPr="00050F77">
        <w:t>Olechowski</w:t>
      </w:r>
      <w:proofErr w:type="spellEnd"/>
      <w:r w:rsidRPr="00050F77">
        <w:t xml:space="preserve">, </w:t>
      </w:r>
      <w:proofErr w:type="spellStart"/>
      <w:r w:rsidRPr="00050F77">
        <w:t>Eppinger</w:t>
      </w:r>
      <w:proofErr w:type="spellEnd"/>
      <w:r w:rsidRPr="00050F77">
        <w:t xml:space="preserve">, </w:t>
      </w:r>
      <w:proofErr w:type="spellStart"/>
      <w:r w:rsidRPr="00050F77">
        <w:t>Tomascheck</w:t>
      </w:r>
      <w:proofErr w:type="spellEnd"/>
      <w:r w:rsidRPr="00050F77">
        <w:t xml:space="preserve">, and </w:t>
      </w:r>
      <w:proofErr w:type="spellStart"/>
      <w:r w:rsidRPr="00050F77">
        <w:t>Joglekar</w:t>
      </w:r>
      <w:proofErr w:type="spellEnd"/>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proofErr w:type="spellStart"/>
      <w:r w:rsidRPr="004E02FC">
        <w:t>Olechowski</w:t>
      </w:r>
      <w:proofErr w:type="spellEnd"/>
      <w:r w:rsidRPr="004E02FC">
        <w:t xml:space="preserve">, </w:t>
      </w:r>
      <w:proofErr w:type="spellStart"/>
      <w:r w:rsidRPr="004E02FC">
        <w:t>Eppinger</w:t>
      </w:r>
      <w:proofErr w:type="spellEnd"/>
      <w:r w:rsidRPr="004E02FC">
        <w:t xml:space="preserve">, </w:t>
      </w:r>
      <w:proofErr w:type="spellStart"/>
      <w:r w:rsidRPr="004E02FC">
        <w:t>Tomascheck</w:t>
      </w:r>
      <w:proofErr w:type="spellEnd"/>
      <w:r w:rsidRPr="004E02FC">
        <w:t xml:space="preserve">, and </w:t>
      </w:r>
      <w:proofErr w:type="spellStart"/>
      <w:r w:rsidRPr="004E02FC">
        <w:t>Joglekar</w:t>
      </w:r>
      <w:proofErr w:type="spellEnd"/>
      <w:r w:rsidRPr="004E02FC">
        <w:t xml:space="preserve"> </w:t>
      </w:r>
      <w:r>
        <w:t>speculated that addressing these challenges could substantially improve decisions practices and outcomes in complex engineering undertakings.</w:t>
      </w:r>
    </w:p>
    <w:p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w:t>
      </w:r>
      <w:proofErr w:type="gramStart"/>
      <w:r w:rsidR="00780AD6">
        <w:t>transfer in particular</w:t>
      </w:r>
      <w:proofErr w:type="gramEnd"/>
      <w:r w:rsidR="00782770">
        <w:t>.</w:t>
      </w:r>
    </w:p>
    <w:p w:rsidR="00100B5B" w:rsidRPr="00E4317F" w:rsidRDefault="00100B5B" w:rsidP="00100B5B">
      <w:pPr>
        <w:pStyle w:val="LiteratureReviewHeader2Bold"/>
      </w:pPr>
      <w:bookmarkStart w:id="13" w:name="_Toc54529841"/>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w:t>
      </w:r>
      <w:proofErr w:type="spellStart"/>
      <w:r w:rsidR="00334099">
        <w:t>Cyert</w:t>
      </w:r>
      <w:proofErr w:type="spellEnd"/>
      <w:r w:rsidR="00334099">
        <w:t xml:space="preserve">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4529842"/>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rsidR="00AD1596" w:rsidRDefault="00D477BA" w:rsidP="00615E78">
      <w:pPr>
        <w:pStyle w:val="LiteratureReviewHeader2Bold"/>
      </w:pPr>
      <w:bookmarkStart w:id="15" w:name="_Toc54529843"/>
      <w:r>
        <w:t>Determinants of Success in University Technology Transfer</w:t>
      </w:r>
      <w:bookmarkEnd w:id="15"/>
    </w:p>
    <w:p w:rsidR="007E7C3B" w:rsidRDefault="007A06D2" w:rsidP="00496CEA">
      <w:r>
        <w:tab/>
      </w:r>
      <w:r w:rsidR="007E7C3B">
        <w:t xml:space="preserve">The technology transfer literature is vast.  Fortunately, several scholars have performed bibliometric reviews of the literature that </w:t>
      </w:r>
      <w:r w:rsidR="00BF75C5">
        <w:t xml:space="preserve">summarize the body of knowledge and help to make sense of it all (see e.g., </w:t>
      </w:r>
      <w:proofErr w:type="spellStart"/>
      <w:r w:rsidR="00BF75C5">
        <w:t>Battistella</w:t>
      </w:r>
      <w:proofErr w:type="spellEnd"/>
      <w:r w:rsidR="00BF75C5">
        <w:t xml:space="preserve">, De Toni, &amp; </w:t>
      </w:r>
      <w:proofErr w:type="spellStart"/>
      <w:r w:rsidR="00BF75C5">
        <w:t>Pillon</w:t>
      </w:r>
      <w:proofErr w:type="spellEnd"/>
      <w:r w:rsidR="00BF75C5">
        <w:t xml:space="preserve">, 2016; </w:t>
      </w:r>
      <w:proofErr w:type="spellStart"/>
      <w:r w:rsidR="00BF75C5">
        <w:t>Bengoa</w:t>
      </w:r>
      <w:proofErr w:type="spellEnd"/>
      <w:r w:rsidR="00BF75C5">
        <w:t xml:space="preserve">, </w:t>
      </w:r>
      <w:proofErr w:type="spellStart"/>
      <w:r w:rsidR="00BF75C5">
        <w:t>Maseda</w:t>
      </w:r>
      <w:proofErr w:type="spellEnd"/>
      <w:r w:rsidR="00BF75C5">
        <w:t xml:space="preserve">, </w:t>
      </w:r>
      <w:proofErr w:type="spellStart"/>
      <w:r w:rsidR="00BF75C5">
        <w:t>Iturralde</w:t>
      </w:r>
      <w:proofErr w:type="spellEnd"/>
      <w:r w:rsidR="00BF75C5">
        <w:t xml:space="preserve">, &amp; </w:t>
      </w:r>
      <w:proofErr w:type="spellStart"/>
      <w:r w:rsidR="00BF75C5">
        <w:t>Aparicio</w:t>
      </w:r>
      <w:proofErr w:type="spellEnd"/>
      <w:r w:rsidR="00BF75C5">
        <w:t>,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and not private sector organizations that acquire and assimilate the technology (</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w:t>
      </w:r>
      <w:proofErr w:type="spellStart"/>
      <w:r w:rsidR="0000675F">
        <w:t>Aparicio</w:t>
      </w:r>
      <w:proofErr w:type="spellEnd"/>
      <w:r w:rsidR="0000675F">
        <w:t xml:space="preserve">).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proofErr w:type="spellStart"/>
      <w:r w:rsidR="00F26754">
        <w:t>Bengoa</w:t>
      </w:r>
      <w:proofErr w:type="spellEnd"/>
      <w:r w:rsidR="00F26754">
        <w:t xml:space="preserve">, </w:t>
      </w:r>
      <w:proofErr w:type="spellStart"/>
      <w:r w:rsidR="00F26754">
        <w:t>Maseda</w:t>
      </w:r>
      <w:proofErr w:type="spellEnd"/>
      <w:r w:rsidR="00F26754">
        <w:t xml:space="preserve">, </w:t>
      </w:r>
      <w:proofErr w:type="spellStart"/>
      <w:r w:rsidR="00F26754">
        <w:t>Iturralde</w:t>
      </w:r>
      <w:proofErr w:type="spellEnd"/>
      <w:r w:rsidR="00F26754">
        <w:t xml:space="preserve">, &amp; </w:t>
      </w:r>
      <w:proofErr w:type="spellStart"/>
      <w:r w:rsidR="00F26754">
        <w:t>Aparicio</w:t>
      </w:r>
      <w:proofErr w:type="spellEnd"/>
      <w:r w:rsidR="00F26754">
        <w:t>,</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w:t>
      </w:r>
      <w:proofErr w:type="spellStart"/>
      <w:r w:rsidR="0000675F">
        <w:t>Aparicio</w:t>
      </w:r>
      <w:proofErr w:type="spellEnd"/>
      <w:r w:rsidR="0000675F">
        <w:t>)</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proofErr w:type="spellStart"/>
      <w:r>
        <w:t>Anatan</w:t>
      </w:r>
      <w:proofErr w:type="spellEnd"/>
      <w:r>
        <w:t xml:space="preserve"> (2015) identified transaction cost economic theory, the resource-based view, and the knowledge-based view as three major theories in the literature used to explain university to industry knowledge transfer in the context of alliances.  </w:t>
      </w:r>
      <w:proofErr w:type="spellStart"/>
      <w:r>
        <w:t>Anatan</w:t>
      </w:r>
      <w:proofErr w:type="spellEnd"/>
      <w:r>
        <w:t xml:space="preserve"> </w:t>
      </w:r>
      <w:r w:rsidRPr="008A41BC">
        <w:t xml:space="preserve">proposed institutional theory as an alternative framework for explaining factors that affect the university to industry </w:t>
      </w:r>
      <w:r>
        <w:t xml:space="preserve">knowledge transfer process.  </w:t>
      </w:r>
      <w:proofErr w:type="spellStart"/>
      <w:r>
        <w:t>Anatan</w:t>
      </w:r>
      <w:proofErr w:type="spellEnd"/>
      <w:r w:rsidRPr="008A41BC">
        <w:t xml:space="preserve"> argued that external environmental forces pressure organizations to form alliances to enable university to industry knowledge transfer.</w:t>
      </w:r>
    </w:p>
    <w:p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w:t>
      </w:r>
      <w:r w:rsidR="00221734">
        <w:t>gnificant inadequacies with these data.  The AUTM data are</w:t>
      </w:r>
      <w:r w:rsidR="00FD3AE7">
        <w:t xml:space="preserve"> voluntarily self-reported, not independently verified or validated, and likely inaccurate and biased because of inconsistencies in reporting across institutions (</w:t>
      </w:r>
      <w:proofErr w:type="spellStart"/>
      <w:r w:rsidR="00FD3AE7" w:rsidRPr="00FD3AE7">
        <w:rPr>
          <w:rFonts w:eastAsia="Calibri"/>
          <w:iCs/>
        </w:rPr>
        <w:t>Sigurdson</w:t>
      </w:r>
      <w:proofErr w:type="spellEnd"/>
      <w:r w:rsidR="00FD3AE7" w:rsidRPr="00FD3AE7">
        <w:rPr>
          <w:rFonts w:eastAsia="Calibri"/>
          <w:iCs/>
        </w:rPr>
        <w:t xml:space="preserve">, Sá, &amp; </w:t>
      </w:r>
      <w:proofErr w:type="spellStart"/>
      <w:r w:rsidR="00FD3AE7" w:rsidRPr="00FD3AE7">
        <w:rPr>
          <w:rFonts w:eastAsia="Calibri"/>
          <w:iCs/>
        </w:rPr>
        <w:t>Kretz</w:t>
      </w:r>
      <w:proofErr w:type="spellEnd"/>
      <w:r w:rsidR="00FD3AE7" w:rsidRPr="00FD3AE7">
        <w:rPr>
          <w:rFonts w:eastAsia="Calibri"/>
          <w:iCs/>
        </w:rPr>
        <w:t>, 2015</w:t>
      </w:r>
      <w:r w:rsidR="00FD3AE7">
        <w:rPr>
          <w:rFonts w:eastAsia="Calibri"/>
          <w:iCs/>
        </w:rPr>
        <w:t>).</w:t>
      </w:r>
    </w:p>
    <w:p w:rsidR="00124582" w:rsidRDefault="0088623B" w:rsidP="001F4643">
      <w:pPr>
        <w:ind w:firstLine="720"/>
        <w:rPr>
          <w:rFonts w:eastAsia="Calibri"/>
        </w:rPr>
      </w:pPr>
      <w:proofErr w:type="spellStart"/>
      <w:r>
        <w:t>Arshadi</w:t>
      </w:r>
      <w:proofErr w:type="spellEnd"/>
      <w:r>
        <w:t xml:space="preserve">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w:t>
      </w:r>
      <w:proofErr w:type="spellStart"/>
      <w:r w:rsidR="00C260E9">
        <w:t>Carlsson</w:t>
      </w:r>
      <w:proofErr w:type="spellEnd"/>
      <w:r w:rsidR="00C260E9">
        <w:t xml:space="preserve"> and </w:t>
      </w:r>
      <w:proofErr w:type="spellStart"/>
      <w:r w:rsidR="00C260E9">
        <w:t>Fridh</w:t>
      </w:r>
      <w:proofErr w:type="spellEnd"/>
      <w:r w:rsidR="00C260E9">
        <w:t xml:space="preserve">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proofErr w:type="spellStart"/>
      <w:r w:rsidR="00625A71">
        <w:t>Heisey</w:t>
      </w:r>
      <w:proofErr w:type="spellEnd"/>
      <w:r w:rsidR="00625A71">
        <w:t xml:space="preserve">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p>
    <w:p w:rsidR="00C260E9" w:rsidRDefault="00124582" w:rsidP="001F4643">
      <w:pPr>
        <w:ind w:firstLine="720"/>
      </w:pPr>
      <w:proofErr w:type="spellStart"/>
      <w:r>
        <w:rPr>
          <w:rFonts w:eastAsia="Calibri"/>
        </w:rPr>
        <w:t>Markman</w:t>
      </w:r>
      <w:proofErr w:type="spellEnd"/>
      <w:r>
        <w:rPr>
          <w:rFonts w:eastAsia="Calibri"/>
        </w:rPr>
        <w:t xml:space="preserve">, </w:t>
      </w:r>
      <w:proofErr w:type="spellStart"/>
      <w:r>
        <w:rPr>
          <w:rFonts w:eastAsia="Calibri"/>
        </w:rPr>
        <w:t>Gianiodis</w:t>
      </w:r>
      <w:proofErr w:type="spellEnd"/>
      <w:r>
        <w:rPr>
          <w:rFonts w:eastAsia="Calibri"/>
        </w:rPr>
        <w:t xml:space="preserve">,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 xml:space="preserve">interviews and content analysis of the websites of licensing units conducted by the authors.  </w:t>
      </w:r>
      <w:proofErr w:type="spellStart"/>
      <w:r w:rsidRPr="00124582">
        <w:rPr>
          <w:rFonts w:eastAsia="Calibri"/>
        </w:rPr>
        <w:t>Markman</w:t>
      </w:r>
      <w:proofErr w:type="spellEnd"/>
      <w:r w:rsidRPr="00124582">
        <w:rPr>
          <w:rFonts w:eastAsia="Calibri"/>
        </w:rPr>
        <w:t xml:space="preserve">, </w:t>
      </w:r>
      <w:proofErr w:type="spellStart"/>
      <w:r w:rsidRPr="00124582">
        <w:rPr>
          <w:rFonts w:eastAsia="Calibri"/>
        </w:rPr>
        <w:t>Gianiodis</w:t>
      </w:r>
      <w:proofErr w:type="spellEnd"/>
      <w:r w:rsidRPr="00124582">
        <w:rPr>
          <w:rFonts w:eastAsia="Calibri"/>
        </w:rPr>
        <w:t>,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w:t>
      </w:r>
      <w:proofErr w:type="spellStart"/>
      <w:r>
        <w:t>Reymen</w:t>
      </w:r>
      <w:proofErr w:type="spellEnd"/>
      <w:r>
        <w:t xml:space="preserve">, &amp; </w:t>
      </w:r>
      <w:proofErr w:type="spellStart"/>
      <w:r>
        <w:t>Romme</w:t>
      </w:r>
      <w:proofErr w:type="spellEnd"/>
      <w:r>
        <w:t xml:space="preserv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w:t>
      </w:r>
      <w:r w:rsidR="00135E8E">
        <w:t>The authors operationalized appearance in terms of how professional and well-groomed a person looked.  They</w:t>
      </w:r>
      <w:r w:rsidR="007027BE">
        <w:t xml:space="preserve"> found a statistically </w:t>
      </w:r>
      <w:r w:rsidR="007027BE">
        <w:lastRenderedPageBreak/>
        <w:t xml:space="preserve">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proofErr w:type="spellStart"/>
      <w:r w:rsidR="005E2F8F">
        <w:t>Arshadi</w:t>
      </w:r>
      <w:proofErr w:type="spellEnd"/>
      <w:r w:rsidR="005E2F8F">
        <w:t xml:space="preserve">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proofErr w:type="spellStart"/>
      <w:r>
        <w:t>Heisey</w:t>
      </w:r>
      <w:proofErr w:type="spellEnd"/>
      <w:r>
        <w:t xml:space="preserve">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w:t>
      </w:r>
      <w:proofErr w:type="spellStart"/>
      <w:r w:rsidR="00E93F6D" w:rsidRPr="00E93F6D">
        <w:t>Pernía</w:t>
      </w:r>
      <w:proofErr w:type="spellEnd"/>
      <w:r w:rsidR="00E93F6D" w:rsidRPr="00E93F6D">
        <w:t xml:space="preserve">, </w:t>
      </w:r>
      <w:proofErr w:type="spellStart"/>
      <w:r w:rsidR="00E93F6D" w:rsidRPr="00E93F6D">
        <w:t>Kuechle</w:t>
      </w:r>
      <w:proofErr w:type="spellEnd"/>
      <w:r w:rsidR="00E93F6D" w:rsidRPr="00E93F6D">
        <w:t>, &amp; Peñ</w:t>
      </w:r>
      <w:r w:rsidR="00E93F6D">
        <w:t>a-</w:t>
      </w:r>
      <w:proofErr w:type="spellStart"/>
      <w:r w:rsidR="00E93F6D">
        <w:t>Legazkue</w:t>
      </w:r>
      <w:proofErr w:type="spellEnd"/>
      <w:r w:rsidR="00E93F6D">
        <w:t>, 2013</w:t>
      </w:r>
      <w:r w:rsidR="001F4643" w:rsidRPr="00A22400">
        <w:t xml:space="preserve">; </w:t>
      </w:r>
      <w:r w:rsidR="00F640F9">
        <w:t xml:space="preserve">Kim, </w:t>
      </w:r>
      <w:proofErr w:type="spellStart"/>
      <w:r w:rsidR="00F640F9">
        <w:t>Daim</w:t>
      </w:r>
      <w:proofErr w:type="spellEnd"/>
      <w:r w:rsidR="00F640F9">
        <w:t>,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w:t>
      </w:r>
      <w:r w:rsidR="001F4643" w:rsidRPr="00A22400">
        <w:lastRenderedPageBreak/>
        <w:t>size, office autonomy, university specialization, and entrepren</w:t>
      </w:r>
      <w:r w:rsidR="00FF3B3E">
        <w:t>eurship-related infrastructure.</w:t>
      </w:r>
      <w:r w:rsidR="00D44D86">
        <w:t xml:space="preserve">  </w:t>
      </w:r>
      <w:r w:rsidR="00A56BF6" w:rsidRPr="005E2F8F">
        <w:rPr>
          <w:iCs/>
        </w:rPr>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rsidR="00124582" w:rsidRDefault="00AC2476" w:rsidP="00124582">
      <w:pPr>
        <w:ind w:firstLine="720"/>
      </w:pPr>
      <w:r>
        <w:t xml:space="preserve">York and </w:t>
      </w:r>
      <w:proofErr w:type="spellStart"/>
      <w:r>
        <w:t>Ahn</w:t>
      </w:r>
      <w:proofErr w:type="spellEnd"/>
      <w:r>
        <w:t xml:space="preserve">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4529844"/>
      <w:r>
        <w:t>Technology Maturity Level</w:t>
      </w:r>
      <w:r w:rsidR="0082167C">
        <w:t xml:space="preserve"> as an Understudied Explanatory Factor</w:t>
      </w:r>
      <w:bookmarkEnd w:id="16"/>
    </w:p>
    <w:p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proofErr w:type="spellStart"/>
      <w:r w:rsidRPr="00D872BD">
        <w:t>Munteanu</w:t>
      </w:r>
      <w:proofErr w:type="spellEnd"/>
      <w:r w:rsidRPr="00D872BD">
        <w:t xml:space="preserve">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xml:space="preserve">, </w:t>
      </w:r>
      <w:proofErr w:type="spellStart"/>
      <w:r>
        <w:t>Munteanu</w:t>
      </w:r>
      <w:proofErr w:type="spellEnd"/>
      <w:r w:rsidRPr="00D872BD">
        <w:t xml:space="preserve"> found </w:t>
      </w:r>
      <w:r>
        <w:t>that t</w:t>
      </w:r>
      <w:r w:rsidRPr="00D872BD">
        <w:t xml:space="preserve">he odds ratio of </w:t>
      </w:r>
      <w:r w:rsidR="00D50DBA">
        <w:t xml:space="preserve">invention </w:t>
      </w:r>
      <w:r w:rsidRPr="00D872BD">
        <w:t xml:space="preserve">licensing by startup firms relative to invention licensing by established firms </w:t>
      </w:r>
      <w:r w:rsidRPr="00D872BD">
        <w:lastRenderedPageBreak/>
        <w:t>was lower for later stage inventions and higher for earlier stage inventions.  Invention licensing by established firms was positively correlated with later invention development stage.</w:t>
      </w:r>
      <w:r w:rsidR="006410AD">
        <w:t xml:space="preserve">  </w:t>
      </w:r>
    </w:p>
    <w:p w:rsidR="00724604" w:rsidRDefault="006410AD" w:rsidP="00724604">
      <w:pPr>
        <w:ind w:firstLine="720"/>
      </w:pPr>
      <w:proofErr w:type="spellStart"/>
      <w:r>
        <w:t>Munteanu</w:t>
      </w:r>
      <w:proofErr w:type="spellEnd"/>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 xml:space="preserve">Moreover, there are several issues with the approach </w:t>
      </w:r>
      <w:proofErr w:type="spellStart"/>
      <w:r w:rsidR="00F01DC5">
        <w:t>Munteanu</w:t>
      </w:r>
      <w:proofErr w:type="spellEnd"/>
      <w:r w:rsidR="00F01DC5">
        <w:t xml:space="preserve"> used that the p</w:t>
      </w:r>
      <w:r w:rsidR="00760C54">
        <w:t xml:space="preserve">roposed study addresses.  </w:t>
      </w:r>
    </w:p>
    <w:p w:rsidR="009A198C" w:rsidRDefault="00724604" w:rsidP="009A198C">
      <w:pPr>
        <w:ind w:firstLine="720"/>
      </w:pPr>
      <w:r>
        <w:t xml:space="preserve">While </w:t>
      </w:r>
      <w:proofErr w:type="spellStart"/>
      <w:r w:rsidR="009A198C">
        <w:t>Munteanu</w:t>
      </w:r>
      <w:proofErr w:type="spellEnd"/>
      <w:r w:rsidR="009A198C">
        <w:t xml:space="preserve"> (2012) provide</w:t>
      </w:r>
      <w:r>
        <w:t>s useful insight into the topic,</w:t>
      </w:r>
      <w:r w:rsidR="009A198C">
        <w:t xml:space="preserve"> there are important differences between the research </w:t>
      </w:r>
      <w:r>
        <w:t xml:space="preserve">design used by </w:t>
      </w:r>
      <w:proofErr w:type="spellStart"/>
      <w:r>
        <w:t>Munteanu</w:t>
      </w:r>
      <w:proofErr w:type="spellEnd"/>
      <w:r>
        <w:t xml:space="preserve"> and the proposed</w:t>
      </w:r>
      <w:r w:rsidR="009A198C">
        <w:t xml:space="preserve"> study.  These differences have implications for the generalizability of the results and their usefulness in formulating public policy. </w:t>
      </w:r>
      <w:r>
        <w:t xml:space="preserve">  In applying economics-based rational choice theory, </w:t>
      </w:r>
      <w:proofErr w:type="spellStart"/>
      <w:r w:rsidR="009A198C">
        <w:t>Munteanu</w:t>
      </w:r>
      <w:proofErr w:type="spellEnd"/>
      <w:r w:rsidR="009A198C">
        <w:t xml:space="preserve">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w:t>
      </w:r>
      <w:proofErr w:type="spellStart"/>
      <w:r w:rsidR="009A198C">
        <w:t>Munteanu</w:t>
      </w:r>
      <w:proofErr w:type="spellEnd"/>
      <w:r w:rsidR="009A198C">
        <w:t xml:space="preserve"> used as the basis for classifying each case in the analysis.  </w:t>
      </w:r>
    </w:p>
    <w:p w:rsidR="009A198C" w:rsidRDefault="009A198C" w:rsidP="009A198C">
      <w:pPr>
        <w:ind w:firstLine="720"/>
      </w:pPr>
      <w:proofErr w:type="spellStart"/>
      <w:r>
        <w:t>Munteanu</w:t>
      </w:r>
      <w:proofErr w:type="spellEnd"/>
      <w:r>
        <w:t xml:space="preserve">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 xml:space="preserve">These </w:t>
      </w:r>
      <w:proofErr w:type="spellStart"/>
      <w:r w:rsidR="003E1DF8">
        <w:t>operationalizations</w:t>
      </w:r>
      <w:proofErr w:type="spellEnd"/>
      <w:r w:rsidR="003E1DF8">
        <w:t xml:space="preserve"> are</w:t>
      </w:r>
      <w:r>
        <w:t xml:space="preserve"> typical of te</w:t>
      </w:r>
      <w:r w:rsidR="003E1DF8">
        <w:t>chnology transfer studies but are</w:t>
      </w:r>
      <w:r>
        <w:t xml:space="preserve"> perhaps overly narrow.  </w:t>
      </w:r>
      <w:r w:rsidR="0094754F">
        <w:t>The study used d</w:t>
      </w:r>
      <w:r>
        <w:t>evelopment stage</w:t>
      </w:r>
      <w:r w:rsidR="0094754F">
        <w:t xml:space="preserve"> to </w:t>
      </w:r>
      <w:r w:rsidR="0094754F">
        <w:lastRenderedPageBreak/>
        <w:t>operationalize technology maturity level, which</w:t>
      </w:r>
      <w:r>
        <w:t xml:space="preserve"> was the primary explanatory variable</w:t>
      </w:r>
      <w:r w:rsidR="0094754F">
        <w:t xml:space="preserve"> of interest</w:t>
      </w:r>
      <w:r>
        <w:t xml:space="preserve">.  </w:t>
      </w:r>
      <w:proofErr w:type="spellStart"/>
      <w:r>
        <w:t>Munteanu</w:t>
      </w:r>
      <w:proofErr w:type="spellEnd"/>
      <w:r>
        <w:t xml:space="preserve"> used an ordinal level of measure for development stage and a scale </w:t>
      </w:r>
      <w:r w:rsidR="0094754F">
        <w:t xml:space="preserve">that he </w:t>
      </w:r>
      <w:r>
        <w:t xml:space="preserve">conceived.  However, there is no evidence that any type of validity analysis was performed for this scale.  The scale itself is somewhat arbitrary and subjective.  The analysis included several control variables related to the characteristics of the inventor and the type of invention.  </w:t>
      </w:r>
      <w:proofErr w:type="spellStart"/>
      <w:r>
        <w:t>Munteanu</w:t>
      </w:r>
      <w:proofErr w:type="spellEnd"/>
      <w:r>
        <w:t xml:space="preserve">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w:t>
      </w:r>
      <w:proofErr w:type="spellStart"/>
      <w:r w:rsidR="0094754F">
        <w:t>Munteanu</w:t>
      </w:r>
      <w:proofErr w:type="spellEnd"/>
      <w:r w:rsidR="0094754F">
        <w:t xml:space="preserve"> </w:t>
      </w:r>
      <w:r>
        <w:t xml:space="preserve">used were somewhat arbitrary and subjective.  Again, there is no evidence that any type of validity analysis was conducted for the nominal categories.  The data used in </w:t>
      </w:r>
      <w:proofErr w:type="spellStart"/>
      <w:r>
        <w:t>Munteanu</w:t>
      </w:r>
      <w:proofErr w:type="spellEnd"/>
      <w:r>
        <w:t xml:space="preserve">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 xml:space="preserve">The research question examined by </w:t>
      </w:r>
      <w:proofErr w:type="spellStart"/>
      <w:r>
        <w:t>Munteanu</w:t>
      </w:r>
      <w:proofErr w:type="spellEnd"/>
      <w:r>
        <w:t xml:space="preserve"> (2012) was whether there are differences in the types of technologies pursued by established firms compared to startup firms.  However, the criteria for what constitutes an established firm versus a startup firm was not specified.  </w:t>
      </w:r>
      <w:proofErr w:type="spellStart"/>
      <w:r>
        <w:t>Munteanu</w:t>
      </w:r>
      <w:proofErr w:type="spellEnd"/>
      <w:r>
        <w:t xml:space="preserve"> theorized that under the theory of comparative advantage, established firms and startup firms would seek to acquire technologies of different development stages.  </w:t>
      </w:r>
      <w:proofErr w:type="spellStart"/>
      <w:r>
        <w:t>Munteanu</w:t>
      </w:r>
      <w:proofErr w:type="spellEnd"/>
      <w:r>
        <w:t xml:space="preserve">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rsidR="009A198C" w:rsidRDefault="009A198C" w:rsidP="009A198C">
      <w:pPr>
        <w:ind w:firstLine="720"/>
      </w:pPr>
      <w:r>
        <w:lastRenderedPageBreak/>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w:t>
      </w:r>
      <w:proofErr w:type="spellStart"/>
      <w:r>
        <w:t>Munteanu</w:t>
      </w:r>
      <w:proofErr w:type="spellEnd"/>
      <w:r>
        <w:t xml:space="preserve"> applied these assumptions without providing any evidence of their reasonableness.  </w:t>
      </w:r>
    </w:p>
    <w:p w:rsidR="009A198C" w:rsidRDefault="009A198C" w:rsidP="009A198C">
      <w:pPr>
        <w:ind w:firstLine="720"/>
      </w:pPr>
      <w:proofErr w:type="spellStart"/>
      <w:r>
        <w:t>Munteanu</w:t>
      </w:r>
      <w:proofErr w:type="spellEnd"/>
      <w:r>
        <w:t xml:space="preserve">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w:t>
      </w:r>
      <w:proofErr w:type="spellStart"/>
      <w:r>
        <w:t>Munteanu</w:t>
      </w:r>
      <w:proofErr w:type="spellEnd"/>
      <w:r>
        <w:t xml:space="preserve"> (2012) does not specifically answer the research question put forward </w:t>
      </w:r>
      <w:r w:rsidR="000507CA">
        <w:t>by</w:t>
      </w:r>
      <w:r>
        <w:t xml:space="preserve"> the proposed study.  </w:t>
      </w:r>
      <w:r w:rsidRPr="00C931E3">
        <w:t xml:space="preserve">The nature of the sample used by </w:t>
      </w:r>
      <w:proofErr w:type="spellStart"/>
      <w:r w:rsidRPr="00C931E3">
        <w:t>Munteanu</w:t>
      </w:r>
      <w:proofErr w:type="spellEnd"/>
      <w:r w:rsidRPr="00C931E3">
        <w:t xml:space="preserve"> significantly limits the generalizability of the study’s results.</w:t>
      </w:r>
      <w:r>
        <w:t xml:space="preserve">  Moreover, the study by </w:t>
      </w:r>
      <w:proofErr w:type="spellStart"/>
      <w:r>
        <w:t>Munteanu</w:t>
      </w:r>
      <w:proofErr w:type="spellEnd"/>
      <w:r>
        <w:t xml:space="preserve"> only establishes correlation, not causation.  Although the results obtained by </w:t>
      </w:r>
      <w:proofErr w:type="spellStart"/>
      <w:r>
        <w:t>Munteanu</w:t>
      </w:r>
      <w:proofErr w:type="spellEnd"/>
      <w:r>
        <w:t xml:space="preserve">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w:t>
      </w:r>
      <w:proofErr w:type="gramStart"/>
      <w:r>
        <w:t>actually prefer</w:t>
      </w:r>
      <w:proofErr w:type="gramEnd"/>
      <w:r>
        <w:t xml:space="preserve">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lastRenderedPageBreak/>
        <w:t xml:space="preserve">uncertainty surrounding how </w:t>
      </w:r>
      <w:proofErr w:type="spellStart"/>
      <w:r>
        <w:t>Munteneau</w:t>
      </w:r>
      <w:proofErr w:type="spellEnd"/>
      <w:r>
        <w:t xml:space="preserve">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proofErr w:type="spellStart"/>
      <w:r>
        <w:t>Baek</w:t>
      </w:r>
      <w:proofErr w:type="spellEnd"/>
      <w:r>
        <w:t xml:space="preserve">,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w:t>
      </w:r>
      <w:proofErr w:type="spellStart"/>
      <w:r>
        <w:t>Baek</w:t>
      </w:r>
      <w:proofErr w:type="spellEnd"/>
      <w:r>
        <w:t xml:space="preserve">,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w:t>
      </w:r>
      <w:r w:rsidR="009A198C">
        <w:lastRenderedPageBreak/>
        <w:t>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w:t>
      </w:r>
      <w:proofErr w:type="spellStart"/>
      <w:r w:rsidR="005408A7">
        <w:t>Olechowski</w:t>
      </w:r>
      <w:proofErr w:type="spellEnd"/>
      <w:r w:rsidR="005408A7">
        <w:t xml:space="preserve">, </w:t>
      </w:r>
      <w:proofErr w:type="spellStart"/>
      <w:r w:rsidR="005408A7">
        <w:t>Eppinger</w:t>
      </w:r>
      <w:proofErr w:type="spellEnd"/>
      <w:r w:rsidR="005408A7">
        <w:t xml:space="preserve">, &amp; </w:t>
      </w:r>
      <w:proofErr w:type="spellStart"/>
      <w:r w:rsidR="005408A7">
        <w:t>Joglekar</w:t>
      </w:r>
      <w:proofErr w:type="spellEnd"/>
      <w:r w:rsidR="005408A7">
        <w:t>,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t>
      </w:r>
      <w:r w:rsidRPr="003F55E8">
        <w:lastRenderedPageBreak/>
        <w:t xml:space="preserve">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lastRenderedPageBreak/>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4529845"/>
      <w:r>
        <w:t>The Valley of Death in University Technology Transfer</w:t>
      </w:r>
      <w:bookmarkEnd w:id="17"/>
    </w:p>
    <w:p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w:t>
      </w:r>
      <w:r w:rsidRPr="00805CD2">
        <w:lastRenderedPageBreak/>
        <w:t xml:space="preserve">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 xml:space="preserve">which there is user demand (see, e.g., Ferguson, 2014; </w:t>
      </w:r>
      <w:proofErr w:type="spellStart"/>
      <w:r>
        <w:t>Gildbrandsen</w:t>
      </w:r>
      <w:proofErr w:type="spellEnd"/>
      <w:r>
        <w:t xml:space="preserve">, 2009; Hudson &amp; </w:t>
      </w:r>
      <w:proofErr w:type="spellStart"/>
      <w:r>
        <w:t>Khazragui</w:t>
      </w:r>
      <w:proofErr w:type="spellEnd"/>
      <w:r>
        <w:t>, 2013)</w:t>
      </w:r>
      <w:r w:rsidRPr="00805CD2">
        <w:t>.  Many technology transfer professionals point to this gap as a primary impediment to successfully transferring tech</w:t>
      </w:r>
      <w:r>
        <w:t>nologies to the private sector.</w:t>
      </w:r>
    </w:p>
    <w:p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w:t>
      </w:r>
      <w:proofErr w:type="spellStart"/>
      <w:r>
        <w:t>Aiman</w:t>
      </w:r>
      <w:proofErr w:type="spellEnd"/>
      <w:r>
        <w:t xml:space="preserve">-Smith, &amp; </w:t>
      </w:r>
      <w:proofErr w:type="spellStart"/>
      <w:r>
        <w:t>Kingon</w:t>
      </w:r>
      <w:proofErr w:type="spellEnd"/>
      <w:r w:rsidRPr="00A22400">
        <w:t>, 201</w:t>
      </w:r>
      <w:r>
        <w:t xml:space="preserve">0; </w:t>
      </w:r>
      <w:proofErr w:type="spellStart"/>
      <w:r>
        <w:t>Tirpak</w:t>
      </w:r>
      <w:proofErr w:type="spellEnd"/>
      <w:r>
        <w:t xml:space="preserve">, 2017; </w:t>
      </w:r>
      <w:proofErr w:type="spellStart"/>
      <w:r>
        <w:t>Wessner</w:t>
      </w:r>
      <w:proofErr w:type="spellEnd"/>
      <w:r>
        <w:t>, 2005)</w:t>
      </w:r>
      <w:r w:rsidR="00743029">
        <w:t>.  They generally employ a three-stage framework that describes the progress of technology from laboratory to market.</w:t>
      </w:r>
    </w:p>
    <w:p w:rsidR="00743029" w:rsidRDefault="00743029" w:rsidP="00743029">
      <w:pPr>
        <w:ind w:firstLine="720"/>
      </w:pPr>
      <w:proofErr w:type="spellStart"/>
      <w:r>
        <w:t>Wessner</w:t>
      </w:r>
      <w:proofErr w:type="spellEnd"/>
      <w:r>
        <w:t xml:space="preserve">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 xml:space="preserve">of technologies to a point of commercial viability that is more suitable for private sector involvement.  </w:t>
      </w:r>
      <w:proofErr w:type="gramStart"/>
      <w:r>
        <w:t>According to</w:t>
      </w:r>
      <w:proofErr w:type="gramEnd"/>
      <w:r>
        <w:t xml:space="preserve"> </w:t>
      </w:r>
      <w:proofErr w:type="spellStart"/>
      <w:r>
        <w:t>Wessner</w:t>
      </w:r>
      <w:proofErr w:type="spellEnd"/>
      <w:r>
        <w:t>, this approach has led to the successful transfer of fuel cell, proteomics, medical diagnostic, and lithography technol</w:t>
      </w:r>
      <w:r w:rsidR="00006F87">
        <w:t xml:space="preserve">ogies.  </w:t>
      </w:r>
      <w:proofErr w:type="spellStart"/>
      <w:r w:rsidR="00006F87">
        <w:t>Wessner</w:t>
      </w:r>
      <w:proofErr w:type="spellEnd"/>
      <w:r w:rsidR="00006F87">
        <w:t xml:space="preserve"> asserted</w:t>
      </w:r>
      <w:r>
        <w:t xml:space="preserve"> there is clear evidence that ATP helped attract the private investment necessary to successfully transfer technologies to offerings in the private sector that benefited the public interest.</w:t>
      </w:r>
      <w:r w:rsidR="00B8661C">
        <w:t xml:space="preserve">  </w:t>
      </w:r>
      <w:r w:rsidR="00006F87">
        <w:t>However, he did not provide evidence to support this assertion.  Moreo</w:t>
      </w:r>
      <w:r w:rsidR="00B8661C">
        <w:t xml:space="preserve">ver, this is not definitive evidence that low technology maturity level is the </w:t>
      </w:r>
      <w:r w:rsidR="00B8661C">
        <w:lastRenderedPageBreak/>
        <w:t xml:space="preserve">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unwillingness of venture capital markets to fund the commercialization of technologies that happen to have a low maturity level.</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w:t>
      </w:r>
      <w:r w:rsidR="00006F87">
        <w:t>posited</w:t>
      </w:r>
      <w:r>
        <w:t xml:space="preserve">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proofErr w:type="gramStart"/>
      <w:r>
        <w:t>According to</w:t>
      </w:r>
      <w:proofErr w:type="gramEnd"/>
      <w:r>
        <w:t xml:space="preserve">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w:t>
      </w:r>
      <w:r w:rsidR="00CB28A0">
        <w:lastRenderedPageBreak/>
        <w:t>explains why the private sector would focus on opportunities to pursue technologies at maturity levels higher than what universities typically offer.</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w:t>
      </w:r>
      <w:proofErr w:type="spellStart"/>
      <w:r>
        <w:t>Aiman</w:t>
      </w:r>
      <w:proofErr w:type="spellEnd"/>
      <w:r>
        <w:t xml:space="preserve">-Smith, &amp; </w:t>
      </w:r>
      <w:proofErr w:type="spellStart"/>
      <w:r>
        <w:t>Kingon</w:t>
      </w:r>
      <w:proofErr w:type="spellEnd"/>
      <w:r>
        <w:t xml:space="preserve">,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rsidR="00EE1B57" w:rsidRPr="00082379" w:rsidRDefault="00C14EF5" w:rsidP="00615E78">
      <w:pPr>
        <w:pStyle w:val="LiteratureReviewHeader2Bold"/>
      </w:pPr>
      <w:bookmarkStart w:id="18" w:name="_Toc54529846"/>
      <w:r>
        <w:t xml:space="preserve">The </w:t>
      </w:r>
      <w:r w:rsidR="00BD1F64">
        <w:t>Perspectives of Organization Studies and Decision Theory</w:t>
      </w:r>
      <w:bookmarkEnd w:id="18"/>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lastRenderedPageBreak/>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proofErr w:type="spellStart"/>
      <w:r w:rsidR="006A251D" w:rsidRPr="006A251D">
        <w:t>Vikkelsø</w:t>
      </w:r>
      <w:proofErr w:type="spellEnd"/>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proofErr w:type="spellStart"/>
      <w:r w:rsidR="006A251D" w:rsidRPr="006A251D">
        <w:t>Vikkelsø</w:t>
      </w:r>
      <w:proofErr w:type="spellEnd"/>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w:t>
      </w:r>
      <w:proofErr w:type="spellStart"/>
      <w:r w:rsidR="00E51058">
        <w:t>Cyert</w:t>
      </w:r>
      <w:proofErr w:type="spellEnd"/>
      <w:r w:rsidR="00E51058">
        <w:t xml:space="preserve">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w:t>
      </w:r>
      <w:r w:rsidR="00CA3018">
        <w:lastRenderedPageBreak/>
        <w:t xml:space="preserve">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rsidR="001B25B7" w:rsidRDefault="005A4339" w:rsidP="00EE1B57">
      <w:pPr>
        <w:ind w:firstLine="720"/>
      </w:pPr>
      <w:r>
        <w:t>The alternative school of thought takes what Du Gay &amp;</w:t>
      </w:r>
      <w:r w:rsidRPr="005A4339">
        <w:t xml:space="preserve"> </w:t>
      </w:r>
      <w:proofErr w:type="spellStart"/>
      <w:r>
        <w:t>Vikkelsø</w:t>
      </w:r>
      <w:proofErr w:type="spellEnd"/>
      <w:r w:rsidRPr="005A4339">
        <w:t xml:space="preserve"> </w:t>
      </w:r>
      <w:r>
        <w:t>(</w:t>
      </w:r>
      <w:r w:rsidRPr="005A4339">
        <w:t>2017</w:t>
      </w:r>
      <w:r>
        <w:t xml:space="preserve">) calls a metaphysical stance and treats the organization as a fiction.  </w:t>
      </w:r>
      <w:r w:rsidR="00E61C12">
        <w:t xml:space="preserve">“People (i.e., individuals) have goals; collectivities of people do not” </w:t>
      </w:r>
      <w:r w:rsidR="00FF72E6">
        <w:t>(</w:t>
      </w:r>
      <w:proofErr w:type="spellStart"/>
      <w:r w:rsidR="00FF72E6">
        <w:t>Cyert</w:t>
      </w:r>
      <w:proofErr w:type="spellEnd"/>
      <w:r w:rsidR="00FF72E6">
        <w:t xml:space="preserve">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w:t>
      </w:r>
      <w:r w:rsidR="00B94139">
        <w:lastRenderedPageBreak/>
        <w:t xml:space="preserve">interactions employed by the members of a group.  </w:t>
      </w:r>
      <w:r w:rsidR="00D939F3">
        <w:t>As such, a decision to acquire and use a technology is made by one or more members of an organiza</w:t>
      </w:r>
      <w:r w:rsidR="00C80F79">
        <w:t>tion (e.g., a for-profit commercial enterprise</w:t>
      </w:r>
      <w:r w:rsidR="00D939F3">
        <w:t>)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19" w:name="_Toc54529847"/>
      <w:r>
        <w:t xml:space="preserve">Organizational Structure </w:t>
      </w:r>
      <w:r w:rsidR="00C96A70">
        <w:t>and Technology Maturity Level</w:t>
      </w:r>
      <w:bookmarkEnd w:id="19"/>
    </w:p>
    <w:p w:rsidR="0041509A" w:rsidRDefault="008B39C7" w:rsidP="008B39C7">
      <w:pPr>
        <w:rPr>
          <w:iCs/>
        </w:rPr>
      </w:pPr>
      <w:r>
        <w:lastRenderedPageBreak/>
        <w:tab/>
      </w:r>
      <w:r w:rsidR="00A47B74">
        <w:t>Several studies have attempted to relate the char</w:t>
      </w:r>
      <w:r w:rsidR="00FE218D">
        <w:t>acteristics of organizations to</w:t>
      </w:r>
      <w:r w:rsidR="00A47B74">
        <w:t xml:space="preserve"> technology transfer outcomes (see e.g., </w:t>
      </w:r>
      <w:proofErr w:type="spellStart"/>
      <w:r w:rsidR="00A47B74">
        <w:t>Arshadi</w:t>
      </w:r>
      <w:proofErr w:type="spellEnd"/>
      <w:r w:rsidR="00A47B74">
        <w:t xml:space="preserve"> &amp; George, 2008; </w:t>
      </w:r>
      <w:proofErr w:type="spellStart"/>
      <w:r w:rsidR="00A47B74">
        <w:t>Markman</w:t>
      </w:r>
      <w:proofErr w:type="spellEnd"/>
      <w:r w:rsidR="00A47B74">
        <w:t xml:space="preserve">, </w:t>
      </w:r>
      <w:proofErr w:type="spellStart"/>
      <w:r w:rsidR="00A47B74">
        <w:t>Gianiodis</w:t>
      </w:r>
      <w:proofErr w:type="spellEnd"/>
      <w:r w:rsidR="00A47B74">
        <w:t xml:space="preserve">, &amp; Phan, 2009; York &amp; </w:t>
      </w:r>
      <w:proofErr w:type="spellStart"/>
      <w:r w:rsidR="00A47B74">
        <w:t>Ahn</w:t>
      </w:r>
      <w:proofErr w:type="spellEnd"/>
      <w:r w:rsidR="00A47B74">
        <w:t xml:space="preserve">, 2012; Wu, Welch, &amp; Huang, 2015).  However, these studies typically examine the issue from the perspective of the university (i.e., supply-side perspective).  </w:t>
      </w:r>
      <w:proofErr w:type="spellStart"/>
      <w:r w:rsidR="00A47B74">
        <w:t>Bahcall</w:t>
      </w:r>
      <w:proofErr w:type="spellEnd"/>
      <w:r w:rsidR="00A47B74">
        <w:t xml:space="preserve"> (2019) provides insight into the possible interplay between organization structure and technology maturity level on the demand-side of the equation.  </w:t>
      </w:r>
      <w:proofErr w:type="spellStart"/>
      <w:r w:rsidR="009A16BC">
        <w:t>Bahcall</w:t>
      </w:r>
      <w:proofErr w:type="spellEnd"/>
      <w:r w:rsidR="009A16BC">
        <w:t xml:space="preserve"> studied what he called “</w:t>
      </w:r>
      <w:proofErr w:type="spellStart"/>
      <w:r w:rsidR="009A16BC">
        <w:t>loonshots</w:t>
      </w:r>
      <w:proofErr w:type="spellEnd"/>
      <w:r w:rsidR="009A16BC">
        <w:t>”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proofErr w:type="spellStart"/>
      <w:r w:rsidR="002E2873">
        <w:t>Bahcall</w:t>
      </w:r>
      <w:proofErr w:type="spellEnd"/>
      <w:r w:rsidR="002E2873">
        <w:t xml:space="preserve">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w:t>
      </w:r>
      <w:proofErr w:type="spellStart"/>
      <w:r w:rsidR="002E2873">
        <w:t>loonshots</w:t>
      </w:r>
      <w:proofErr w:type="spellEnd"/>
      <w:r w:rsidR="002E2873">
        <w:t xml:space="preserve"> at one </w:t>
      </w:r>
      <w:r w:rsidR="00FD0E29">
        <w:t>point in its history</w:t>
      </w:r>
      <w:r w:rsidR="002E2873">
        <w:t xml:space="preserve"> but disf</w:t>
      </w:r>
      <w:r w:rsidR="009E674C">
        <w:t xml:space="preserve">avor </w:t>
      </w:r>
      <w:proofErr w:type="spellStart"/>
      <w:r w:rsidR="009E674C">
        <w:t>loonshots</w:t>
      </w:r>
      <w:proofErr w:type="spellEnd"/>
      <w:r w:rsidR="009E674C">
        <w:t xml:space="preserve">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w:t>
      </w:r>
      <w:proofErr w:type="spellStart"/>
      <w:r w:rsidR="00092A9E" w:rsidRPr="00092A9E">
        <w:rPr>
          <w:iCs/>
        </w:rPr>
        <w:t>loonshots</w:t>
      </w:r>
      <w:proofErr w:type="spellEnd"/>
      <w:r w:rsidR="00092A9E" w:rsidRPr="00092A9E">
        <w:rPr>
          <w:iCs/>
        </w:rPr>
        <w:t xml:space="preserve"> to a tendency to quash </w:t>
      </w:r>
      <w:proofErr w:type="spellStart"/>
      <w:r w:rsidR="00092A9E" w:rsidRPr="00092A9E">
        <w:rPr>
          <w:iCs/>
        </w:rPr>
        <w:t>loonshots</w:t>
      </w:r>
      <w:proofErr w:type="spellEnd"/>
      <w:r w:rsidR="00092A9E" w:rsidRPr="00092A9E">
        <w:rPr>
          <w:iCs/>
        </w:rPr>
        <w:t xml:space="preserve">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proofErr w:type="spellStart"/>
      <w:r>
        <w:rPr>
          <w:iCs/>
        </w:rPr>
        <w:t>Bahcall</w:t>
      </w:r>
      <w:proofErr w:type="spellEnd"/>
      <w:r>
        <w:rPr>
          <w:iCs/>
        </w:rPr>
        <w:t xml:space="preserve">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w:t>
      </w:r>
      <w:proofErr w:type="spellStart"/>
      <w:r w:rsidRPr="0041509A">
        <w:rPr>
          <w:iCs/>
        </w:rPr>
        <w:t>loonshots</w:t>
      </w:r>
      <w:proofErr w:type="spellEnd"/>
      <w:r w:rsidRPr="0041509A">
        <w:rPr>
          <w:iCs/>
        </w:rPr>
        <w:t xml:space="preserve">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 xml:space="preserve">sed on several assumptions, </w:t>
      </w:r>
      <w:proofErr w:type="spellStart"/>
      <w:r w:rsidR="000D3B35">
        <w:rPr>
          <w:iCs/>
        </w:rPr>
        <w:t>Bahc</w:t>
      </w:r>
      <w:r w:rsidR="005A195F">
        <w:rPr>
          <w:iCs/>
        </w:rPr>
        <w:t>all</w:t>
      </w:r>
      <w:proofErr w:type="spellEnd"/>
      <w:r w:rsidR="005A195F">
        <w:rPr>
          <w:iCs/>
        </w:rPr>
        <w:t xml:space="preserve"> argues that the threshold at which an organization will transition from nurturing </w:t>
      </w:r>
      <w:proofErr w:type="spellStart"/>
      <w:r w:rsidR="005A195F">
        <w:rPr>
          <w:iCs/>
        </w:rPr>
        <w:t>loonshots</w:t>
      </w:r>
      <w:proofErr w:type="spellEnd"/>
      <w:r w:rsidR="005A195F">
        <w:rPr>
          <w:iCs/>
        </w:rPr>
        <w:t xml:space="preserve">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lastRenderedPageBreak/>
        <w:t xml:space="preserve">In the context of university technology transfer, it may be that low maturity level technologies are akin to </w:t>
      </w:r>
      <w:proofErr w:type="spellStart"/>
      <w:r w:rsidRPr="00B71CE0">
        <w:rPr>
          <w:iCs/>
        </w:rPr>
        <w:t>loonshots</w:t>
      </w:r>
      <w:proofErr w:type="spellEnd"/>
      <w:r w:rsidRPr="00B71CE0">
        <w:rPr>
          <w:iCs/>
        </w:rPr>
        <w:t xml:space="preserve"> and high maturity level technologies are analogous to franchise projects.  However, it’s also quite possible that most, if not all, efforts to transfer newly created technologies to the private sector are essentially </w:t>
      </w:r>
      <w:proofErr w:type="spellStart"/>
      <w:r w:rsidRPr="00B71CE0">
        <w:rPr>
          <w:iCs/>
        </w:rPr>
        <w:t>loonshots</w:t>
      </w:r>
      <w:proofErr w:type="spellEnd"/>
      <w:r w:rsidRPr="00B71CE0">
        <w:rPr>
          <w:iCs/>
        </w:rPr>
        <w:t xml:space="preserve"> regardless of technology maturity level.</w:t>
      </w:r>
    </w:p>
    <w:p w:rsidR="008B39C7" w:rsidRPr="00904819" w:rsidRDefault="00FF4709" w:rsidP="00317FC4">
      <w:pPr>
        <w:ind w:firstLine="720"/>
      </w:pPr>
      <w:r>
        <w:rPr>
          <w:iCs/>
        </w:rPr>
        <w:t>One interpretation of t</w:t>
      </w:r>
      <w:r w:rsidR="008B44AB">
        <w:rPr>
          <w:iCs/>
        </w:rPr>
        <w:t xml:space="preserve">he theory offered by </w:t>
      </w:r>
      <w:proofErr w:type="spellStart"/>
      <w:r w:rsidR="008B44AB">
        <w:rPr>
          <w:iCs/>
        </w:rPr>
        <w:t>Bahcall</w:t>
      </w:r>
      <w:proofErr w:type="spellEnd"/>
      <w:r w:rsidR="008B44AB">
        <w:rPr>
          <w:iCs/>
        </w:rPr>
        <w:t xml:space="preserve">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This is consistent with the idea that startup firms favor early-stage technologies while established firms favor later-stage technologies (</w:t>
      </w:r>
      <w:proofErr w:type="spellStart"/>
      <w:r w:rsidR="002A2253">
        <w:rPr>
          <w:iCs/>
        </w:rPr>
        <w:t>Munteanu</w:t>
      </w:r>
      <w:proofErr w:type="spellEnd"/>
      <w:r w:rsidR="002A2253">
        <w:rPr>
          <w:iCs/>
        </w:rPr>
        <w:t xml:space="preserve">,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w:t>
      </w:r>
      <w:proofErr w:type="spellStart"/>
      <w:r w:rsidR="006D3816" w:rsidRPr="006D3816">
        <w:rPr>
          <w:iCs/>
        </w:rPr>
        <w:t>loonshot</w:t>
      </w:r>
      <w:proofErr w:type="spellEnd"/>
      <w:r w:rsidR="006D3816" w:rsidRPr="006D3816">
        <w:rPr>
          <w:iCs/>
        </w:rPr>
        <w:t xml:space="preserve"> over another or one franchise project over another all other things being equal</w:t>
      </w:r>
      <w:r w:rsidR="002A2253">
        <w:rPr>
          <w:iCs/>
        </w:rPr>
        <w:t>, which is the challenge if it</w:t>
      </w:r>
      <w:r w:rsidR="008C00CC">
        <w:rPr>
          <w:iCs/>
        </w:rPr>
        <w:t xml:space="preserve"> i</w:t>
      </w:r>
      <w:r w:rsidR="002A2253">
        <w:rPr>
          <w:iCs/>
        </w:rPr>
        <w:t xml:space="preserve">s the case that most, if not all, efforts to transfer newly created technologies to the private sector are essentially </w:t>
      </w:r>
      <w:proofErr w:type="spellStart"/>
      <w:r w:rsidR="002A2253">
        <w:rPr>
          <w:iCs/>
        </w:rPr>
        <w:t>loonshots</w:t>
      </w:r>
      <w:proofErr w:type="spellEnd"/>
      <w:r w:rsidR="002A2253">
        <w:rPr>
          <w:iCs/>
        </w:rPr>
        <w:t xml:space="preserve"> regardless of maturity level.</w:t>
      </w:r>
    </w:p>
    <w:p w:rsidR="008B39C7" w:rsidRDefault="008B39C7" w:rsidP="008B39C7">
      <w:pPr>
        <w:pStyle w:val="LiteratureReviewHeader2Bold"/>
      </w:pPr>
      <w:bookmarkStart w:id="20" w:name="_Toc54529848"/>
      <w:r>
        <w:t>Uncertainty Avoidance</w:t>
      </w:r>
      <w:r w:rsidR="00391DE0">
        <w:t xml:space="preserve"> </w:t>
      </w:r>
      <w:r w:rsidR="00C96A70">
        <w:t>and Technology Maturity Level</w:t>
      </w:r>
      <w:bookmarkEnd w:id="20"/>
    </w:p>
    <w:p w:rsidR="003E4D46" w:rsidRDefault="003E4D46" w:rsidP="008B39C7">
      <w:pPr>
        <w:ind w:firstLine="720"/>
        <w:rPr>
          <w:iCs/>
        </w:rPr>
      </w:pPr>
      <w:proofErr w:type="spellStart"/>
      <w:r>
        <w:rPr>
          <w:iCs/>
        </w:rPr>
        <w:t>Cyert</w:t>
      </w:r>
      <w:proofErr w:type="spellEnd"/>
      <w:r>
        <w:rPr>
          <w:iCs/>
        </w:rPr>
        <w:t xml:space="preserve"> and March (1963) described a </w:t>
      </w:r>
      <w:r w:rsidRPr="003E4D46">
        <w:rPr>
          <w:iCs/>
        </w:rPr>
        <w:t>behavioral theory of the firm meant to explain and predict the behavior of firms regarding decisions about price, output, and resource allocation</w:t>
      </w:r>
      <w:r>
        <w:rPr>
          <w:iCs/>
        </w:rPr>
        <w:t xml:space="preserve">, which the traditional theory of the firm was not intended to address.  The theory of </w:t>
      </w:r>
      <w:proofErr w:type="spellStart"/>
      <w:r>
        <w:rPr>
          <w:iCs/>
        </w:rPr>
        <w:t>Cyert</w:t>
      </w:r>
      <w:proofErr w:type="spellEnd"/>
      <w:r>
        <w:rPr>
          <w:iCs/>
        </w:rPr>
        <w:t xml:space="preserve"> and March</w:t>
      </w:r>
      <w:r w:rsidRPr="003E4D46">
        <w:rPr>
          <w:iCs/>
        </w:rPr>
        <w:t xml:space="preserve"> explicitly emphasizes the actual process of decision making in an organization and takes </w:t>
      </w:r>
      <w:r w:rsidRPr="003E4D46">
        <w:rPr>
          <w:iCs/>
        </w:rPr>
        <w:lastRenderedPageBreak/>
        <w:t xml:space="preserve">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8B39C7" w:rsidRPr="00904819" w:rsidRDefault="00A5583E" w:rsidP="00C536E1">
      <w:pPr>
        <w:ind w:firstLine="720"/>
      </w:pPr>
      <w:r>
        <w:rPr>
          <w:iCs/>
        </w:rPr>
        <w:t>The observation that o</w:t>
      </w:r>
      <w:r w:rsidR="00136988">
        <w:rPr>
          <w:iCs/>
        </w:rPr>
        <w:t>rganizations avoid uncertainty (</w:t>
      </w:r>
      <w:proofErr w:type="spellStart"/>
      <w:r w:rsidR="00136988">
        <w:rPr>
          <w:iCs/>
        </w:rPr>
        <w:t>Cyert</w:t>
      </w:r>
      <w:proofErr w:type="spellEnd"/>
      <w:r w:rsidR="00136988">
        <w:rPr>
          <w:iCs/>
        </w:rPr>
        <w:t xml:space="preserve">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w:t>
      </w:r>
      <w:proofErr w:type="spellStart"/>
      <w:r w:rsidR="00525B6B">
        <w:rPr>
          <w:iCs/>
        </w:rPr>
        <w:t>Cyert</w:t>
      </w:r>
      <w:proofErr w:type="spellEnd"/>
      <w:r w:rsidR="00525B6B">
        <w:rPr>
          <w:iCs/>
        </w:rPr>
        <w:t xml:space="preserve">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r w:rsidR="00C536E1">
        <w:t xml:space="preserve">  </w:t>
      </w:r>
      <w:proofErr w:type="gramStart"/>
      <w:r w:rsidR="008B39C7" w:rsidRPr="00904819">
        <w:t>According to</w:t>
      </w:r>
      <w:proofErr w:type="gramEnd"/>
      <w:r w:rsidR="008B39C7" w:rsidRPr="00904819">
        <w:t xml:space="preserve">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rsidR="00DD69CB" w:rsidRPr="00DD69CB" w:rsidRDefault="00D350B1" w:rsidP="00667A24">
      <w:pPr>
        <w:pStyle w:val="LiteratureReviewHeader2Bold"/>
      </w:pPr>
      <w:bookmarkStart w:id="21" w:name="_Toc54529849"/>
      <w:r>
        <w:t xml:space="preserve">Decision Premises </w:t>
      </w:r>
      <w:r w:rsidR="00C96A70">
        <w:t>and Technology Maturity Level</w:t>
      </w:r>
      <w:bookmarkEnd w:id="21"/>
    </w:p>
    <w:p w:rsidR="00E2728C" w:rsidRDefault="00E2728C" w:rsidP="00EE1B57">
      <w:pPr>
        <w:ind w:firstLine="720"/>
      </w:pPr>
      <w:r>
        <w:t xml:space="preserve">The quest to understand the role that </w:t>
      </w:r>
      <w:r w:rsidR="00522D65">
        <w:t xml:space="preserve">technology maturity level </w:t>
      </w:r>
      <w:r>
        <w:t xml:space="preserve">plays in determining whether organizations pursue, acquire, and use technologies created by universities in many </w:t>
      </w:r>
      <w:r>
        <w:lastRenderedPageBreak/>
        <w:t>respects is an exercise in understanding a specific type of organization behavior.  Simon (1997) offers a very useful framework for accomplishing this end.</w:t>
      </w:r>
    </w:p>
    <w:p w:rsidR="009A49B3" w:rsidRDefault="00894171" w:rsidP="009A49B3">
      <w:pPr>
        <w:ind w:firstLine="720"/>
      </w:pPr>
      <w:r>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1997)</w:t>
      </w:r>
      <w:r>
        <w:t xml:space="preserve">.  </w:t>
      </w:r>
      <w:proofErr w:type="gramStart"/>
      <w:r w:rsidR="003E753B">
        <w:t>According to</w:t>
      </w:r>
      <w:proofErr w:type="gramEnd"/>
      <w:r w:rsidR="003E753B">
        <w:t xml:space="preserve">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lastRenderedPageBreak/>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w:t>
      </w:r>
      <w:proofErr w:type="gramStart"/>
      <w:r>
        <w:t>lets</w:t>
      </w:r>
      <w:proofErr w:type="gramEnd"/>
      <w:r>
        <w:t xml:space="preserve">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proofErr w:type="gramStart"/>
      <w:r w:rsidRPr="00F62694">
        <w:rPr>
          <w:u w:val="single"/>
        </w:rPr>
        <w:t>actually</w:t>
      </w:r>
      <w:r w:rsidRPr="00496458">
        <w:t xml:space="preserve"> make</w:t>
      </w:r>
      <w:proofErr w:type="gramEnd"/>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w:t>
      </w:r>
      <w:r w:rsidR="005A75CB">
        <w:t>iduals (</w:t>
      </w:r>
      <w:proofErr w:type="spellStart"/>
      <w:r w:rsidR="005A75CB">
        <w:t>Kahneman</w:t>
      </w:r>
      <w:proofErr w:type="spellEnd"/>
      <w:r w:rsidR="005A75CB">
        <w:t xml:space="preserve"> &amp; </w:t>
      </w:r>
      <w:proofErr w:type="spellStart"/>
      <w:r w:rsidR="005A75CB">
        <w:t>Tversky</w:t>
      </w:r>
      <w:proofErr w:type="spellEnd"/>
      <w:r w:rsidR="005A75CB">
        <w:t>, 1979</w:t>
      </w:r>
      <w:r>
        <w:t xml:space="preserve">; </w:t>
      </w:r>
      <w:proofErr w:type="spellStart"/>
      <w:r>
        <w:t>Kahneman</w:t>
      </w:r>
      <w:proofErr w:type="spellEnd"/>
      <w:r>
        <w:t xml:space="preserve"> &amp; </w:t>
      </w:r>
      <w:proofErr w:type="spellStart"/>
      <w:r>
        <w:t>Tversky</w:t>
      </w:r>
      <w:proofErr w:type="spellEnd"/>
      <w:r>
        <w:t xml:space="preserve">, 2013; </w:t>
      </w:r>
      <w:proofErr w:type="spellStart"/>
      <w:r>
        <w:t>Tversky</w:t>
      </w:r>
      <w:proofErr w:type="spellEnd"/>
      <w:r>
        <w:t xml:space="preserve"> &amp; </w:t>
      </w:r>
      <w:proofErr w:type="spellStart"/>
      <w:r>
        <w:t>Kahneman</w:t>
      </w:r>
      <w:proofErr w:type="spellEnd"/>
      <w:r>
        <w:t xml:space="preserve">, 1992).  Whether one is </w:t>
      </w:r>
      <w:proofErr w:type="gramStart"/>
      <w:r>
        <w:t>making a decision</w:t>
      </w:r>
      <w:proofErr w:type="gramEnd"/>
      <w:r>
        <w:t xml:space="preserve">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w:t>
      </w:r>
      <w:r w:rsidR="00F40FB1">
        <w:lastRenderedPageBreak/>
        <w:t>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proofErr w:type="gramStart"/>
      <w:r>
        <w:t>According to</w:t>
      </w:r>
      <w:proofErr w:type="gramEnd"/>
      <w:r>
        <w:t xml:space="preserve">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w:t>
      </w:r>
      <w:r w:rsidR="007A5A5C">
        <w:lastRenderedPageBreak/>
        <w:t xml:space="preserve">derive factual </w:t>
      </w:r>
      <w:r w:rsidR="00656550">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w:t>
      </w:r>
      <w:r w:rsidR="00CD1E66">
        <w:lastRenderedPageBreak/>
        <w:t xml:space="preserve">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w:t>
      </w:r>
      <w:r w:rsidR="007214D6">
        <w:lastRenderedPageBreak/>
        <w:t xml:space="preserve">a factor in organization decision-making about technology transfer opportunities during </w:t>
      </w:r>
      <w:r w:rsidR="00682768">
        <w:t>the alternatives search and selection phases of the decision-making process</w:t>
      </w:r>
      <w:r w:rsidR="007214D6">
        <w:t>.</w:t>
      </w:r>
    </w:p>
    <w:p w:rsidR="00CB5C39" w:rsidRDefault="00436880" w:rsidP="008E4A60">
      <w:pPr>
        <w:ind w:firstLine="720"/>
      </w:pPr>
      <w:r>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w:t>
      </w:r>
      <w:r w:rsidR="00405CCF">
        <w:lastRenderedPageBreak/>
        <w:t>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for new</w:t>
      </w:r>
      <w:r w:rsidR="00394950">
        <w:t xml:space="preserve"> therapeutics for which there are</w:t>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 xml:space="preserve">Researchers have postulated that in addition to organizational cultures, communities of occupations create occupational cultures that </w:t>
      </w:r>
      <w:r w:rsidR="00C66514">
        <w:lastRenderedPageBreak/>
        <w:t>extend across organizations, influence the activities of organizations, and contribute to the similarities among organizations (</w:t>
      </w:r>
      <w:proofErr w:type="spellStart"/>
      <w:r w:rsidR="00C66514">
        <w:t>Rojot</w:t>
      </w:r>
      <w:proofErr w:type="spellEnd"/>
      <w:r w:rsidR="00C66514">
        <w:t>, 2008).</w:t>
      </w:r>
      <w:r w:rsidR="00830FAB">
        <w:t xml:space="preserve">  </w:t>
      </w:r>
      <w:r w:rsidR="00E958C4">
        <w:t>This suggests that there exists an</w:t>
      </w:r>
      <w:r w:rsidR="00830FAB">
        <w:t xml:space="preserve"> occupational 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rsidR="00EE1B57" w:rsidRPr="00E6382B" w:rsidRDefault="0042260B" w:rsidP="00420630">
      <w:pPr>
        <w:pStyle w:val="LiteratureReviewHeader2Bold"/>
      </w:pPr>
      <w:bookmarkStart w:id="22" w:name="_Toc54529850"/>
      <w:r>
        <w:t>Technology Maturity Level</w:t>
      </w:r>
      <w:r w:rsidR="00EE1B57">
        <w:t xml:space="preserve"> in </w:t>
      </w:r>
      <w:r w:rsidR="00C14EF5">
        <w:t xml:space="preserve">Federal </w:t>
      </w:r>
      <w:r w:rsidR="00EE1B57" w:rsidRPr="00E6382B">
        <w:t>Technology Transfer Policy</w:t>
      </w:r>
      <w:bookmarkEnd w:id="22"/>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w:t>
      </w:r>
      <w:proofErr w:type="spellStart"/>
      <w:r w:rsidR="00DF7770">
        <w:t>Pub.L</w:t>
      </w:r>
      <w:proofErr w:type="spellEnd"/>
      <w:r w:rsidR="00DF7770">
        <w:t>. 97-219)</w:t>
      </w:r>
      <w:r>
        <w:t xml:space="preserve"> considers </w:t>
      </w:r>
      <w:r w:rsidR="00522D65">
        <w:t xml:space="preserve">technology maturity level </w:t>
      </w:r>
      <w:r>
        <w:t xml:space="preserve">in a broad sense.  The program is structured into three phases – feasibility (Phase I), development </w:t>
      </w:r>
      <w:r>
        <w:lastRenderedPageBreak/>
        <w:t>(Phase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xml:space="preserve">, </w:t>
      </w:r>
      <w:proofErr w:type="spellStart"/>
      <w:r w:rsidR="009466D8">
        <w:t>n.d.</w:t>
      </w:r>
      <w:proofErr w:type="spellEnd"/>
      <w:r w:rsidR="009466D8">
        <w:t>).</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 xml:space="preserve">Dai, Pop &amp; </w:t>
      </w:r>
      <w:proofErr w:type="spellStart"/>
      <w:r w:rsidR="00EE1B57" w:rsidRPr="00A22400">
        <w:t>Bretschneider</w:t>
      </w:r>
      <w:proofErr w:type="spellEnd"/>
      <w:r w:rsidR="00EE1B57" w:rsidRPr="00A22400">
        <w:t xml:space="preserve">, 2005) or the Small Business Innovation Research (SBIR) program that was created by </w:t>
      </w:r>
      <w:proofErr w:type="spellStart"/>
      <w:r w:rsidR="00EE1B57" w:rsidRPr="00A22400">
        <w:t>Pub.L</w:t>
      </w:r>
      <w:proofErr w:type="spellEnd"/>
      <w:r w:rsidR="00EE1B57" w:rsidRPr="00A22400">
        <w:t>. 97-219 The Small Business Innovation Development Act of 1982 (</w:t>
      </w:r>
      <w:r w:rsidR="007F01B3">
        <w:t xml:space="preserve">see, e.g., </w:t>
      </w:r>
      <w:r w:rsidR="00EE1B57" w:rsidRPr="00A22400">
        <w:t xml:space="preserve">Andersen, Bray &amp; Link, 2017; Joshi, Inouye &amp; Robinson, </w:t>
      </w:r>
      <w:proofErr w:type="spellStart"/>
      <w:r w:rsidR="00EE1B57" w:rsidRPr="00A22400">
        <w:t>n.d.</w:t>
      </w:r>
      <w:proofErr w:type="spellEnd"/>
      <w:r w:rsidR="00EE1B57" w:rsidRPr="00A22400">
        <w:t xml:space="preserve">;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proofErr w:type="spellStart"/>
      <w:r w:rsidR="00EE1B57" w:rsidRPr="00A22400">
        <w:t>Hemel</w:t>
      </w:r>
      <w:proofErr w:type="spellEnd"/>
      <w:r w:rsidR="00EE1B57" w:rsidRPr="00A22400">
        <w:t xml:space="preserve">, </w:t>
      </w:r>
      <w:proofErr w:type="spellStart"/>
      <w:r w:rsidR="00EE1B57" w:rsidRPr="00A22400">
        <w:t>Ouellett</w:t>
      </w:r>
      <w:proofErr w:type="spellEnd"/>
      <w:r w:rsidR="00EE1B57" w:rsidRPr="00A22400">
        <w:t xml:space="preserve">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proofErr w:type="spellStart"/>
      <w:r>
        <w:t>Kochenkova</w:t>
      </w:r>
      <w:proofErr w:type="spellEnd"/>
      <w:r>
        <w:t xml:space="preserve">, Grimaldi, and </w:t>
      </w:r>
      <w:proofErr w:type="spellStart"/>
      <w:r>
        <w:t>Munari</w:t>
      </w:r>
      <w:proofErr w:type="spellEnd"/>
      <w:r>
        <w:t xml:space="preserve"> (2016) </w:t>
      </w:r>
      <w:r w:rsidRPr="0015245D">
        <w:t xml:space="preserve">examined 46 studies that either explicitly referenced public support mechanisms to facilitate university </w:t>
      </w:r>
      <w:r>
        <w:t xml:space="preserve">technology </w:t>
      </w:r>
      <w:r w:rsidRPr="0015245D">
        <w:t xml:space="preserve">transfer activities or </w:t>
      </w:r>
      <w:r w:rsidRPr="0015245D">
        <w:lastRenderedPageBreak/>
        <w:t>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rsidR="00872B70" w:rsidRDefault="00872B70" w:rsidP="00872B70">
      <w:pPr>
        <w:ind w:firstLine="720"/>
      </w:pPr>
      <w:r>
        <w:t>The results of the proposed research study will likely have significant implications for federal policy</w:t>
      </w:r>
      <w:r w:rsidRPr="00D34FBE">
        <w:t xml:space="preserve"> </w:t>
      </w:r>
      <w:r>
        <w:t xml:space="preserve">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t>
      </w:r>
      <w:r>
        <w:lastRenderedPageBreak/>
        <w:t>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3" w:name="_Toc54529851"/>
      <w:r>
        <w:t>A Demand-Side Model of Technology Transfer</w:t>
      </w:r>
      <w:bookmarkEnd w:id="23"/>
    </w:p>
    <w:p w:rsidR="009C1D63" w:rsidRDefault="009C1D63" w:rsidP="009C1D63">
      <w:r>
        <w:tab/>
        <w:t xml:space="preserve">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w:t>
      </w:r>
      <w:proofErr w:type="spellStart"/>
      <w:r>
        <w:t>Cyert</w:t>
      </w:r>
      <w:proofErr w:type="spellEnd"/>
      <w:r>
        <w:t xml:space="preserve"> and March (1963) proposed with the adminis</w:t>
      </w:r>
      <w:r w:rsidR="00EA2E27">
        <w:t xml:space="preserve">trative theory of Simon (1997).  </w:t>
      </w:r>
      <w:r>
        <w:t>Applying this proposed theory of the organization, I</w:t>
      </w:r>
      <w:r w:rsidR="00CE14A8">
        <w:t xml:space="preserve"> propose a</w:t>
      </w:r>
      <w:r>
        <w:t xml:space="preserve"> model demand-side technology transfer </w:t>
      </w:r>
      <w:r w:rsidR="00CE14A8">
        <w:t xml:space="preserve">(Figure 6) </w:t>
      </w:r>
      <w:r>
        <w:t>to help explain why a low percentage of university-created technologies are transferred to the private sector for use that benefits the public interest</w:t>
      </w:r>
      <w:r w:rsidR="00EA2E27">
        <w:t>.</w:t>
      </w:r>
    </w:p>
    <w:p w:rsidR="00EA2E27" w:rsidRDefault="00EA2E27" w:rsidP="009C1D63">
      <w:r>
        <w:tab/>
        <w:t xml:space="preserve">Other scholars have developed models of university technology transfer.  Bozeman (2000) advocated for what he called a “contingent effectiveness model of technology transfer” (p.639).  This model assumes that the actors involved in a technology </w:t>
      </w:r>
      <w:r w:rsidR="000B7BDB">
        <w:t>exchange</w:t>
      </w:r>
      <w:r>
        <w:t xml:space="preserve"> each have multiple goals and multiple criteria for evaluating the effectiveness of the transfer.  The model has five dimensions which are the transfer agent, the transfer medium, the transfer object, the transfer recipient, and the demand environment.</w:t>
      </w:r>
    </w:p>
    <w:p w:rsidR="00167C39" w:rsidRDefault="00167C39" w:rsidP="009C1D63">
      <w:r>
        <w:tab/>
      </w:r>
      <w:proofErr w:type="spellStart"/>
      <w:r>
        <w:t>Markman</w:t>
      </w:r>
      <w:proofErr w:type="spellEnd"/>
      <w:r>
        <w:t xml:space="preserve">, </w:t>
      </w:r>
      <w:proofErr w:type="spellStart"/>
      <w:r>
        <w:t>Gianniodis</w:t>
      </w:r>
      <w:proofErr w:type="spellEnd"/>
      <w:r>
        <w:t>, and Phan (2009) modeled university technology transfer as a market for innovation in which universities are creators and suppliers.</w:t>
      </w:r>
      <w:r w:rsidR="00086606">
        <w:t xml:space="preserve">  They designed their </w:t>
      </w:r>
      <w:r w:rsidR="00086606">
        <w:lastRenderedPageBreak/>
        <w:t xml:space="preserve">model to accommodate both financial and non-financial </w:t>
      </w:r>
      <w:r w:rsidR="000B7BDB">
        <w:t>inter-firm transfers of</w:t>
      </w:r>
      <w:r w:rsidR="00086606">
        <w:t xml:space="preserve"> technology.  There model also proposed that innovation is bi-directional and can occur in a loose coupling between research activities and development activities</w:t>
      </w:r>
      <w:r w:rsidR="000B7BDB" w:rsidRPr="000B7BDB">
        <w:t xml:space="preserve"> </w:t>
      </w:r>
      <w:r w:rsidR="000B7BDB">
        <w:t>just as effectively as it can in a tigh</w:t>
      </w:r>
      <w:r w:rsidR="006E52D3">
        <w:t>tly coupled research and development process within a single organization</w:t>
      </w:r>
      <w:r w:rsidR="00086606">
        <w:t>.</w:t>
      </w:r>
    </w:p>
    <w:p w:rsidR="009D7F73" w:rsidRDefault="009D7F73" w:rsidP="009C1D63">
      <w:r>
        <w:tab/>
        <w:t xml:space="preserve">Hidalgo and </w:t>
      </w:r>
      <w:proofErr w:type="spellStart"/>
      <w:r>
        <w:t>Albors</w:t>
      </w:r>
      <w:proofErr w:type="spellEnd"/>
      <w:r>
        <w:t xml:space="preserve"> (2011) constructed a model of university technology transfer </w:t>
      </w:r>
      <w:r w:rsidR="00B72FDE">
        <w:t>to</w:t>
      </w:r>
      <w:r>
        <w:t xml:space="preserve"> explain differences between technology transfer processes in the context of science parks.  The model was intended to identify the factors that motivated universities and private sector commercial organizations to collaborate on cooperative technological development projects.  The model offered by Hidalgo and </w:t>
      </w:r>
      <w:proofErr w:type="spellStart"/>
      <w:r>
        <w:t>Albors</w:t>
      </w:r>
      <w:proofErr w:type="spellEnd"/>
      <w:r>
        <w:t xml:space="preserve"> is a four-dimensional framework comprising objectives, cooperation, motivation, and barriers.</w:t>
      </w:r>
    </w:p>
    <w:p w:rsidR="00BE4B92" w:rsidRDefault="00BE4B92" w:rsidP="009C1D63">
      <w:r>
        <w:tab/>
        <w:t xml:space="preserve">Choi, Jan, Jun, and Park (2015) developed a predictive model of technology transfer rooted in an analysis of patents.  </w:t>
      </w:r>
      <w:r w:rsidR="0074361A">
        <w:t xml:space="preserve">They narrowly operationalized technologies as patent applications.  </w:t>
      </w:r>
      <w:r>
        <w:t xml:space="preserve">Their rationale for developing this model was the assumption that the expert opinions upon which actors in the technology transfer process rely in making decisions about which technologies to obtain is </w:t>
      </w:r>
      <w:r w:rsidR="0074361A">
        <w:t>inefficacious</w:t>
      </w:r>
      <w:r>
        <w:t xml:space="preserve"> because it is impossible to accurately match the relevant expert</w:t>
      </w:r>
      <w:r w:rsidR="0074361A">
        <w:t>s</w:t>
      </w:r>
      <w:r>
        <w:t xml:space="preserve"> with the deep knowledge necessary to correctly evaluate </w:t>
      </w:r>
      <w:r w:rsidR="0074361A">
        <w:t xml:space="preserve">a given technology to </w:t>
      </w:r>
      <w:r>
        <w:t xml:space="preserve">all the </w:t>
      </w:r>
      <w:r w:rsidR="0074361A">
        <w:t>patents filed every year.</w:t>
      </w:r>
      <w:r w:rsidR="002A4DA3">
        <w:t xml:space="preserve">  This assumption ignores the principle of bounded rationality</w:t>
      </w:r>
      <w:r w:rsidR="00CC5360">
        <w:t>.  Organizations are constrained by the</w:t>
      </w:r>
      <w:r w:rsidR="00CC5360" w:rsidRPr="00CC5360">
        <w:t xml:space="preserve"> cognitive capacities of their people, finite time frames, and limited data</w:t>
      </w:r>
      <w:r w:rsidR="002D793E">
        <w:t xml:space="preserve"> (</w:t>
      </w:r>
      <w:r w:rsidR="00CC5360">
        <w:t xml:space="preserve">March </w:t>
      </w:r>
      <w:r w:rsidR="002D793E">
        <w:t>1997</w:t>
      </w:r>
      <w:r w:rsidR="00CC5360">
        <w:t>; Simon 1997</w:t>
      </w:r>
      <w:r w:rsidR="002D793E">
        <w:t>)</w:t>
      </w:r>
      <w:r w:rsidR="00696158">
        <w:t>.  R</w:t>
      </w:r>
      <w:r w:rsidR="00CC5360">
        <w:t xml:space="preserve">esource limitations </w:t>
      </w:r>
      <w:r w:rsidR="00696158">
        <w:t xml:space="preserve">also </w:t>
      </w:r>
      <w:r w:rsidR="00CC5360">
        <w:t>constrain their capacities for seeking and assimilating technology.</w:t>
      </w:r>
    </w:p>
    <w:p w:rsidR="0054748D" w:rsidRDefault="0054748D" w:rsidP="009C1D63">
      <w:r>
        <w:tab/>
        <w:t xml:space="preserve">These </w:t>
      </w:r>
      <w:r w:rsidR="00B72FDE">
        <w:t>various</w:t>
      </w:r>
      <w:r>
        <w:t xml:space="preserve"> models of technology transfer were all successfully applied to provide </w:t>
      </w:r>
      <w:r w:rsidR="00B72FDE">
        <w:t>different</w:t>
      </w:r>
      <w:r>
        <w:t xml:space="preserve"> insights into university technology transfer.  However, they share at least two limitations that the proposed study aims to overcome.  First, they tend to emphasize the </w:t>
      </w:r>
      <w:r>
        <w:lastRenderedPageBreak/>
        <w:t>perspective of the university (i.e., a supply-side perspective) even in the cases where demand-side actors are explicitly factored into the model.  Second, they all seem to reify the organization</w:t>
      </w:r>
      <w:r w:rsidR="000C4722">
        <w:t xml:space="preserve"> and thus risk minimizing or missing entirely the human element</w:t>
      </w:r>
      <w:r w:rsidR="00154AF2">
        <w:t xml:space="preserve">.  In the next chapter, I detail and explain both </w:t>
      </w:r>
      <w:r w:rsidR="000C4722">
        <w:t xml:space="preserve">an </w:t>
      </w:r>
      <w:r w:rsidR="00154AF2">
        <w:t xml:space="preserve">alternative theory of the organization (Figure </w:t>
      </w:r>
      <w:r w:rsidR="000C4722">
        <w:t>5) and</w:t>
      </w:r>
      <w:r w:rsidR="00154AF2">
        <w:t xml:space="preserve"> a model of demand-side technology transfer (Figure 6), which I derive from this theory</w:t>
      </w:r>
      <w:r w:rsidR="000C4722">
        <w:t>,</w:t>
      </w:r>
      <w:r w:rsidR="00154AF2">
        <w:t xml:space="preserve"> that I </w:t>
      </w:r>
      <w:r w:rsidR="000C4722">
        <w:t>intend</w:t>
      </w:r>
      <w:r w:rsidR="00154AF2">
        <w:t xml:space="preserve"> to use as the basis for the methodology I propose to examine the potential role of technology maturity level in explaining why a low percentage of university-created technologies are transferred to the private sector for use that benefits the public interest.</w:t>
      </w:r>
    </w:p>
    <w:p w:rsidR="00250EC3" w:rsidRPr="0003023E" w:rsidRDefault="000B06E9" w:rsidP="00013D7B">
      <w:pPr>
        <w:pStyle w:val="LiteratureReviewHeader2Bold"/>
      </w:pPr>
      <w:bookmarkStart w:id="24" w:name="_Toc54529852"/>
      <w:r>
        <w:t>Gaps in the Literature</w:t>
      </w:r>
      <w:bookmarkEnd w:id="24"/>
    </w:p>
    <w:p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w:t>
      </w:r>
      <w:r w:rsidR="00236F37">
        <w:lastRenderedPageBreak/>
        <w:t>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are the source</w:t>
      </w:r>
      <w:r w:rsidR="0000266D">
        <w:t>s</w:t>
      </w:r>
      <w:r w:rsidR="002D2A1C">
        <w:t xml:space="preserv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w:t>
      </w:r>
      <w:r w:rsidR="0000266D">
        <w:t>ision theory literature provide</w:t>
      </w:r>
      <w:r w:rsidR="00C94B20">
        <w:t xml:space="preserve"> insight into the role that technology maturity level may play in the university technology transfer outcomes observed.</w:t>
      </w:r>
    </w:p>
    <w:p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lastRenderedPageBreak/>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w:t>
      </w:r>
      <w:r w:rsidR="009D45BE">
        <w:t>Those that exist</w:t>
      </w:r>
      <w:r w:rsidR="00D7328F">
        <w:t xml:space="preserve"> do</w:t>
      </w:r>
      <w:r w:rsidR="005E38B5">
        <w:t xml:space="preserve"> not answer the research question </w:t>
      </w:r>
      <w:r w:rsidR="00D7328F">
        <w:t>raised</w:t>
      </w:r>
      <w:r w:rsidR="00F73B5B">
        <w:t xml:space="preserve">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w:t>
      </w:r>
      <w:r w:rsidR="005C5DCC">
        <w:t xml:space="preserve">technologies derived from federally-funded research and development conducted by U.S. universities </w:t>
      </w:r>
      <w:r w:rsidR="00D7328F">
        <w:t>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5" w:name="References"/>
      <w:bookmarkStart w:id="26" w:name="_Toc54529853"/>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 xml:space="preserve">m not sick, I don’t need </w:t>
      </w:r>
      <w:proofErr w:type="gramStart"/>
      <w:r w:rsidRPr="00536682">
        <w:rPr>
          <w:i/>
        </w:rPr>
        <w:t>help!:</w:t>
      </w:r>
      <w:proofErr w:type="gramEnd"/>
      <w:r w:rsidRPr="00536682">
        <w:rPr>
          <w:i/>
        </w:rPr>
        <w:t xml:space="preserve"> How to help someone with mental illness accept treatment</w:t>
      </w:r>
      <w:r>
        <w:t xml:space="preserve">. </w:t>
      </w:r>
      <w:proofErr w:type="spellStart"/>
      <w:r>
        <w:t>Peconic</w:t>
      </w:r>
      <w:proofErr w:type="spellEnd"/>
      <w:r>
        <w:t xml:space="preserve">, NY: </w:t>
      </w:r>
      <w:proofErr w:type="spellStart"/>
      <w:r>
        <w:t>Vivida</w:t>
      </w:r>
      <w:proofErr w:type="spellEnd"/>
      <w:r>
        <w:t xml:space="preserve"> Press.</w:t>
      </w:r>
    </w:p>
    <w:p w:rsidR="0009261D" w:rsidRPr="0009261D" w:rsidRDefault="0009261D" w:rsidP="0009261D">
      <w:pPr>
        <w:ind w:left="720" w:hanging="720"/>
      </w:pPr>
      <w:r w:rsidRPr="0009261D">
        <w:t>American Association for the Advancement of Sci</w:t>
      </w:r>
      <w:r w:rsidR="00C021D8">
        <w:t>ence. (2018a). Defense, nondefense, and t</w:t>
      </w:r>
      <w:r w:rsidRPr="0009261D">
        <w: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w:t>
      </w:r>
      <w:r w:rsidR="00C021D8">
        <w:t>. (2018b). University science &amp; engineering R&amp;D f</w:t>
      </w:r>
      <w:r w:rsidRPr="0009261D">
        <w:t xml:space="preserve">unding by </w:t>
      </w:r>
      <w:r w:rsidR="00C021D8">
        <w:t>s</w:t>
      </w:r>
      <w:r w:rsidRPr="0009261D">
        <w:t>ource, 1990-2017 [Data file]. Retrieved from https://www.aaas.org/programs/r-d-budget-and-policy/historical-trends-federal-rd</w:t>
      </w:r>
    </w:p>
    <w:p w:rsidR="00287B8D" w:rsidRPr="00287B8D" w:rsidRDefault="00287B8D" w:rsidP="00287B8D">
      <w:pPr>
        <w:ind w:left="720" w:hanging="720"/>
        <w:rPr>
          <w:iCs/>
        </w:rPr>
      </w:pPr>
      <w:proofErr w:type="spellStart"/>
      <w:r w:rsidRPr="00287B8D">
        <w:rPr>
          <w:iCs/>
        </w:rPr>
        <w:t>Anatan</w:t>
      </w:r>
      <w:proofErr w:type="spellEnd"/>
      <w:r w:rsidRPr="00287B8D">
        <w:rPr>
          <w:iCs/>
        </w:rPr>
        <w:t xml:space="preserve">, L. (2015). Conceptual issues in university to industry knowledge transfer studies: A literature review. </w:t>
      </w:r>
      <w:r w:rsidRPr="00287B8D">
        <w:rPr>
          <w:i/>
          <w:iCs/>
        </w:rPr>
        <w:t>Procedia - Social and Behavioral Sciences, 211</w:t>
      </w:r>
      <w:r w:rsidRPr="00287B8D">
        <w:rPr>
          <w:iCs/>
        </w:rPr>
        <w:t xml:space="preserve">, 711-717. </w:t>
      </w:r>
      <w:proofErr w:type="gramStart"/>
      <w:r w:rsidRPr="00287B8D">
        <w:rPr>
          <w:iCs/>
        </w:rPr>
        <w:t>doi:10.1016/j.sbspro</w:t>
      </w:r>
      <w:proofErr w:type="gramEnd"/>
      <w:r w:rsidRPr="00287B8D">
        <w:rPr>
          <w:iCs/>
        </w:rPr>
        <w:t>.2015.11.090</w:t>
      </w:r>
    </w:p>
    <w:p w:rsidR="00A51FFE" w:rsidRDefault="00A51FFE" w:rsidP="00A51FFE">
      <w:pPr>
        <w:ind w:left="720" w:hanging="720"/>
      </w:pPr>
      <w:r w:rsidRPr="00A51FFE">
        <w:t xml:space="preserve">Anderson, </w:t>
      </w:r>
      <w:r w:rsidR="007B27B9">
        <w:t xml:space="preserve">T. R., </w:t>
      </w:r>
      <w:proofErr w:type="spellStart"/>
      <w:r w:rsidRPr="00A51FFE">
        <w:t>Daim</w:t>
      </w:r>
      <w:proofErr w:type="spellEnd"/>
      <w:r w:rsidRPr="00A51FFE">
        <w:t xml:space="preserve">,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proofErr w:type="spellStart"/>
      <w:r w:rsidR="007B27B9" w:rsidRPr="007B27B9">
        <w:rPr>
          <w:i/>
          <w:iCs/>
        </w:rPr>
        <w:t>Technovation</w:t>
      </w:r>
      <w:proofErr w:type="spellEnd"/>
      <w:r w:rsidR="007B27B9" w:rsidRPr="007B27B9">
        <w:rPr>
          <w:i/>
          <w:iCs/>
        </w:rPr>
        <w:t>, 27</w:t>
      </w:r>
      <w:r w:rsidR="007B27B9" w:rsidRPr="007B27B9">
        <w:t xml:space="preserve">(5), 306-318. </w:t>
      </w:r>
      <w:proofErr w:type="gramStart"/>
      <w:r w:rsidR="007B27B9" w:rsidRPr="007B27B9">
        <w:t>doi:10.1016/j.technovation</w:t>
      </w:r>
      <w:proofErr w:type="gramEnd"/>
      <w:r w:rsidR="007B27B9" w:rsidRPr="007B27B9">
        <w:t>.2006.10.003</w:t>
      </w:r>
    </w:p>
    <w:p w:rsidR="00287B8D" w:rsidRPr="00287B8D" w:rsidRDefault="00287B8D" w:rsidP="00287B8D">
      <w:pPr>
        <w:ind w:left="720" w:hanging="720"/>
        <w:rPr>
          <w:iCs/>
        </w:rPr>
      </w:pPr>
      <w:proofErr w:type="spellStart"/>
      <w:r w:rsidRPr="00287B8D">
        <w:rPr>
          <w:iCs/>
        </w:rPr>
        <w:t>Arshadi</w:t>
      </w:r>
      <w:proofErr w:type="spellEnd"/>
      <w:r w:rsidRPr="00287B8D">
        <w:rPr>
          <w:iCs/>
        </w:rPr>
        <w:t xml:space="preserve">,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proofErr w:type="spellStart"/>
      <w:r w:rsidRPr="00013318">
        <w:rPr>
          <w:iCs/>
        </w:rPr>
        <w:t>Baek</w:t>
      </w:r>
      <w:proofErr w:type="spellEnd"/>
      <w:r w:rsidRPr="00013318">
        <w:rPr>
          <w:iCs/>
        </w:rPr>
        <w:t xml:space="preserve">,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proofErr w:type="spellStart"/>
      <w:r>
        <w:rPr>
          <w:iCs/>
        </w:rPr>
        <w:t>Banke</w:t>
      </w:r>
      <w:proofErr w:type="spellEnd"/>
      <w:r>
        <w:rPr>
          <w:iCs/>
        </w:rPr>
        <w:t>,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F1736E" w:rsidRDefault="00F1736E" w:rsidP="00287B8D">
      <w:pPr>
        <w:ind w:left="720" w:hanging="720"/>
      </w:pPr>
      <w:proofErr w:type="spellStart"/>
      <w:r w:rsidRPr="00F1736E">
        <w:t>Battistella</w:t>
      </w:r>
      <w:proofErr w:type="spellEnd"/>
      <w:r w:rsidRPr="00F1736E">
        <w:t xml:space="preserve">, C., De Toni, A. F., &amp; </w:t>
      </w:r>
      <w:proofErr w:type="spellStart"/>
      <w:r w:rsidRPr="00F1736E">
        <w:t>Pillon</w:t>
      </w:r>
      <w:proofErr w:type="spellEnd"/>
      <w:r w:rsidRPr="00F1736E">
        <w:t xml:space="preserve">, R. (2016). Inter-organizational technology/knowledge transfer: A framework from critical literature review. </w:t>
      </w:r>
      <w:r w:rsidRPr="00F1736E">
        <w:rPr>
          <w:i/>
        </w:rPr>
        <w:t>The Journal of Technology Transfer</w:t>
      </w:r>
      <w:r w:rsidRPr="00F1736E">
        <w:t>, 41(5), 1195–1234.</w:t>
      </w:r>
    </w:p>
    <w:p w:rsidR="00A303D0" w:rsidRDefault="00A303D0" w:rsidP="00287B8D">
      <w:pPr>
        <w:ind w:left="720" w:hanging="720"/>
      </w:pPr>
      <w:r>
        <w:t xml:space="preserve">Benson, D. C. (2012). The ballet of the planets: </w:t>
      </w:r>
      <w:r w:rsidR="00C466E0">
        <w:t>A mathematician’s musings o</w:t>
      </w:r>
      <w:r>
        <w:t>n the mathematical elegance of planetary motion. New York, NY: Oxford University Press.</w:t>
      </w:r>
    </w:p>
    <w:p w:rsidR="00A30B61" w:rsidRDefault="00A30B61" w:rsidP="00287B8D">
      <w:pPr>
        <w:ind w:left="720" w:hanging="720"/>
      </w:pPr>
      <w:r>
        <w:t xml:space="preserve">Blank, S., &amp; Dorf, B. (2012). The startup owner’s manual: The step-by-step guide for building a great company. </w:t>
      </w:r>
      <w:proofErr w:type="spellStart"/>
      <w:r>
        <w:t>Pescadero</w:t>
      </w:r>
      <w:proofErr w:type="spellEnd"/>
      <w:r>
        <w:t>,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w:t>
      </w:r>
      <w:r w:rsidRPr="00653692">
        <w:rPr>
          <w:i/>
        </w:rPr>
        <w:lastRenderedPageBreak/>
        <w:t>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proofErr w:type="spellStart"/>
      <w:r w:rsidRPr="0009261D">
        <w:t>Cairney</w:t>
      </w:r>
      <w:proofErr w:type="spellEnd"/>
      <w:r w:rsidRPr="0009261D">
        <w:t xml:space="preserve">, P. (2016).  </w:t>
      </w:r>
      <w:r w:rsidRPr="00133234">
        <w:rPr>
          <w:iCs/>
        </w:rPr>
        <w:t>What is Policy?</w:t>
      </w:r>
      <w:r w:rsidRPr="0009261D">
        <w:rPr>
          <w:i/>
          <w:iCs/>
        </w:rPr>
        <w:t xml:space="preserve"> </w:t>
      </w:r>
      <w:r w:rsidR="00133234" w:rsidRPr="00133234">
        <w:rPr>
          <w:i/>
          <w:iCs/>
        </w:rPr>
        <w:t xml:space="preserve">Paul </w:t>
      </w:r>
      <w:proofErr w:type="spellStart"/>
      <w:r w:rsidR="00133234" w:rsidRPr="00133234">
        <w:rPr>
          <w:i/>
          <w:iCs/>
        </w:rPr>
        <w:t>Cairney</w:t>
      </w:r>
      <w:proofErr w:type="spellEnd"/>
      <w:r w:rsidR="00133234">
        <w:rPr>
          <w:iCs/>
        </w:rPr>
        <w:t xml:space="preserve">. </w:t>
      </w:r>
      <w:r w:rsidRPr="0009261D">
        <w:t>Retrieved April 11, 2019, from https://paulcairney.wordpress.com/2016/03/04/what-is-policy-3/</w:t>
      </w:r>
    </w:p>
    <w:p w:rsidR="00287B8D" w:rsidRDefault="00287B8D" w:rsidP="00287B8D">
      <w:pPr>
        <w:ind w:left="720" w:hanging="720"/>
      </w:pPr>
      <w:proofErr w:type="spellStart"/>
      <w:r w:rsidRPr="00287B8D">
        <w:t>Carlsson</w:t>
      </w:r>
      <w:proofErr w:type="spellEnd"/>
      <w:r w:rsidRPr="00287B8D">
        <w:t xml:space="preserve">, B., &amp; </w:t>
      </w:r>
      <w:proofErr w:type="spellStart"/>
      <w:r w:rsidRPr="00287B8D">
        <w:t>Fridh</w:t>
      </w:r>
      <w:proofErr w:type="spellEnd"/>
      <w:r w:rsidRPr="00287B8D">
        <w:t xml:space="preserve">, A.-C. (2002). Technology transfer in United States universities: A survey and statistical analysis. </w:t>
      </w:r>
      <w:r w:rsidRPr="00287B8D">
        <w:rPr>
          <w:i/>
          <w:iCs/>
        </w:rPr>
        <w:t>Journal of Evolutionary Economics, 12</w:t>
      </w:r>
      <w:r w:rsidRPr="00287B8D">
        <w:t>(1/2), 199. doi:10.1007/s00191-002-0105-0</w:t>
      </w:r>
    </w:p>
    <w:p w:rsidR="00DA3F4D" w:rsidRDefault="00DA3F4D" w:rsidP="00C63BD8">
      <w:pPr>
        <w:ind w:left="720" w:hanging="720"/>
      </w:pPr>
      <w:r w:rsidRPr="00DA3F4D">
        <w:t xml:space="preserve">Choi, J., Jang, D., Jun, S., &amp; Park, S. (2015). A Predictive Model of Technology Transfer Using Patent Analysis. </w:t>
      </w:r>
      <w:r w:rsidRPr="00DA3F4D">
        <w:rPr>
          <w:i/>
          <w:iCs/>
        </w:rPr>
        <w:t>Sustainability (2071-1050), 7</w:t>
      </w:r>
      <w:r w:rsidRPr="00DA3F4D">
        <w:t>(12), 16175. Retrieved from http://lib.slu.edu</w:t>
      </w:r>
    </w:p>
    <w:p w:rsidR="00C63BD8" w:rsidRPr="00C63BD8" w:rsidRDefault="00C63BD8" w:rsidP="00C63BD8">
      <w:pPr>
        <w:ind w:left="720" w:hanging="720"/>
      </w:pPr>
      <w:r w:rsidRPr="00C63BD8">
        <w:t xml:space="preserve">Chu, B. (2013). Fostering technology transfer, innovation, and entrepreneurship from the perspective of a public university. In K. </w:t>
      </w:r>
      <w:proofErr w:type="spellStart"/>
      <w:r w:rsidRPr="00C63BD8">
        <w:t>Hishida</w:t>
      </w:r>
      <w:proofErr w:type="spellEnd"/>
      <w:r w:rsidRPr="00C63BD8">
        <w:t xml:space="preserve">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00BC3B4D">
        <w:t>Statement on s</w:t>
      </w:r>
      <w:r w:rsidRPr="00E45902">
        <w:t>igning the</w:t>
      </w:r>
      <w:r>
        <w:t xml:space="preserve"> </w:t>
      </w:r>
      <w:r w:rsidRPr="00E45902">
        <w:t>Technology Transfer</w:t>
      </w:r>
      <w:r>
        <w:t xml:space="preserve"> </w:t>
      </w:r>
      <w:r w:rsidRPr="00E45902">
        <w:t>Commercialization Act of 2000</w:t>
      </w:r>
      <w:r>
        <w:t xml:space="preserve">. </w:t>
      </w:r>
      <w:r>
        <w:rPr>
          <w:i/>
        </w:rPr>
        <w:t xml:space="preserve">Weekly </w:t>
      </w:r>
      <w:r w:rsidR="00BC3B4D">
        <w:rPr>
          <w:i/>
        </w:rPr>
        <w:t>compilation of presidential d</w:t>
      </w:r>
      <w:r w:rsidRPr="00B844FA">
        <w:rPr>
          <w:i/>
        </w:rPr>
        <w:t>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C</w:t>
      </w:r>
      <w:r w:rsidR="00407AFB">
        <w:t>ongressional Budget Office</w:t>
      </w:r>
      <w:r w:rsidR="000265A8">
        <w:t>. (2018). Historical budget d</w:t>
      </w:r>
      <w:r w:rsidRPr="00CE098E">
        <w:t xml:space="preserve">ata [Data file]. </w:t>
      </w:r>
      <w:r w:rsidR="000265A8">
        <w:rPr>
          <w:i/>
        </w:rPr>
        <w:t>The budget and economic o</w:t>
      </w:r>
      <w:r w:rsidRPr="00CE098E">
        <w:rPr>
          <w:i/>
        </w:rPr>
        <w:t>utlook: 2018 to 2028</w:t>
      </w:r>
      <w:r w:rsidRPr="00CE098E">
        <w:t>. Retrieved from https://www.cbo.gov/about/products/budget-economic-data#2</w:t>
      </w:r>
    </w:p>
    <w:p w:rsidR="00A4789C" w:rsidRDefault="00A4789C" w:rsidP="0009261D">
      <w:pPr>
        <w:ind w:left="720" w:hanging="720"/>
      </w:pPr>
      <w:proofErr w:type="spellStart"/>
      <w:r w:rsidRPr="00A4789C">
        <w:lastRenderedPageBreak/>
        <w:t>Cyert</w:t>
      </w:r>
      <w:proofErr w:type="spellEnd"/>
      <w:r w:rsidRPr="00A4789C">
        <w:t xml:space="preserve">, R. M., &amp; March, J. G. (1963). </w:t>
      </w:r>
      <w:r w:rsidRPr="00A4789C">
        <w:rPr>
          <w:i/>
          <w:iCs/>
        </w:rPr>
        <w:t>A behavioral theory of the firm</w:t>
      </w:r>
      <w:r w:rsidRPr="00A4789C">
        <w:t xml:space="preserve">. </w:t>
      </w:r>
      <w:proofErr w:type="spellStart"/>
      <w:r w:rsidRPr="00A4789C">
        <w:t>Engelwood</w:t>
      </w:r>
      <w:proofErr w:type="spellEnd"/>
      <w:r w:rsidRPr="00A4789C">
        <w:t xml:space="preserve">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950E46" w:rsidP="0009261D">
      <w:pPr>
        <w:ind w:left="720" w:hanging="720"/>
      </w:pPr>
      <w:r>
        <w:rPr>
          <w:i/>
        </w:rPr>
        <w:t>Daily compilation of presidential d</w:t>
      </w:r>
      <w:r w:rsidR="0009261D" w:rsidRPr="0009261D">
        <w:rPr>
          <w:i/>
        </w:rPr>
        <w:t>ocuments</w:t>
      </w:r>
      <w:r w:rsidR="0009261D" w:rsidRPr="0009261D">
        <w:t xml:space="preserve">. (2011, October 28). Retrieved </w:t>
      </w:r>
      <w:proofErr w:type="gramStart"/>
      <w:r w:rsidR="0009261D" w:rsidRPr="0009261D">
        <w:t>from  https://www.govinfo.gov/app/collection/CPD/</w:t>
      </w:r>
      <w:proofErr w:type="gramEnd"/>
    </w:p>
    <w:p w:rsidR="00963CB0" w:rsidRDefault="00963CB0" w:rsidP="00CF7AE4">
      <w:pPr>
        <w:ind w:left="720" w:hanging="720"/>
      </w:pPr>
      <w:proofErr w:type="spellStart"/>
      <w:r w:rsidRPr="00963CB0">
        <w:t>Desmarais</w:t>
      </w:r>
      <w:proofErr w:type="spellEnd"/>
      <w:r w:rsidRPr="00963CB0">
        <w:t xml:space="preserve">-Tremblay,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w:t>
      </w:r>
      <w:proofErr w:type="spellStart"/>
      <w:r w:rsidRPr="00287B8D">
        <w:t>Reymen</w:t>
      </w:r>
      <w:proofErr w:type="spellEnd"/>
      <w:r w:rsidRPr="00287B8D">
        <w:t xml:space="preserve">, I. M. M. J., &amp; </w:t>
      </w:r>
      <w:proofErr w:type="spellStart"/>
      <w:r w:rsidRPr="00287B8D">
        <w:t>Romme</w:t>
      </w:r>
      <w:proofErr w:type="spellEnd"/>
      <w:r w:rsidRPr="00287B8D">
        <w:t xml:space="preserve">, A. G. L. (2016). The evaluation of university inventions: Judging a book by its cover? </w:t>
      </w:r>
      <w:r w:rsidRPr="00287B8D">
        <w:rPr>
          <w:i/>
          <w:iCs/>
        </w:rPr>
        <w:t>Journal of Business Research, 69</w:t>
      </w:r>
      <w:r w:rsidRPr="00287B8D">
        <w:t xml:space="preserve">(11), 4998-5001. </w:t>
      </w:r>
      <w:proofErr w:type="gramStart"/>
      <w:r w:rsidRPr="00287B8D">
        <w:t>doi:10.1016/j.jbusres</w:t>
      </w:r>
      <w:proofErr w:type="gramEnd"/>
      <w:r w:rsidRPr="00287B8D">
        <w:t>.2016.04.070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w:t>
      </w:r>
      <w:proofErr w:type="spellStart"/>
      <w:r w:rsidRPr="00DB72A2">
        <w:t>Organisations</w:t>
      </w:r>
      <w:proofErr w:type="spellEnd"/>
      <w:r w:rsidRPr="00DB72A2">
        <w:t xml:space="preserve"> [EARTO]. (2014). </w:t>
      </w:r>
      <w:r w:rsidR="00A8523F">
        <w:rPr>
          <w:i/>
          <w:iCs/>
        </w:rPr>
        <w:t>The TRL scale as a research and innovation policy t</w:t>
      </w:r>
      <w:r w:rsidRPr="00DB72A2">
        <w:rPr>
          <w:i/>
          <w:iCs/>
        </w:rPr>
        <w:t>ool</w:t>
      </w:r>
      <w:r w:rsidRPr="00DB72A2">
        <w:t>. Retrieved from http://www.earto.eu/fileadmin/content/03_Publications/The_TRL_Scale_as_a_R_I_Policy_Tool_-_EARTO_Recommendations_-_Final.pdf</w:t>
      </w:r>
    </w:p>
    <w:p w:rsidR="00287B8D" w:rsidRPr="00287B8D" w:rsidRDefault="00287B8D" w:rsidP="00287B8D">
      <w:pPr>
        <w:ind w:left="720" w:hanging="720"/>
      </w:pPr>
      <w:proofErr w:type="spellStart"/>
      <w:r w:rsidRPr="00287B8D">
        <w:t>Feibleman</w:t>
      </w:r>
      <w:proofErr w:type="spellEnd"/>
      <w:r w:rsidRPr="00287B8D">
        <w:t xml:space="preserve">,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proofErr w:type="spellStart"/>
      <w:r w:rsidRPr="00135498">
        <w:t>Fellnhofer</w:t>
      </w:r>
      <w:proofErr w:type="spellEnd"/>
      <w:r w:rsidRPr="00135498">
        <w:t xml:space="preserve">,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w:t>
      </w:r>
      <w:r w:rsidRPr="00135498">
        <w:lastRenderedPageBreak/>
        <w:t>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proofErr w:type="spellStart"/>
      <w:r w:rsidRPr="00533EB5">
        <w:t>Frické</w:t>
      </w:r>
      <w:proofErr w:type="spellEnd"/>
      <w:r w:rsidRPr="00533EB5">
        <w:t xml:space="preserve">,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González-</w:t>
      </w:r>
      <w:proofErr w:type="spellStart"/>
      <w:r w:rsidRPr="00A51FFE">
        <w:t>Pernía</w:t>
      </w:r>
      <w:proofErr w:type="spellEnd"/>
      <w:r w:rsidRPr="00A51FFE">
        <w:t xml:space="preserve">, </w:t>
      </w:r>
      <w:r>
        <w:t xml:space="preserve">J. L., </w:t>
      </w:r>
      <w:proofErr w:type="spellStart"/>
      <w:r w:rsidRPr="00A51FFE">
        <w:t>Kuechle</w:t>
      </w:r>
      <w:proofErr w:type="spellEnd"/>
      <w:r w:rsidRPr="00A51FFE">
        <w:t xml:space="preserve">, </w:t>
      </w:r>
      <w:r>
        <w:t xml:space="preserve">G., </w:t>
      </w:r>
      <w:r w:rsidRPr="00A51FFE">
        <w:t>&amp; Peña-</w:t>
      </w:r>
      <w:proofErr w:type="spellStart"/>
      <w:r w:rsidRPr="00A51FFE">
        <w:t>Legazkue</w:t>
      </w:r>
      <w:proofErr w:type="spellEnd"/>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proofErr w:type="spellStart"/>
      <w:r w:rsidRPr="00051FA5">
        <w:t>Gulbrandsen</w:t>
      </w:r>
      <w:proofErr w:type="spellEnd"/>
      <w:r w:rsidRPr="00051FA5">
        <w:t xml:space="preserve">,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proofErr w:type="spellStart"/>
      <w:r w:rsidRPr="00C23F30">
        <w:t>Gulbrandsen</w:t>
      </w:r>
      <w:proofErr w:type="spellEnd"/>
      <w:r w:rsidRPr="00C23F30">
        <w:t xml:space="preserve">, M., &amp; Rasmussen, E. (2012). The use and development of indicators for the </w:t>
      </w:r>
      <w:proofErr w:type="spellStart"/>
      <w:r w:rsidRPr="00C23F30">
        <w:t>commercialisation</w:t>
      </w:r>
      <w:proofErr w:type="spellEnd"/>
      <w:r w:rsidRPr="00C23F30">
        <w:t xml:space="preserve"> of university research in a national support </w:t>
      </w:r>
      <w:proofErr w:type="spellStart"/>
      <w:r w:rsidRPr="00C23F30">
        <w:t>programme</w:t>
      </w:r>
      <w:proofErr w:type="spellEnd"/>
      <w:r w:rsidRPr="00C23F30">
        <w:t xml:space="preserv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lastRenderedPageBreak/>
        <w:t xml:space="preserve">Hallam, C. R. A., Wurth, B., &amp; Mancha, R. (2014). University-industry technology transfer: a systems approach with policy implications. </w:t>
      </w:r>
      <w:r w:rsidRPr="008A53D4">
        <w:rPr>
          <w:i/>
          <w:iCs/>
        </w:rPr>
        <w:t xml:space="preserve">International Journal of Technology Transfer &amp; </w:t>
      </w:r>
      <w:proofErr w:type="spellStart"/>
      <w:r w:rsidRPr="008A53D4">
        <w:rPr>
          <w:i/>
          <w:iCs/>
        </w:rPr>
        <w:t>Commercialisation</w:t>
      </w:r>
      <w:proofErr w:type="spellEnd"/>
      <w:r w:rsidRPr="008A53D4">
        <w:rPr>
          <w:i/>
          <w:iCs/>
        </w:rPr>
        <w:t>, 13</w:t>
      </w:r>
      <w:r w:rsidRPr="008A53D4">
        <w:t>(1-2), 57.</w:t>
      </w:r>
    </w:p>
    <w:p w:rsidR="00287B8D" w:rsidRPr="00287B8D" w:rsidRDefault="00287B8D" w:rsidP="00287B8D">
      <w:pPr>
        <w:ind w:left="720" w:hanging="720"/>
      </w:pPr>
      <w:proofErr w:type="spellStart"/>
      <w:r w:rsidRPr="00287B8D">
        <w:t>Heisey</w:t>
      </w:r>
      <w:proofErr w:type="spellEnd"/>
      <w:r w:rsidRPr="00287B8D">
        <w:t xml:space="preserve">,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proofErr w:type="spellStart"/>
      <w:r w:rsidRPr="00287B8D">
        <w:t>Herschbach</w:t>
      </w:r>
      <w:proofErr w:type="spellEnd"/>
      <w:r w:rsidRPr="00287B8D">
        <w:t xml:space="preserve">, D. R. (1995). Technology as knowledge: Implications for instruction. </w:t>
      </w:r>
      <w:r w:rsidRPr="00287B8D">
        <w:rPr>
          <w:i/>
          <w:iCs/>
        </w:rPr>
        <w:t>Volume 7 Issue 1 (fall 1995)</w:t>
      </w:r>
      <w:r w:rsidRPr="00287B8D">
        <w:t>. Retrieved from https://vtechworks.lib.vt.edu/bitstream/handle/10919/8589/herschbach.pdf?sequence=1</w:t>
      </w:r>
    </w:p>
    <w:p w:rsidR="001D2ACA" w:rsidRDefault="0035457F" w:rsidP="001D2ACA">
      <w:pPr>
        <w:ind w:left="720" w:hanging="720"/>
      </w:pPr>
      <w:r>
        <w:t xml:space="preserve">Herzog, R. M., &amp; </w:t>
      </w:r>
      <w:proofErr w:type="spellStart"/>
      <w:r>
        <w:t>Wasden</w:t>
      </w:r>
      <w:proofErr w:type="spellEnd"/>
      <w:r>
        <w:t xml:space="preserve">, C. </w:t>
      </w:r>
      <w:r w:rsidRPr="00BC339F">
        <w:t xml:space="preserve">(2013). </w:t>
      </w:r>
      <w:r>
        <w:t xml:space="preserve">Managing life science innovations in public research through holistic performance measures. In K. </w:t>
      </w:r>
      <w:proofErr w:type="spellStart"/>
      <w:r w:rsidRPr="00BC339F">
        <w:t>Hishida</w:t>
      </w:r>
      <w:proofErr w:type="spellEnd"/>
      <w:r w:rsidRPr="00BC339F">
        <w:t xml:space="preserve">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2857E1" w:rsidRDefault="002857E1" w:rsidP="00C63BD8">
      <w:pPr>
        <w:ind w:left="720" w:hanging="720"/>
      </w:pPr>
      <w:r w:rsidRPr="002857E1">
        <w:t xml:space="preserve">Hidalgo, A., &amp; </w:t>
      </w:r>
      <w:proofErr w:type="spellStart"/>
      <w:r w:rsidRPr="002857E1">
        <w:t>Albors</w:t>
      </w:r>
      <w:proofErr w:type="spellEnd"/>
      <w:r w:rsidRPr="002857E1">
        <w:t xml:space="preserve">, J. (2011). University-industry technology transfer models: An empirical analysis. </w:t>
      </w:r>
      <w:r w:rsidRPr="002857E1">
        <w:rPr>
          <w:i/>
          <w:iCs/>
        </w:rPr>
        <w:t>International Journal of Innovation and Learning, 9</w:t>
      </w:r>
      <w:r w:rsidRPr="002857E1">
        <w:t>(2), 204-223. doi:10.1504/IJIL.2011.038544</w:t>
      </w:r>
    </w:p>
    <w:p w:rsidR="00C63BD8" w:rsidRPr="00C63BD8" w:rsidRDefault="00C63BD8" w:rsidP="00C63BD8">
      <w:pPr>
        <w:ind w:left="720" w:hanging="720"/>
      </w:pPr>
      <w:proofErr w:type="spellStart"/>
      <w:r w:rsidRPr="00C63BD8">
        <w:t>Hishida</w:t>
      </w:r>
      <w:proofErr w:type="spellEnd"/>
      <w:r w:rsidRPr="00C63BD8">
        <w:t xml:space="preserve">,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proofErr w:type="spellStart"/>
      <w:r w:rsidRPr="00EB405F">
        <w:t>Hockstad</w:t>
      </w:r>
      <w:proofErr w:type="spellEnd"/>
      <w:r w:rsidRPr="00EB405F">
        <w:t xml:space="preserve">, D., </w:t>
      </w:r>
      <w:proofErr w:type="spellStart"/>
      <w:r w:rsidRPr="00EB405F">
        <w:t>Mahurin</w:t>
      </w:r>
      <w:proofErr w:type="spellEnd"/>
      <w:r w:rsidRPr="00EB405F">
        <w:t xml:space="preserve">, R., Miner, J., Porter, K. W., Robertson, R., &amp; </w:t>
      </w:r>
      <w:proofErr w:type="spellStart"/>
      <w:r w:rsidRPr="00EB405F">
        <w:t>Savatski</w:t>
      </w:r>
      <w:proofErr w:type="spellEnd"/>
      <w:r w:rsidRPr="00EB405F">
        <w:t xml:space="preserve">,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t xml:space="preserve">Hudson, J., &amp; </w:t>
      </w:r>
      <w:proofErr w:type="spellStart"/>
      <w:r w:rsidRPr="007F5C5C">
        <w:t>Khazragui</w:t>
      </w:r>
      <w:proofErr w:type="spellEnd"/>
      <w:r w:rsidRPr="007F5C5C">
        <w:t xml:space="preserve">,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lastRenderedPageBreak/>
        <w:t xml:space="preserve">Ismail, M., </w:t>
      </w:r>
      <w:proofErr w:type="spellStart"/>
      <w:r w:rsidRPr="00C63BD8">
        <w:t>Hamzah</w:t>
      </w:r>
      <w:proofErr w:type="spellEnd"/>
      <w:r w:rsidRPr="00C63BD8">
        <w:t xml:space="preserve">, S. R. a., &amp; </w:t>
      </w:r>
      <w:proofErr w:type="spellStart"/>
      <w:r w:rsidRPr="00C63BD8">
        <w:t>Bebenroth</w:t>
      </w:r>
      <w:proofErr w:type="spellEnd"/>
      <w:r w:rsidRPr="00C63BD8">
        <w:t xml:space="preserve">,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proofErr w:type="spellStart"/>
      <w:r w:rsidRPr="00C63BD8">
        <w:t>K</w:t>
      </w:r>
      <w:r w:rsidR="002B3616">
        <w:t>ahneman</w:t>
      </w:r>
      <w:proofErr w:type="spellEnd"/>
      <w:r w:rsidR="002B3616">
        <w:t xml:space="preserve">, D., &amp; </w:t>
      </w:r>
      <w:proofErr w:type="spellStart"/>
      <w:r w:rsidR="002B3616">
        <w:t>Tversky</w:t>
      </w:r>
      <w:proofErr w:type="spellEnd"/>
      <w:r w:rsidR="002B3616">
        <w:t>, A. (1979</w:t>
      </w:r>
      <w:r w:rsidRPr="00C63BD8">
        <w:t>). Prospect theory</w:t>
      </w:r>
      <w:r w:rsidR="002B3616">
        <w:t xml:space="preserve">: </w:t>
      </w:r>
      <w:r w:rsidR="002B3616" w:rsidRPr="00C63BD8">
        <w:t>An analysis of decision under risk</w:t>
      </w:r>
      <w:r w:rsidRPr="00C63BD8">
        <w:t xml:space="preserve">. </w:t>
      </w:r>
      <w:proofErr w:type="spellStart"/>
      <w:r w:rsidRPr="00C63BD8">
        <w:rPr>
          <w:i/>
          <w:iCs/>
        </w:rPr>
        <w:t>Econometrica</w:t>
      </w:r>
      <w:proofErr w:type="spellEnd"/>
      <w:r w:rsidRPr="00C63BD8">
        <w:t xml:space="preserve">, </w:t>
      </w:r>
      <w:r w:rsidR="002B3616" w:rsidRPr="002B3616">
        <w:rPr>
          <w:i/>
        </w:rPr>
        <w:t>47</w:t>
      </w:r>
      <w:r w:rsidR="002B3616">
        <w:t>(2), 263-292</w:t>
      </w:r>
      <w:r w:rsidRPr="00C63BD8">
        <w:t>.</w:t>
      </w:r>
      <w:r w:rsidR="002B3616">
        <w:t xml:space="preserve"> Retrieved from </w:t>
      </w:r>
      <w:r w:rsidR="006A62ED">
        <w:t>http://lib.slu.edu</w:t>
      </w:r>
    </w:p>
    <w:p w:rsidR="00C63BD8" w:rsidRPr="00C63BD8" w:rsidRDefault="00C63BD8" w:rsidP="00C63BD8">
      <w:pPr>
        <w:ind w:left="720" w:hanging="720"/>
      </w:pPr>
      <w:proofErr w:type="spellStart"/>
      <w:r w:rsidRPr="00C63BD8">
        <w:t>Kahneman</w:t>
      </w:r>
      <w:proofErr w:type="spellEnd"/>
      <w:r w:rsidRPr="00C63BD8">
        <w:t xml:space="preserve">, D., &amp; </w:t>
      </w:r>
      <w:proofErr w:type="spellStart"/>
      <w:r w:rsidRPr="00C63BD8">
        <w:t>Tversky</w:t>
      </w:r>
      <w:proofErr w:type="spellEnd"/>
      <w:r w:rsidRPr="00C63BD8">
        <w:t xml:space="preserve">, A. (2013). Prospect theory: An analysis of decision under risk. In </w:t>
      </w:r>
      <w:r w:rsidRPr="00C63BD8">
        <w:rPr>
          <w:i/>
          <w:iCs/>
        </w:rPr>
        <w:t>Handbook of the fundamentals of financial decision making: Part I</w:t>
      </w:r>
      <w:r w:rsidRPr="00C63BD8">
        <w:t xml:space="preserve"> (pp. 99-127).</w:t>
      </w:r>
      <w:r w:rsidR="00695F12">
        <w:t xml:space="preserve"> World Scientific.</w:t>
      </w:r>
    </w:p>
    <w:p w:rsidR="00B669B5" w:rsidRDefault="00B669B5" w:rsidP="001D2ACA">
      <w:pPr>
        <w:ind w:left="720" w:hanging="720"/>
      </w:pPr>
      <w:r w:rsidRPr="00B669B5">
        <w:t xml:space="preserve">Kim, J., </w:t>
      </w:r>
      <w:proofErr w:type="spellStart"/>
      <w:r w:rsidRPr="00B669B5">
        <w:t>Diam</w:t>
      </w:r>
      <w:proofErr w:type="spellEnd"/>
      <w:r w:rsidRPr="00B669B5">
        <w:t xml:space="preserve">,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w:t>
      </w:r>
      <w:proofErr w:type="spellStart"/>
      <w:r>
        <w:t>doi</w:t>
      </w:r>
      <w:proofErr w:type="spellEnd"/>
      <w:r>
        <w:t xml:space="preserve">: </w:t>
      </w:r>
      <w:r w:rsidRPr="00B669B5">
        <w:t>10.1109/PICMET.2009.5261803</w:t>
      </w:r>
    </w:p>
    <w:p w:rsidR="00287B8D" w:rsidRPr="00287B8D" w:rsidRDefault="00287B8D" w:rsidP="001D2ACA">
      <w:pPr>
        <w:ind w:left="720" w:hanging="720"/>
      </w:pPr>
      <w:proofErr w:type="spellStart"/>
      <w:r w:rsidRPr="00287B8D">
        <w:t>Kochenkova</w:t>
      </w:r>
      <w:proofErr w:type="spellEnd"/>
      <w:r w:rsidRPr="00287B8D">
        <w:t xml:space="preserve">, A., Grimaldi, R., &amp; </w:t>
      </w:r>
      <w:proofErr w:type="spellStart"/>
      <w:r w:rsidRPr="00287B8D">
        <w:t>Munari</w:t>
      </w:r>
      <w:proofErr w:type="spellEnd"/>
      <w:r w:rsidRPr="00287B8D">
        <w:t xml:space="preserve">,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t xml:space="preserve">Kohler, H. (1992). </w:t>
      </w:r>
      <w:r w:rsidRPr="00DB76EA">
        <w:rPr>
          <w:i/>
        </w:rPr>
        <w:t>Microeconomics</w:t>
      </w:r>
      <w:r>
        <w:t>. Lexington, MA: D. C. Heath and Company.</w:t>
      </w:r>
    </w:p>
    <w:p w:rsidR="00287B8D" w:rsidRPr="00287B8D" w:rsidRDefault="00287B8D" w:rsidP="00287B8D">
      <w:pPr>
        <w:ind w:left="720" w:hanging="720"/>
      </w:pPr>
      <w:proofErr w:type="spellStart"/>
      <w:r w:rsidRPr="00287B8D">
        <w:t>Kundu</w:t>
      </w:r>
      <w:proofErr w:type="spellEnd"/>
      <w:r w:rsidRPr="00287B8D">
        <w:t xml:space="preserve">, N., </w:t>
      </w:r>
      <w:proofErr w:type="spellStart"/>
      <w:r w:rsidRPr="00287B8D">
        <w:t>Bhar</w:t>
      </w:r>
      <w:proofErr w:type="spellEnd"/>
      <w:r w:rsidRPr="00287B8D">
        <w:t xml:space="preserve">, C., &amp; </w:t>
      </w:r>
      <w:proofErr w:type="spellStart"/>
      <w:r w:rsidRPr="00287B8D">
        <w:t>Pandurangan</w:t>
      </w:r>
      <w:proofErr w:type="spellEnd"/>
      <w:r w:rsidRPr="00287B8D">
        <w:t xml:space="preserve">, V. (2015). Managing Technology Transfer: An Analysis of Intrinsic Factors. </w:t>
      </w:r>
      <w:r w:rsidRPr="00287B8D">
        <w:rPr>
          <w:i/>
          <w:iCs/>
        </w:rPr>
        <w:t>South Asian Journal of Management, 22</w:t>
      </w:r>
      <w:r w:rsidRPr="00287B8D">
        <w:t xml:space="preserve">(3), 69-95. </w:t>
      </w:r>
      <w:proofErr w:type="spellStart"/>
      <w:proofErr w:type="gramStart"/>
      <w:r w:rsidRPr="00287B8D">
        <w:t>doi:Retrieved</w:t>
      </w:r>
      <w:proofErr w:type="spellEnd"/>
      <w:proofErr w:type="gramEnd"/>
      <w:r w:rsidRPr="00287B8D">
        <w:t xml:space="preserve"> from http://lib.slu.edu</w:t>
      </w:r>
    </w:p>
    <w:p w:rsidR="00287B8D" w:rsidRPr="00287B8D" w:rsidRDefault="00287B8D" w:rsidP="00287B8D">
      <w:pPr>
        <w:ind w:left="720" w:hanging="720"/>
      </w:pPr>
      <w:proofErr w:type="spellStart"/>
      <w:r w:rsidRPr="00287B8D">
        <w:t>Kuo</w:t>
      </w:r>
      <w:proofErr w:type="spellEnd"/>
      <w:r w:rsidRPr="00287B8D">
        <w:t xml:space="preserve">,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proofErr w:type="spellStart"/>
      <w:r w:rsidRPr="00287B8D">
        <w:t>Lall</w:t>
      </w:r>
      <w:proofErr w:type="spellEnd"/>
      <w:r w:rsidRPr="00287B8D">
        <w:t xml:space="preserve">,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lastRenderedPageBreak/>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w:t>
      </w:r>
      <w:proofErr w:type="spellStart"/>
      <w:r>
        <w:t>intraorganizational</w:t>
      </w:r>
      <w:proofErr w:type="spellEnd"/>
      <w:r>
        <w:t xml:space="preserve">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proofErr w:type="spellStart"/>
      <w:r w:rsidRPr="00287B8D">
        <w:t>Libecap</w:t>
      </w:r>
      <w:proofErr w:type="spellEnd"/>
      <w:r w:rsidRPr="00287B8D">
        <w:t xml:space="preserve">, G. D. (Ed.) (2009). </w:t>
      </w:r>
      <w:r w:rsidRPr="00287B8D">
        <w:rPr>
          <w:i/>
          <w:iCs/>
        </w:rPr>
        <w:t>Measuring the social value of innovation: A link in the university technology transfer and entrepreneurship equation</w:t>
      </w:r>
      <w:r w:rsidRPr="00287B8D">
        <w:t xml:space="preserve"> (Vol. 19). </w:t>
      </w:r>
      <w:proofErr w:type="spellStart"/>
      <w:r w:rsidRPr="00287B8D">
        <w:t>Bingly</w:t>
      </w:r>
      <w:proofErr w:type="spellEnd"/>
      <w:r w:rsidRPr="00287B8D">
        <w:t>,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 xml:space="preserve">Acta </w:t>
      </w:r>
      <w:proofErr w:type="spellStart"/>
      <w:r w:rsidRPr="00306C34">
        <w:rPr>
          <w:i/>
          <w:iCs/>
        </w:rPr>
        <w:t>Astronautica</w:t>
      </w:r>
      <w:proofErr w:type="spellEnd"/>
      <w:r w:rsidRPr="00306C34">
        <w:rPr>
          <w:i/>
          <w:iCs/>
        </w:rPr>
        <w:t>, 65</w:t>
      </w:r>
      <w:r>
        <w:t xml:space="preserve">(9-10), 1216-1223. </w:t>
      </w:r>
      <w:r w:rsidRPr="00306C34">
        <w:t>Retrieved from http://www.onethesis.com/wp-content/uploads/2016/11/1-s2.0-S0094576509002008-main.pdf</w:t>
      </w:r>
    </w:p>
    <w:p w:rsidR="006C0A3E" w:rsidRDefault="006C0A3E" w:rsidP="006C0A3E">
      <w:pPr>
        <w:ind w:left="720" w:hanging="720"/>
      </w:pPr>
      <w:r w:rsidRPr="006B1C5B">
        <w:lastRenderedPageBreak/>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w:t>
      </w:r>
      <w:proofErr w:type="spellStart"/>
      <w:r w:rsidRPr="00C63BD8">
        <w:t>Zur</w:t>
      </w:r>
      <w:proofErr w:type="spellEnd"/>
      <w:r w:rsidRPr="00C63BD8">
        <w:t xml:space="preserve"> </w:t>
      </w:r>
      <w:proofErr w:type="spellStart"/>
      <w:r w:rsidRPr="00C63BD8">
        <w:t>Shapria</w:t>
      </w:r>
      <w:proofErr w:type="spellEnd"/>
      <w:r w:rsidRPr="00C63BD8">
        <w:t xml:space="preserve">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 xml:space="preserve">academic </w:t>
      </w:r>
      <w:r w:rsidR="00DF11B5">
        <w:rPr>
          <w:i/>
        </w:rPr>
        <w:t>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w:t>
      </w:r>
      <w:proofErr w:type="spellStart"/>
      <w:r w:rsidRPr="00DF056D">
        <w:t>Aiman</w:t>
      </w:r>
      <w:proofErr w:type="spellEnd"/>
      <w:r w:rsidRPr="00DF056D">
        <w:t xml:space="preserve">‐Smith, L., &amp; </w:t>
      </w:r>
      <w:proofErr w:type="spellStart"/>
      <w:r w:rsidRPr="00DF056D">
        <w:t>Kingon</w:t>
      </w:r>
      <w:proofErr w:type="spellEnd"/>
      <w:r w:rsidRPr="00DF056D">
        <w:t xml:space="preserve">,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proofErr w:type="spellStart"/>
      <w:r w:rsidRPr="00756E53">
        <w:t>Markman</w:t>
      </w:r>
      <w:proofErr w:type="spellEnd"/>
      <w:r w:rsidRPr="00756E53">
        <w:t xml:space="preserve">, G. D., </w:t>
      </w:r>
      <w:proofErr w:type="spellStart"/>
      <w:r w:rsidRPr="00756E53">
        <w:t>Gianiodis</w:t>
      </w:r>
      <w:proofErr w:type="spellEnd"/>
      <w:r w:rsidRPr="00756E53">
        <w:t xml:space="preserve">, P. T., &amp; Phan, P. H. (2009). Supply-Side Innovation and Technology Commercialization. </w:t>
      </w:r>
      <w:r w:rsidRPr="00756E53">
        <w:rPr>
          <w:i/>
          <w:iCs/>
        </w:rPr>
        <w:t>Journal of Management Studies, 46</w:t>
      </w:r>
      <w:r w:rsidRPr="00756E53">
        <w:t>(4), 625-649. doi:10.1111/j.1467-6486.</w:t>
      </w:r>
      <w:proofErr w:type="gramStart"/>
      <w:r w:rsidRPr="00756E53">
        <w:t>2009.00835.x</w:t>
      </w:r>
      <w:proofErr w:type="gramEnd"/>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proofErr w:type="spellStart"/>
      <w:r w:rsidRPr="00C23F30">
        <w:lastRenderedPageBreak/>
        <w:t>Mercelis</w:t>
      </w:r>
      <w:proofErr w:type="spellEnd"/>
      <w:r w:rsidRPr="00C23F30">
        <w:t xml:space="preserve">, J., Galvez-Behar, G., &amp; </w:t>
      </w:r>
      <w:proofErr w:type="spellStart"/>
      <w:r w:rsidRPr="00C23F30">
        <w:t>Guagnini</w:t>
      </w:r>
      <w:proofErr w:type="spellEnd"/>
      <w:r w:rsidRPr="00C23F30">
        <w:t xml:space="preserve">,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w:t>
      </w:r>
      <w:proofErr w:type="spellStart"/>
      <w:r w:rsidRPr="00756E53">
        <w:t>Schatzberg</w:t>
      </w:r>
      <w:proofErr w:type="spellEnd"/>
      <w:r w:rsidRPr="00756E53">
        <w:t xml:space="preserve">, E. (2009). Defining technology and the engineering sciences. In A. W. </w:t>
      </w:r>
      <w:proofErr w:type="spellStart"/>
      <w:r w:rsidRPr="00756E53">
        <w:t>Meijers</w:t>
      </w:r>
      <w:proofErr w:type="spellEnd"/>
      <w:r w:rsidRPr="00756E53">
        <w:t xml:space="preserve">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w:t>
      </w:r>
      <w:proofErr w:type="spellStart"/>
      <w:r w:rsidRPr="00C63BD8">
        <w:t>Maasdorp</w:t>
      </w:r>
      <w:proofErr w:type="spellEnd"/>
      <w:r w:rsidRPr="00C63BD8">
        <w:t xml:space="preserve">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w:t>
      </w:r>
      <w:proofErr w:type="spellStart"/>
      <w:r w:rsidRPr="00C63BD8">
        <w:t>eds</w:t>
      </w:r>
      <w:proofErr w:type="spellEnd"/>
      <w:r w:rsidRPr="00C63BD8">
        <w:t>). Piscataway, NJ: Institute of Electrical and Electronics Engineers. doi:10. 1109/RCIS.2011.6006851</w:t>
      </w:r>
    </w:p>
    <w:p w:rsidR="00262B2D" w:rsidRDefault="00262B2D" w:rsidP="00262B2D">
      <w:pPr>
        <w:ind w:left="720" w:hanging="720"/>
      </w:pPr>
      <w:proofErr w:type="spellStart"/>
      <w:r w:rsidRPr="00262B2D">
        <w:t>Munteanu</w:t>
      </w:r>
      <w:proofErr w:type="spellEnd"/>
      <w:r w:rsidRPr="00262B2D">
        <w:t xml:space="preserve">,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008F6565">
        <w:t>.</w:t>
      </w:r>
      <w:r w:rsidRPr="00D97644">
        <w:t xml:space="preserve"> </w:t>
      </w:r>
      <w:r w:rsidR="008F6565" w:rsidRPr="00D97644">
        <w:t>Golden, CO</w:t>
      </w:r>
      <w:r w:rsidR="008F6565">
        <w:t>:</w:t>
      </w:r>
      <w:r w:rsidR="008F6565" w:rsidRPr="00D97644">
        <w:t xml:space="preserve"> </w:t>
      </w:r>
      <w:r w:rsidRPr="00D97644">
        <w:t>National Renewable Energy Laboratory.</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lastRenderedPageBreak/>
        <w:t>National Science Foundation, National Center for Science and Engineering Statistics. (</w:t>
      </w:r>
      <w:r w:rsidR="004255CA">
        <w:t>2020</w:t>
      </w:r>
      <w:r>
        <w:t xml:space="preserve">). </w:t>
      </w:r>
      <w:r w:rsidR="00F131A1">
        <w:t>Survey of federal funds for research and development, fiscal y</w:t>
      </w:r>
      <w:r w:rsidR="004255CA">
        <w:t>ears 2018-19</w:t>
      </w:r>
      <w:r w:rsidR="00315364">
        <w:t xml:space="preserve"> [Data file]</w:t>
      </w:r>
      <w:r w:rsidRPr="008E7F65">
        <w:t xml:space="preserve">. </w:t>
      </w:r>
      <w:r w:rsidR="00D42C53">
        <w:t xml:space="preserve">Retrieved May 7, 2020 from </w:t>
      </w:r>
      <w:r w:rsidRPr="008E7F65">
        <w:t>http://w</w:t>
      </w:r>
      <w:r w:rsidR="006C5F4B">
        <w:t>ww.nsf.gov/statistics/fedfunds/</w:t>
      </w:r>
    </w:p>
    <w:p w:rsidR="00B23160" w:rsidRDefault="00B23160" w:rsidP="001134F8">
      <w:pPr>
        <w:ind w:left="720" w:hanging="720"/>
      </w:pPr>
      <w:r w:rsidRPr="00B23160">
        <w:t xml:space="preserve">Noh, H., &amp; Lee, S. (2017). Where technology transfer research originated and where it is going: A quantitative analysis of literature published between 1980 and 2015. </w:t>
      </w:r>
      <w:r w:rsidRPr="00B23160">
        <w:rPr>
          <w:i/>
        </w:rPr>
        <w:t>The Journal of Technology Transfer</w:t>
      </w:r>
      <w:r w:rsidRPr="00B23160">
        <w:t>, 44(3), 700–740.</w:t>
      </w:r>
      <w:r w:rsidR="00C31AD0" w:rsidRPr="00C31AD0">
        <w:t xml:space="preserve"> </w:t>
      </w:r>
      <w:proofErr w:type="spellStart"/>
      <w:r w:rsidR="00C31AD0">
        <w:t>doi</w:t>
      </w:r>
      <w:proofErr w:type="spellEnd"/>
      <w:r w:rsidR="00C31AD0">
        <w:t xml:space="preserve">: </w:t>
      </w:r>
      <w:r w:rsidR="00C31AD0" w:rsidRPr="00C31AD0">
        <w:t>10.1007/s10961-017-9634-4</w:t>
      </w:r>
    </w:p>
    <w:p w:rsidR="00F173F2" w:rsidRDefault="00F173F2" w:rsidP="001134F8">
      <w:pPr>
        <w:ind w:left="720" w:hanging="720"/>
      </w:pPr>
      <w:r w:rsidRPr="00F173F2">
        <w:t xml:space="preserve">Nolte, W. L. (2008). </w:t>
      </w:r>
      <w:r w:rsidRPr="00F173F2">
        <w:rPr>
          <w:i/>
          <w:iCs/>
        </w:rPr>
        <w:t xml:space="preserve">Did I ever tell you about the </w:t>
      </w:r>
      <w:proofErr w:type="gramStart"/>
      <w:r w:rsidRPr="00F173F2">
        <w:rPr>
          <w:i/>
          <w:iCs/>
        </w:rPr>
        <w:t>whale?:</w:t>
      </w:r>
      <w:proofErr w:type="gramEnd"/>
      <w:r w:rsidRPr="00F173F2">
        <w:rPr>
          <w:i/>
          <w:iCs/>
        </w:rPr>
        <w:t xml:space="preserv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3863D8" w:rsidP="001134F8">
      <w:pPr>
        <w:ind w:left="720" w:hanging="720"/>
      </w:pPr>
      <w:r>
        <w:t>Office of Management and Budget</w:t>
      </w:r>
      <w:r w:rsidR="001134F8" w:rsidRPr="001134F8">
        <w:t xml:space="preserve">. (2002). </w:t>
      </w:r>
      <w:r w:rsidR="001134F8" w:rsidRPr="001134F8">
        <w:rPr>
          <w:i/>
        </w:rPr>
        <w:t>The President's Management Agenda</w:t>
      </w:r>
      <w:r w:rsidR="001134F8" w:rsidRPr="001134F8">
        <w:t>. Retrieved from http://www.dtic.mil/dtic/tr/fulltext/u2/a394421.pdf</w:t>
      </w:r>
    </w:p>
    <w:p w:rsidR="001134F8" w:rsidRPr="001134F8" w:rsidRDefault="001134F8" w:rsidP="001134F8">
      <w:pPr>
        <w:ind w:left="720" w:hanging="720"/>
      </w:pPr>
      <w:r w:rsidRPr="001134F8">
        <w:t>Office of Manag</w:t>
      </w:r>
      <w:r w:rsidR="003863D8">
        <w:t>ement and Budget</w:t>
      </w:r>
      <w:r w:rsidRPr="001134F8">
        <w:t xml:space="preserve">.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proofErr w:type="spellStart"/>
      <w:r w:rsidRPr="00843E9A">
        <w:t>Olechowski</w:t>
      </w:r>
      <w:proofErr w:type="spellEnd"/>
      <w:r w:rsidRPr="00843E9A">
        <w:t xml:space="preserve">, A., </w:t>
      </w:r>
      <w:proofErr w:type="spellStart"/>
      <w:r w:rsidRPr="00843E9A">
        <w:t>Eppinger</w:t>
      </w:r>
      <w:proofErr w:type="spellEnd"/>
      <w:r w:rsidRPr="00843E9A">
        <w:t xml:space="preserve">, S. D., &amp; </w:t>
      </w:r>
      <w:proofErr w:type="spellStart"/>
      <w:r w:rsidRPr="00843E9A">
        <w:t>Joglekar</w:t>
      </w:r>
      <w:proofErr w:type="spellEnd"/>
      <w:r w:rsidRPr="00843E9A">
        <w:t xml:space="preserve">,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proofErr w:type="spellStart"/>
      <w:r w:rsidRPr="00FD6468">
        <w:lastRenderedPageBreak/>
        <w:t>Olechowski</w:t>
      </w:r>
      <w:proofErr w:type="spellEnd"/>
      <w:r w:rsidRPr="00FD6468">
        <w:t xml:space="preserve">, A. L., </w:t>
      </w:r>
      <w:proofErr w:type="spellStart"/>
      <w:r w:rsidRPr="00FD6468">
        <w:t>Eppinger</w:t>
      </w:r>
      <w:proofErr w:type="spellEnd"/>
      <w:r w:rsidRPr="00FD6468">
        <w:t xml:space="preserve">, S. D., </w:t>
      </w:r>
      <w:proofErr w:type="spellStart"/>
      <w:r w:rsidRPr="00FD6468">
        <w:t>Tomaschek</w:t>
      </w:r>
      <w:proofErr w:type="spellEnd"/>
      <w:r w:rsidRPr="00FD6468">
        <w:t xml:space="preserve">, K., &amp; </w:t>
      </w:r>
      <w:proofErr w:type="spellStart"/>
      <w:r w:rsidRPr="00FD6468">
        <w:t>Joglekar</w:t>
      </w:r>
      <w:proofErr w:type="spellEnd"/>
      <w:r w:rsidRPr="00FD6468">
        <w:t xml:space="preserve">,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DC0E7E" w:rsidRPr="00DC0E7E" w:rsidRDefault="00DC0E7E" w:rsidP="00DC0E7E">
      <w:pPr>
        <w:ind w:left="720" w:hanging="720"/>
        <w:rPr>
          <w:rFonts w:eastAsia="Calibri"/>
          <w:iCs/>
        </w:rPr>
      </w:pPr>
      <w:proofErr w:type="spellStart"/>
      <w:r w:rsidRPr="00DC0E7E">
        <w:rPr>
          <w:rFonts w:eastAsia="Calibri"/>
          <w:iCs/>
        </w:rPr>
        <w:t>Rojot</w:t>
      </w:r>
      <w:proofErr w:type="spellEnd"/>
      <w:r w:rsidRPr="00DC0E7E">
        <w:rPr>
          <w:rFonts w:eastAsia="Calibri"/>
          <w:iCs/>
        </w:rPr>
        <w:t xml:space="preserve">,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 xml:space="preserve">(2), 163-180. </w:t>
      </w:r>
      <w:proofErr w:type="spellStart"/>
      <w:proofErr w:type="gramStart"/>
      <w:r w:rsidRPr="00756E53">
        <w:t>doi:https</w:t>
      </w:r>
      <w:proofErr w:type="spellEnd"/>
      <w:r w:rsidRPr="00756E53">
        <w:t>://doi.org/10.1177%2F0165551506070706</w:t>
      </w:r>
      <w:proofErr w:type="gramEnd"/>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proofErr w:type="spellStart"/>
      <w:r w:rsidRPr="00847667">
        <w:t>Schatzberg</w:t>
      </w:r>
      <w:proofErr w:type="spellEnd"/>
      <w:r w:rsidRPr="00847667">
        <w:t xml:space="preserve">,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proofErr w:type="spellStart"/>
      <w:r w:rsidRPr="0009261D">
        <w:t>Schrier</w:t>
      </w:r>
      <w:proofErr w:type="spellEnd"/>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w:t>
      </w:r>
      <w:r w:rsidR="00BD68F7">
        <w:t>-358</w:t>
      </w:r>
      <w:r w:rsidRPr="0009261D">
        <w:t>. https://doi-org.ezp.slu.edu/10.2307/3101252</w:t>
      </w:r>
    </w:p>
    <w:p w:rsidR="008D6ACF" w:rsidRPr="008D6ACF" w:rsidRDefault="008D6ACF" w:rsidP="008D6ACF">
      <w:pPr>
        <w:ind w:left="720" w:hanging="720"/>
        <w:rPr>
          <w:rFonts w:eastAsia="Calibri"/>
          <w:iCs/>
        </w:rPr>
      </w:pPr>
      <w:proofErr w:type="spellStart"/>
      <w:r w:rsidRPr="008D6ACF">
        <w:rPr>
          <w:rFonts w:eastAsia="Calibri"/>
          <w:iCs/>
        </w:rPr>
        <w:lastRenderedPageBreak/>
        <w:t>Sigurdson</w:t>
      </w:r>
      <w:proofErr w:type="spellEnd"/>
      <w:r w:rsidRPr="008D6ACF">
        <w:rPr>
          <w:rFonts w:eastAsia="Calibri"/>
          <w:iCs/>
        </w:rPr>
        <w:t xml:space="preserve">, K., Sá, C. M., &amp; </w:t>
      </w:r>
      <w:proofErr w:type="spellStart"/>
      <w:r w:rsidRPr="008D6ACF">
        <w:rPr>
          <w:rFonts w:eastAsia="Calibri"/>
          <w:iCs/>
        </w:rPr>
        <w:t>Kretz</w:t>
      </w:r>
      <w:proofErr w:type="spellEnd"/>
      <w:r w:rsidRPr="008D6ACF">
        <w:rPr>
          <w:rFonts w:eastAsia="Calibri"/>
          <w:iCs/>
        </w:rPr>
        <w:t xml:space="preserve">,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w:t>
      </w:r>
      <w:proofErr w:type="spellStart"/>
      <w:r w:rsidRPr="008D6ACF">
        <w:rPr>
          <w:rFonts w:eastAsia="Calibri"/>
          <w:iCs/>
        </w:rPr>
        <w:t>scipol</w:t>
      </w:r>
      <w:proofErr w:type="spellEnd"/>
      <w:r w:rsidRPr="008D6ACF">
        <w:rPr>
          <w:rFonts w:eastAsia="Calibri"/>
          <w:iCs/>
        </w:rPr>
        <w:t>/scu080</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56637A" w:rsidP="00F01C8B">
      <w:pPr>
        <w:ind w:left="720" w:hanging="720"/>
      </w:pPr>
      <w:r>
        <w:t xml:space="preserve">Song, M., Park, J. </w:t>
      </w:r>
      <w:r w:rsidRPr="0056637A">
        <w:t xml:space="preserve">O., &amp; Park, B. </w:t>
      </w:r>
      <w:r w:rsidR="009F46FC">
        <w:t>S. (2017). Determinants of R&amp;D c</w:t>
      </w:r>
      <w:r w:rsidRPr="0056637A">
        <w:t>ommercializ</w:t>
      </w:r>
      <w:r w:rsidR="009F46FC">
        <w:t>ation by SMEs after technology t</w:t>
      </w:r>
      <w:r w:rsidRPr="0056637A">
        <w:t xml:space="preserve">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w:t>
      </w:r>
      <w:proofErr w:type="spellStart"/>
      <w:r w:rsidRPr="00F01C8B">
        <w:t>Hishida</w:t>
      </w:r>
      <w:proofErr w:type="spellEnd"/>
      <w:r w:rsidRPr="00F01C8B">
        <w:t xml:space="preserve">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proofErr w:type="spellStart"/>
      <w:r w:rsidRPr="00756E53">
        <w:t>Speser</w:t>
      </w:r>
      <w:proofErr w:type="spellEnd"/>
      <w:r w:rsidRPr="00756E53">
        <w:t xml:space="preserve">,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012B28" w:rsidP="00CF21E7">
      <w:pPr>
        <w:ind w:left="720" w:hanging="720"/>
      </w:pPr>
      <w:r>
        <w:t xml:space="preserve">Stiglitz, J., &amp; </w:t>
      </w:r>
      <w:proofErr w:type="spellStart"/>
      <w:r>
        <w:t>Roseng</w:t>
      </w:r>
      <w:r w:rsidR="005723E9">
        <w:t>ard</w:t>
      </w:r>
      <w:proofErr w:type="spellEnd"/>
      <w:r w:rsidR="005723E9">
        <w:t xml:space="preserve">,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lastRenderedPageBreak/>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w:t>
      </w:r>
      <w:proofErr w:type="spellStart"/>
      <w:r w:rsidRPr="001A2CEC">
        <w:t>Raudensky</w:t>
      </w:r>
      <w:proofErr w:type="spellEnd"/>
      <w:r w:rsidRPr="001A2CEC">
        <w:t xml:space="preserve">, M. (2014). Assessments of technology transfer activities of US universities and associated impact of Bayh-Dole Act. </w:t>
      </w:r>
      <w:proofErr w:type="spellStart"/>
      <w:r w:rsidRPr="001A2CEC">
        <w:rPr>
          <w:i/>
          <w:iCs/>
        </w:rPr>
        <w:t>Scientometrics</w:t>
      </w:r>
      <w:proofErr w:type="spellEnd"/>
      <w:r w:rsidRPr="001A2CEC">
        <w:rPr>
          <w:i/>
          <w:iCs/>
        </w:rPr>
        <w:t>, 101</w:t>
      </w:r>
      <w:r w:rsidRPr="001A2CEC">
        <w:t>(3), 1851-1869. doi:10.1007/s11192-014-1404-6</w:t>
      </w:r>
    </w:p>
    <w:p w:rsidR="00F01C8B" w:rsidRPr="00F01C8B" w:rsidRDefault="00F01C8B" w:rsidP="00F01C8B">
      <w:pPr>
        <w:ind w:left="720" w:hanging="720"/>
      </w:pPr>
      <w:proofErr w:type="spellStart"/>
      <w:r w:rsidRPr="00F01C8B">
        <w:t>Tversky</w:t>
      </w:r>
      <w:proofErr w:type="spellEnd"/>
      <w:r w:rsidRPr="00F01C8B">
        <w:t xml:space="preserve">, A., &amp; </w:t>
      </w:r>
      <w:proofErr w:type="spellStart"/>
      <w:r w:rsidRPr="00F01C8B">
        <w:t>Kahneman</w:t>
      </w:r>
      <w:proofErr w:type="spellEnd"/>
      <w:r w:rsidRPr="00F01C8B">
        <w:t xml:space="preserve">,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 xml:space="preserve">Monthly </w:t>
      </w:r>
      <w:r w:rsidR="00470140">
        <w:rPr>
          <w:i/>
        </w:rPr>
        <w:t>s</w:t>
      </w:r>
      <w:r w:rsidRPr="001D2ACA">
        <w:rPr>
          <w:i/>
        </w:rPr>
        <w:t xml:space="preserve">tatement of the </w:t>
      </w:r>
      <w:r w:rsidR="00470140">
        <w:rPr>
          <w:i/>
        </w:rPr>
        <w:t>public debt of the U</w:t>
      </w:r>
      <w:r w:rsidRPr="001D2ACA">
        <w:rPr>
          <w:i/>
        </w:rPr>
        <w:t>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00470140">
        <w:rPr>
          <w:i/>
        </w:rPr>
        <w:t>Monthly treasury statement: Receipts and outlays of the United States g</w:t>
      </w:r>
      <w:r w:rsidRPr="001D2ACA">
        <w:rPr>
          <w:i/>
        </w:rPr>
        <w:t xml:space="preserve">overnment, </w:t>
      </w:r>
      <w:r w:rsidR="00470140">
        <w:rPr>
          <w:i/>
        </w:rPr>
        <w:t>f</w:t>
      </w:r>
      <w:r w:rsidRPr="001D2ACA">
        <w:rPr>
          <w:i/>
        </w:rPr>
        <w:t xml:space="preserve">or </w:t>
      </w:r>
      <w:r w:rsidR="00470140">
        <w:rPr>
          <w:i/>
        </w:rPr>
        <w:t>f</w:t>
      </w:r>
      <w:r w:rsidRPr="001D2ACA">
        <w:rPr>
          <w:i/>
        </w:rPr>
        <w:t xml:space="preserve">iscal </w:t>
      </w:r>
      <w:r w:rsidR="00470140">
        <w:rPr>
          <w:i/>
        </w:rPr>
        <w:t>year 2019 t</w:t>
      </w:r>
      <w:r w:rsidRPr="001D2ACA">
        <w:rPr>
          <w:i/>
        </w:rPr>
        <w:t xml:space="preserve">hrough October 31, 2018, and </w:t>
      </w:r>
      <w:r w:rsidR="00470140">
        <w:rPr>
          <w:i/>
        </w:rPr>
        <w:t>other p</w:t>
      </w:r>
      <w:r w:rsidRPr="001D2ACA">
        <w:rPr>
          <w:i/>
        </w:rPr>
        <w:t>eriods</w:t>
      </w:r>
      <w:r w:rsidRPr="001134F8">
        <w:t>.  Retrieved from https://www.fiscal.treasury.gov/reports-statements/mts/previous.html</w:t>
      </w:r>
    </w:p>
    <w:p w:rsidR="002C236D" w:rsidRDefault="002C236D" w:rsidP="001134F8">
      <w:pPr>
        <w:ind w:left="720" w:hanging="720"/>
      </w:pPr>
      <w:r>
        <w:t>U.S. Small Business Administration. (</w:t>
      </w:r>
      <w:proofErr w:type="spellStart"/>
      <w:r>
        <w:t>n.d.</w:t>
      </w:r>
      <w:proofErr w:type="spellEnd"/>
      <w:r>
        <w:t xml:space="preserve">).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t>U.S. Spending.</w:t>
      </w:r>
      <w:r w:rsidR="00D87ADF">
        <w:t xml:space="preserve"> (</w:t>
      </w:r>
      <w:proofErr w:type="spellStart"/>
      <w:r w:rsidR="00D87ADF">
        <w:t>n.d.</w:t>
      </w:r>
      <w:proofErr w:type="spellEnd"/>
      <w:r w:rsidR="00D87ADF">
        <w:t xml:space="preserve">) </w:t>
      </w:r>
      <w:r w:rsidR="00D87ADF" w:rsidRPr="001D2ACA">
        <w:rPr>
          <w:i/>
        </w:rPr>
        <w:t>U.S. Government Spending</w:t>
      </w:r>
      <w:r w:rsidRPr="001134F8">
        <w:t>. Retrieved from https://www.usgovernmentspending.com/year_spending_2018USbn_20bs2n_4041_605#usgs302</w:t>
      </w:r>
    </w:p>
    <w:p w:rsidR="00F1736E" w:rsidRDefault="00F1736E" w:rsidP="00F1736E">
      <w:pPr>
        <w:ind w:left="720" w:hanging="720"/>
      </w:pPr>
      <w:r>
        <w:lastRenderedPageBreak/>
        <w:t xml:space="preserve">Wahab, S. A., Rose, R. C., &amp; Osman, S. I. W. (2012a). Defining the concepts of technology and technology transfer: A literature analysis. </w:t>
      </w:r>
      <w:r w:rsidRPr="00F1736E">
        <w:rPr>
          <w:i/>
        </w:rPr>
        <w:t>International Business Research</w:t>
      </w:r>
      <w:r>
        <w:t>, 5(1), 61–71.</w:t>
      </w:r>
      <w:r w:rsidR="005E7674">
        <w:t xml:space="preserve"> doi:10.5539/</w:t>
      </w:r>
      <w:proofErr w:type="gramStart"/>
      <w:r w:rsidR="005E7674">
        <w:t>ibr.v</w:t>
      </w:r>
      <w:proofErr w:type="gramEnd"/>
      <w:r w:rsidR="005E7674">
        <w:t>5n1p61</w:t>
      </w:r>
    </w:p>
    <w:p w:rsidR="00F1736E" w:rsidRDefault="00F1736E" w:rsidP="00F1736E">
      <w:pPr>
        <w:ind w:left="720" w:hanging="720"/>
      </w:pPr>
      <w:r>
        <w:t xml:space="preserve">Wahab, S. A., Rose, R. C., </w:t>
      </w:r>
      <w:r w:rsidR="0018055A">
        <w:t>&amp; Osman, S. I. W. (2012b). The t</w:t>
      </w:r>
      <w:r>
        <w:t xml:space="preserve">heoretical perspectives underlying technology transfer: A literature review. </w:t>
      </w:r>
      <w:r w:rsidRPr="00F1736E">
        <w:rPr>
          <w:i/>
        </w:rPr>
        <w:t>International Journal of Business and Management</w:t>
      </w:r>
      <w:r>
        <w:t>, 7(2), 277–288.</w:t>
      </w:r>
      <w:r w:rsidR="006760D4" w:rsidRPr="006760D4">
        <w:t xml:space="preserve"> </w:t>
      </w:r>
      <w:r w:rsidR="006760D4">
        <w:t>doi:10.5539/</w:t>
      </w:r>
      <w:proofErr w:type="gramStart"/>
      <w:r w:rsidR="006760D4">
        <w:t>ijbm.v</w:t>
      </w:r>
      <w:proofErr w:type="gramEnd"/>
      <w:r w:rsidR="006760D4">
        <w:t>7n2p277</w:t>
      </w:r>
    </w:p>
    <w:p w:rsidR="00004260" w:rsidRDefault="00004260" w:rsidP="00756E53">
      <w:pPr>
        <w:ind w:left="720" w:hanging="720"/>
      </w:pPr>
      <w:proofErr w:type="spellStart"/>
      <w:r w:rsidRPr="00004260">
        <w:t>Wessner</w:t>
      </w:r>
      <w:proofErr w:type="spellEnd"/>
      <w:r w:rsidRPr="00004260">
        <w:t xml:space="preserve">,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proofErr w:type="spellStart"/>
      <w:r w:rsidRPr="00135498">
        <w:t>Westerik</w:t>
      </w:r>
      <w:proofErr w:type="spellEnd"/>
      <w:r w:rsidRPr="00135498">
        <w:t>,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F01C8B" w:rsidRPr="00F01C8B" w:rsidRDefault="00433754" w:rsidP="00433754">
      <w:pPr>
        <w:ind w:left="720" w:hanging="720"/>
      </w:pPr>
      <w:r>
        <w:t>Wilson, R.</w:t>
      </w:r>
      <w:r w:rsidR="00E75FFD">
        <w:t xml:space="preserve"> (2006). Policy analysis as policy a</w:t>
      </w:r>
      <w:r w:rsidR="001134F8" w:rsidRPr="001134F8">
        <w:t xml:space="preserve">dvice. In </w:t>
      </w:r>
      <w:r w:rsidR="001D2ACA">
        <w:t>M. Moran, M. Rein, &amp; R.</w:t>
      </w:r>
      <w:r w:rsidR="001D2ACA" w:rsidRPr="001134F8">
        <w:t xml:space="preserve"> E. </w:t>
      </w:r>
      <w:proofErr w:type="spellStart"/>
      <w:r w:rsidR="001D2ACA" w:rsidRPr="001134F8">
        <w:t>Goodin</w:t>
      </w:r>
      <w:proofErr w:type="spellEnd"/>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756E53" w:rsidRDefault="00756E53" w:rsidP="00756E53">
      <w:pPr>
        <w:ind w:left="720" w:hanging="720"/>
      </w:pPr>
      <w:r w:rsidRPr="00756E53">
        <w:t>Wu</w:t>
      </w:r>
      <w:r w:rsidR="00BA50A1">
        <w:t xml:space="preserve">, Y., Welch, E. W., &amp; Huang, W. </w:t>
      </w:r>
      <w:r w:rsidRPr="00756E53">
        <w:t xml:space="preserve">L. (2015). Commercialization of university inventions: Individual and institutional factors affecting licensing of university patents. </w:t>
      </w:r>
      <w:proofErr w:type="spellStart"/>
      <w:r w:rsidR="00A36AA2" w:rsidRPr="00A36AA2">
        <w:rPr>
          <w:i/>
          <w:iCs/>
        </w:rPr>
        <w:t>Technovation</w:t>
      </w:r>
      <w:proofErr w:type="spellEnd"/>
      <w:r w:rsidR="00A36AA2" w:rsidRPr="00A36AA2">
        <w:rPr>
          <w:i/>
          <w:iCs/>
        </w:rPr>
        <w:t>, 36-37</w:t>
      </w:r>
      <w:r w:rsidR="00A36AA2" w:rsidRPr="00A36AA2">
        <w:t xml:space="preserve">, 12-25. </w:t>
      </w:r>
      <w:proofErr w:type="gramStart"/>
      <w:r w:rsidR="00A36AA2" w:rsidRPr="00A36AA2">
        <w:t>doi:10.1016/j.technovation</w:t>
      </w:r>
      <w:proofErr w:type="gramEnd"/>
      <w:r w:rsidR="00A36AA2" w:rsidRPr="00A36AA2">
        <w:t>.2014.09.004</w:t>
      </w:r>
    </w:p>
    <w:p w:rsidR="00756E53" w:rsidRDefault="00756E53" w:rsidP="00756E53">
      <w:pPr>
        <w:ind w:left="720" w:hanging="720"/>
      </w:pPr>
      <w:r w:rsidRPr="00756E53">
        <w:t xml:space="preserve">York, A. S., &amp; </w:t>
      </w:r>
      <w:proofErr w:type="spellStart"/>
      <w:r w:rsidRPr="00756E53">
        <w:t>Ahn</w:t>
      </w:r>
      <w:proofErr w:type="spellEnd"/>
      <w:r w:rsidRPr="00756E53">
        <w:t xml:space="preserve">, M. J. (2012). University technology transfer office success factors: A comparative case study. </w:t>
      </w:r>
      <w:r w:rsidRPr="00756E53">
        <w:rPr>
          <w:i/>
          <w:iCs/>
        </w:rPr>
        <w:t xml:space="preserve">International Journal of Technology Transfer and </w:t>
      </w:r>
      <w:proofErr w:type="spellStart"/>
      <w:r w:rsidRPr="00756E53">
        <w:rPr>
          <w:i/>
          <w:iCs/>
        </w:rPr>
        <w:t>Commercialisation</w:t>
      </w:r>
      <w:proofErr w:type="spellEnd"/>
      <w:r w:rsidRPr="00756E53">
        <w:rPr>
          <w:i/>
          <w:iCs/>
        </w:rPr>
        <w:t xml:space="preserve">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4529854"/>
      <w:r>
        <w:lastRenderedPageBreak/>
        <w:t xml:space="preserve">Appendix A. </w:t>
      </w:r>
      <w:r w:rsidR="00D87ADF">
        <w:t>Tables and Figures</w:t>
      </w:r>
      <w:bookmarkEnd w:id="27"/>
    </w:p>
    <w:p w:rsidR="00326E0E" w:rsidRPr="00326E0E" w:rsidRDefault="00326E0E" w:rsidP="00083637">
      <w:pPr>
        <w:pStyle w:val="Table"/>
      </w:pPr>
      <w:bookmarkStart w:id="28" w:name="_Toc54529821"/>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4529822"/>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4529823"/>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4529824"/>
      <w:r w:rsidRPr="00495ACF">
        <w:rPr>
          <w:i w:val="0"/>
        </w:rPr>
        <w:lastRenderedPageBreak/>
        <w:t>Table 4</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4529825"/>
      <w:r w:rsidRPr="0025001D">
        <w:rPr>
          <w:i w:val="0"/>
        </w:rPr>
        <w:lastRenderedPageBreak/>
        <w:t>Table 5</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4529811"/>
      <w:r w:rsidRPr="00722567">
        <w:rPr>
          <w:i w:val="0"/>
        </w:rPr>
        <w:lastRenderedPageBreak/>
        <w:t>Figure 1</w:t>
      </w:r>
      <w:r w:rsidRPr="00083637">
        <w:br/>
      </w:r>
      <w:r>
        <w:t>E</w:t>
      </w:r>
      <w:r w:rsidR="00722567">
        <w:t xml:space="preserve">stimate </w:t>
      </w:r>
      <w:r>
        <w:t>of University Technologies Transferred to the Private Sector</w:t>
      </w:r>
      <w:bookmarkEnd w:id="33"/>
    </w:p>
    <w:p w:rsidR="00991926" w:rsidRPr="00991926" w:rsidRDefault="00C420AE" w:rsidP="00991926">
      <w:r w:rsidRPr="00C420AE">
        <w:rPr>
          <w:noProof/>
        </w:rPr>
        <w:drawing>
          <wp:inline distT="0" distB="0" distL="0" distR="0">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rsidR="009F613C" w:rsidRPr="009D4A4A" w:rsidRDefault="007E315D" w:rsidP="009D4A4A">
      <w:bookmarkStart w:id="34" w:name="_Toc54529812"/>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BF2D6F" w:rsidP="009F613C">
      <w:pPr>
        <w:pStyle w:val="Caption"/>
        <w:rPr>
          <w:szCs w:val="24"/>
        </w:rPr>
      </w:pPr>
      <w:r w:rsidRPr="00BF2D6F">
        <w:rPr>
          <w:noProof/>
        </w:rPr>
        <w:drawing>
          <wp:inline distT="0" distB="0" distL="0" distR="0">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rsidR="00904819" w:rsidRDefault="00904819">
      <w:r>
        <w:br w:type="page"/>
      </w:r>
    </w:p>
    <w:p w:rsidR="00904819" w:rsidRPr="00912598" w:rsidRDefault="00912598" w:rsidP="00904819">
      <w:pPr>
        <w:rPr>
          <w:rStyle w:val="FigureChar"/>
          <w:i w:val="0"/>
          <w:color w:val="FFFFFF" w:themeColor="background1"/>
        </w:rPr>
      </w:pPr>
      <w:bookmarkStart w:id="35" w:name="_Toc54529813"/>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4529814"/>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4529815"/>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6C096C" w:rsidRDefault="007E315D" w:rsidP="00EF279D">
      <w:pPr>
        <w:rPr>
          <w:rStyle w:val="FigureChar"/>
          <w:i w:val="0"/>
          <w:color w:val="FFFFFF" w:themeColor="background1"/>
        </w:rPr>
      </w:pPr>
      <w:bookmarkStart w:id="38" w:name="_Toc54529816"/>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9D7F73" w:rsidRPr="00185280" w:rsidRDefault="009D7F73" w:rsidP="00185280">
                            <w:r>
                              <w:t>Figure 6</w:t>
                            </w:r>
                            <w:r w:rsidRPr="00185280">
                              <w:br/>
                            </w:r>
                            <w:r>
                              <w:rPr>
                                <w:i/>
                              </w:rPr>
                              <w:t>Theory of the Organization</w:t>
                            </w:r>
                          </w:p>
                          <w:p w:rsidR="009D7F73" w:rsidRDefault="009D7F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9D7F73" w:rsidRPr="00185280" w:rsidRDefault="009D7F73" w:rsidP="00185280">
                      <w:r>
                        <w:t>Figure 6</w:t>
                      </w:r>
                      <w:r w:rsidRPr="00185280">
                        <w:br/>
                      </w:r>
                      <w:r>
                        <w:rPr>
                          <w:i/>
                        </w:rPr>
                        <w:t>Theory of the Organization</w:t>
                      </w:r>
                    </w:p>
                    <w:p w:rsidR="009D7F73" w:rsidRDefault="009D7F73"/>
                  </w:txbxContent>
                </v:textbox>
                <w10:anchorlock/>
              </v:shape>
            </w:pict>
          </mc:Fallback>
        </mc:AlternateContent>
      </w:r>
      <w:r w:rsidR="005C5DCC" w:rsidRPr="005C5DCC">
        <w:rPr>
          <w:noProof/>
        </w:rPr>
        <w:drawing>
          <wp:inline distT="0" distB="0" distL="0" distR="0">
            <wp:extent cx="7498080" cy="218971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9710"/>
                    </a:xfrm>
                    <a:prstGeom prst="rect">
                      <a:avLst/>
                    </a:prstGeom>
                    <a:noFill/>
                    <a:ln>
                      <a:noFill/>
                    </a:ln>
                  </pic:spPr>
                </pic:pic>
              </a:graphicData>
            </a:graphic>
          </wp:inline>
        </w:drawing>
      </w:r>
    </w:p>
    <w:p w:rsidR="00975A18" w:rsidRPr="00562B8D" w:rsidRDefault="007E315D" w:rsidP="0024112A">
      <w:pPr>
        <w:pStyle w:val="Figure"/>
        <w:rPr>
          <w:i w:val="0"/>
        </w:rPr>
      </w:pPr>
      <w:bookmarkStart w:id="39" w:name="_Toc54529817"/>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39"/>
    </w:p>
    <w:p w:rsidR="00975A18" w:rsidRDefault="00B87A38" w:rsidP="00ED3A93">
      <w:r w:rsidRPr="00B87A38">
        <w:rPr>
          <w:noProof/>
        </w:rPr>
        <w:drawing>
          <wp:inline distT="0" distB="0" distL="0" distR="0">
            <wp:extent cx="5943600" cy="524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44995"/>
                    </a:xfrm>
                    <a:prstGeom prst="rect">
                      <a:avLst/>
                    </a:prstGeom>
                    <a:noFill/>
                    <a:ln>
                      <a:noFill/>
                    </a:ln>
                  </pic:spPr>
                </pic:pic>
              </a:graphicData>
            </a:graphic>
          </wp:inline>
        </w:drawing>
      </w:r>
    </w:p>
    <w:p w:rsidR="00B87A38" w:rsidRPr="00ED3A93" w:rsidRDefault="00B87A38" w:rsidP="00ED3A93"/>
    <w:sectPr w:rsidR="00B87A38" w:rsidRPr="00ED3A93" w:rsidSect="00ED3A9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F73" w:rsidRDefault="009D7F73" w:rsidP="00ED3A93">
      <w:pPr>
        <w:spacing w:line="240" w:lineRule="auto"/>
      </w:pPr>
      <w:r>
        <w:separator/>
      </w:r>
    </w:p>
  </w:endnote>
  <w:endnote w:type="continuationSeparator" w:id="0">
    <w:p w:rsidR="009D7F73" w:rsidRDefault="009D7F73"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F73" w:rsidRDefault="009D7F73" w:rsidP="00ED3A93">
      <w:pPr>
        <w:spacing w:line="240" w:lineRule="auto"/>
      </w:pPr>
      <w:r>
        <w:separator/>
      </w:r>
    </w:p>
  </w:footnote>
  <w:footnote w:type="continuationSeparator" w:id="0">
    <w:p w:rsidR="009D7F73" w:rsidRDefault="009D7F73" w:rsidP="00ED3A93">
      <w:pPr>
        <w:spacing w:line="240" w:lineRule="auto"/>
      </w:pPr>
      <w:r>
        <w:continuationSeparator/>
      </w:r>
    </w:p>
  </w:footnote>
  <w:footnote w:id="1">
    <w:p w:rsidR="009D7F73" w:rsidRDefault="009D7F73">
      <w:pPr>
        <w:pStyle w:val="FootnoteText"/>
      </w:pPr>
      <w:r>
        <w:rPr>
          <w:rStyle w:val="FootnoteReference"/>
        </w:rPr>
        <w:footnoteRef/>
      </w:r>
      <w:r>
        <w:t xml:space="preserve"> A practical joke or fool’s errand in which one tricks an unsuspecting individual into trying to locate something that does not exist, </w:t>
      </w:r>
      <w:r w:rsidR="008D5506">
        <w:t>often an animal called a “snipe</w:t>
      </w:r>
      <w:r>
        <w:t>”</w:t>
      </w:r>
      <w:r w:rsidR="008D5506">
        <w:t xml:space="preserve"> although the term also refers to an actual family birds.</w:t>
      </w:r>
    </w:p>
  </w:footnote>
  <w:footnote w:id="2">
    <w:p w:rsidR="009D7F73" w:rsidRDefault="009D7F73">
      <w:pPr>
        <w:pStyle w:val="FootnoteText"/>
      </w:pPr>
      <w:r>
        <w:rPr>
          <w:rStyle w:val="FootnoteReference"/>
        </w:rPr>
        <w:footnoteRef/>
      </w:r>
      <w:r>
        <w:t xml:space="preserve"> Clovis points are stone artifacts associated with a prehistoric Paleoamerican culture located in what is now the Americas that existed from around 11,050 BCE to 9,050 BCE.  They take their name from the city of Clovis, New Mexico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6F3A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7" o:spid="_x0000_s198658"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D7F73" w:rsidRDefault="009D7F73"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6F3A4C"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8" o:spid="_x0000_s198659"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sidRPr="00E122BE">
      <w:t xml:space="preserve">Technology Maturity Level and </w:t>
    </w:r>
    <w:r w:rsidR="009D7F73">
      <w:t>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Pr>
        <w:noProof/>
      </w:rPr>
      <w:t>20</w:t>
    </w:r>
    <w:r w:rsidR="009D7F73"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6F3A4C"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6" o:spid="_x0000_s198657"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t>RUNNING HEAD: Technology Maturity Level and 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sidR="00ED4CAD">
      <w:rPr>
        <w:noProof/>
      </w:rPr>
      <w:t>1</w:t>
    </w:r>
    <w:r w:rsidR="009D7F73"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98660"/>
    <o:shapelayout v:ext="edit">
      <o:idmap v:ext="edit" data="1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266D"/>
    <w:rsid w:val="00004260"/>
    <w:rsid w:val="00004C79"/>
    <w:rsid w:val="00004D42"/>
    <w:rsid w:val="000064BC"/>
    <w:rsid w:val="00006702"/>
    <w:rsid w:val="0000675F"/>
    <w:rsid w:val="00006F87"/>
    <w:rsid w:val="00012B28"/>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265A8"/>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6606"/>
    <w:rsid w:val="0009129B"/>
    <w:rsid w:val="00091B05"/>
    <w:rsid w:val="00091E30"/>
    <w:rsid w:val="0009261D"/>
    <w:rsid w:val="00092A9E"/>
    <w:rsid w:val="00093ED3"/>
    <w:rsid w:val="00094D4E"/>
    <w:rsid w:val="00094FA8"/>
    <w:rsid w:val="0009542E"/>
    <w:rsid w:val="000A00AE"/>
    <w:rsid w:val="000A5AF0"/>
    <w:rsid w:val="000B06E9"/>
    <w:rsid w:val="000B08E9"/>
    <w:rsid w:val="000B1ADA"/>
    <w:rsid w:val="000B2216"/>
    <w:rsid w:val="000B2981"/>
    <w:rsid w:val="000B2EE0"/>
    <w:rsid w:val="000B37AB"/>
    <w:rsid w:val="000B38CA"/>
    <w:rsid w:val="000B3AD0"/>
    <w:rsid w:val="000B3C53"/>
    <w:rsid w:val="000B4774"/>
    <w:rsid w:val="000B6373"/>
    <w:rsid w:val="000B7BDB"/>
    <w:rsid w:val="000B7D41"/>
    <w:rsid w:val="000C0664"/>
    <w:rsid w:val="000C15D6"/>
    <w:rsid w:val="000C1C24"/>
    <w:rsid w:val="000C2073"/>
    <w:rsid w:val="000C24B5"/>
    <w:rsid w:val="000C2EEA"/>
    <w:rsid w:val="000C3EB5"/>
    <w:rsid w:val="000C45A7"/>
    <w:rsid w:val="000C4722"/>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838"/>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1F"/>
    <w:rsid w:val="00131A3A"/>
    <w:rsid w:val="0013285B"/>
    <w:rsid w:val="00133234"/>
    <w:rsid w:val="00133839"/>
    <w:rsid w:val="0013513F"/>
    <w:rsid w:val="00135498"/>
    <w:rsid w:val="00135E8E"/>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4AF2"/>
    <w:rsid w:val="00156B74"/>
    <w:rsid w:val="00160826"/>
    <w:rsid w:val="0016092D"/>
    <w:rsid w:val="001612C0"/>
    <w:rsid w:val="001632C5"/>
    <w:rsid w:val="00163BDE"/>
    <w:rsid w:val="00163C28"/>
    <w:rsid w:val="00167680"/>
    <w:rsid w:val="00167C39"/>
    <w:rsid w:val="00170BD8"/>
    <w:rsid w:val="00170C2E"/>
    <w:rsid w:val="001740CD"/>
    <w:rsid w:val="0017710C"/>
    <w:rsid w:val="0018055A"/>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2041C"/>
    <w:rsid w:val="00220DEF"/>
    <w:rsid w:val="00221116"/>
    <w:rsid w:val="00221734"/>
    <w:rsid w:val="002222BD"/>
    <w:rsid w:val="0022349D"/>
    <w:rsid w:val="00223585"/>
    <w:rsid w:val="002250FA"/>
    <w:rsid w:val="002253CF"/>
    <w:rsid w:val="00225D36"/>
    <w:rsid w:val="00226860"/>
    <w:rsid w:val="00227EEF"/>
    <w:rsid w:val="002302B6"/>
    <w:rsid w:val="00230903"/>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6EEB"/>
    <w:rsid w:val="0026749E"/>
    <w:rsid w:val="00267F15"/>
    <w:rsid w:val="00270B1F"/>
    <w:rsid w:val="00270E31"/>
    <w:rsid w:val="0027207C"/>
    <w:rsid w:val="002721C7"/>
    <w:rsid w:val="00273338"/>
    <w:rsid w:val="00274047"/>
    <w:rsid w:val="002753EB"/>
    <w:rsid w:val="002814DF"/>
    <w:rsid w:val="0028257B"/>
    <w:rsid w:val="00283A7B"/>
    <w:rsid w:val="00283EFA"/>
    <w:rsid w:val="002857E1"/>
    <w:rsid w:val="00287B8D"/>
    <w:rsid w:val="00290F48"/>
    <w:rsid w:val="00291952"/>
    <w:rsid w:val="00291B69"/>
    <w:rsid w:val="00292529"/>
    <w:rsid w:val="002925A3"/>
    <w:rsid w:val="00294291"/>
    <w:rsid w:val="002954DC"/>
    <w:rsid w:val="002A2253"/>
    <w:rsid w:val="002A2C8B"/>
    <w:rsid w:val="002A30C6"/>
    <w:rsid w:val="002A3328"/>
    <w:rsid w:val="002A4DA3"/>
    <w:rsid w:val="002A5D75"/>
    <w:rsid w:val="002A7951"/>
    <w:rsid w:val="002B0C61"/>
    <w:rsid w:val="002B15C1"/>
    <w:rsid w:val="002B3616"/>
    <w:rsid w:val="002B63D3"/>
    <w:rsid w:val="002B6500"/>
    <w:rsid w:val="002C211E"/>
    <w:rsid w:val="002C236D"/>
    <w:rsid w:val="002C4AEE"/>
    <w:rsid w:val="002C62F7"/>
    <w:rsid w:val="002C7A73"/>
    <w:rsid w:val="002C7E22"/>
    <w:rsid w:val="002D2A1C"/>
    <w:rsid w:val="002D50B2"/>
    <w:rsid w:val="002D5F98"/>
    <w:rsid w:val="002D742D"/>
    <w:rsid w:val="002D793E"/>
    <w:rsid w:val="002E0CE1"/>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5364"/>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457F"/>
    <w:rsid w:val="00354627"/>
    <w:rsid w:val="00355404"/>
    <w:rsid w:val="0035640A"/>
    <w:rsid w:val="00356B30"/>
    <w:rsid w:val="00356BB0"/>
    <w:rsid w:val="0036048F"/>
    <w:rsid w:val="00361370"/>
    <w:rsid w:val="00361DA7"/>
    <w:rsid w:val="003634D7"/>
    <w:rsid w:val="00363836"/>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009"/>
    <w:rsid w:val="00384258"/>
    <w:rsid w:val="00384799"/>
    <w:rsid w:val="00386242"/>
    <w:rsid w:val="003863D8"/>
    <w:rsid w:val="00390AEE"/>
    <w:rsid w:val="00390EFA"/>
    <w:rsid w:val="003914BC"/>
    <w:rsid w:val="00391DE0"/>
    <w:rsid w:val="00393EC8"/>
    <w:rsid w:val="00394950"/>
    <w:rsid w:val="00395611"/>
    <w:rsid w:val="00395942"/>
    <w:rsid w:val="00396493"/>
    <w:rsid w:val="00397B3A"/>
    <w:rsid w:val="003A082E"/>
    <w:rsid w:val="003A37F2"/>
    <w:rsid w:val="003A5533"/>
    <w:rsid w:val="003A56A1"/>
    <w:rsid w:val="003A66DF"/>
    <w:rsid w:val="003A6EEB"/>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0B86"/>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07AFB"/>
    <w:rsid w:val="00410B3F"/>
    <w:rsid w:val="00411FBB"/>
    <w:rsid w:val="00412096"/>
    <w:rsid w:val="00412167"/>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3754"/>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679E5"/>
    <w:rsid w:val="00470140"/>
    <w:rsid w:val="004721A2"/>
    <w:rsid w:val="00475281"/>
    <w:rsid w:val="004753DF"/>
    <w:rsid w:val="00477E2B"/>
    <w:rsid w:val="004819C5"/>
    <w:rsid w:val="00482E41"/>
    <w:rsid w:val="00482F2B"/>
    <w:rsid w:val="004833C8"/>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5D03"/>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858"/>
    <w:rsid w:val="00504AC3"/>
    <w:rsid w:val="0050521B"/>
    <w:rsid w:val="00505DE0"/>
    <w:rsid w:val="00506530"/>
    <w:rsid w:val="00507ADE"/>
    <w:rsid w:val="00507EDB"/>
    <w:rsid w:val="0051091F"/>
    <w:rsid w:val="00511298"/>
    <w:rsid w:val="0051182E"/>
    <w:rsid w:val="00512089"/>
    <w:rsid w:val="00515430"/>
    <w:rsid w:val="00515BC8"/>
    <w:rsid w:val="0051748B"/>
    <w:rsid w:val="005174F4"/>
    <w:rsid w:val="00520306"/>
    <w:rsid w:val="005204D9"/>
    <w:rsid w:val="00520DC6"/>
    <w:rsid w:val="00521E71"/>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4748D"/>
    <w:rsid w:val="0055100A"/>
    <w:rsid w:val="005527C8"/>
    <w:rsid w:val="00554E82"/>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04B"/>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5CB"/>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5DCC"/>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E7674"/>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6BD2"/>
    <w:rsid w:val="006372DC"/>
    <w:rsid w:val="00640E07"/>
    <w:rsid w:val="006410AD"/>
    <w:rsid w:val="00641B11"/>
    <w:rsid w:val="00642C55"/>
    <w:rsid w:val="00643112"/>
    <w:rsid w:val="00644208"/>
    <w:rsid w:val="006467B7"/>
    <w:rsid w:val="00646806"/>
    <w:rsid w:val="00651A08"/>
    <w:rsid w:val="00651EF5"/>
    <w:rsid w:val="00652045"/>
    <w:rsid w:val="006522CA"/>
    <w:rsid w:val="00652CC9"/>
    <w:rsid w:val="00653692"/>
    <w:rsid w:val="006538BC"/>
    <w:rsid w:val="00653E27"/>
    <w:rsid w:val="006540CD"/>
    <w:rsid w:val="00655368"/>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60D4"/>
    <w:rsid w:val="00677B8A"/>
    <w:rsid w:val="00682768"/>
    <w:rsid w:val="006830F0"/>
    <w:rsid w:val="0068490E"/>
    <w:rsid w:val="00684F19"/>
    <w:rsid w:val="00685EE8"/>
    <w:rsid w:val="00687B1C"/>
    <w:rsid w:val="00687FF3"/>
    <w:rsid w:val="0069182B"/>
    <w:rsid w:val="006920FB"/>
    <w:rsid w:val="006947B5"/>
    <w:rsid w:val="00695E3A"/>
    <w:rsid w:val="00695F12"/>
    <w:rsid w:val="00696158"/>
    <w:rsid w:val="006964D7"/>
    <w:rsid w:val="006966D5"/>
    <w:rsid w:val="00697217"/>
    <w:rsid w:val="00697BD3"/>
    <w:rsid w:val="00697F63"/>
    <w:rsid w:val="006A251D"/>
    <w:rsid w:val="006A314D"/>
    <w:rsid w:val="006A3275"/>
    <w:rsid w:val="006A4B6F"/>
    <w:rsid w:val="006A546F"/>
    <w:rsid w:val="006A62ED"/>
    <w:rsid w:val="006B1C5B"/>
    <w:rsid w:val="006B44ED"/>
    <w:rsid w:val="006B59AE"/>
    <w:rsid w:val="006B5BAF"/>
    <w:rsid w:val="006C0541"/>
    <w:rsid w:val="006C096C"/>
    <w:rsid w:val="006C0A3E"/>
    <w:rsid w:val="006C5F4B"/>
    <w:rsid w:val="006C6B15"/>
    <w:rsid w:val="006C7867"/>
    <w:rsid w:val="006D2E49"/>
    <w:rsid w:val="006D355B"/>
    <w:rsid w:val="006D3816"/>
    <w:rsid w:val="006D386A"/>
    <w:rsid w:val="006D3D9D"/>
    <w:rsid w:val="006D483D"/>
    <w:rsid w:val="006D6095"/>
    <w:rsid w:val="006D7657"/>
    <w:rsid w:val="006E0309"/>
    <w:rsid w:val="006E0B5C"/>
    <w:rsid w:val="006E0D7F"/>
    <w:rsid w:val="006E21F6"/>
    <w:rsid w:val="006E2D4C"/>
    <w:rsid w:val="006E3B67"/>
    <w:rsid w:val="006E52D3"/>
    <w:rsid w:val="006E5F29"/>
    <w:rsid w:val="006E64C1"/>
    <w:rsid w:val="006F05F3"/>
    <w:rsid w:val="006F291D"/>
    <w:rsid w:val="006F3A4C"/>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361A"/>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2A22"/>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3EA4"/>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6FF9"/>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103"/>
    <w:rsid w:val="008C55EA"/>
    <w:rsid w:val="008D118A"/>
    <w:rsid w:val="008D15E2"/>
    <w:rsid w:val="008D37B3"/>
    <w:rsid w:val="008D51F3"/>
    <w:rsid w:val="008D5506"/>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565"/>
    <w:rsid w:val="008F6697"/>
    <w:rsid w:val="008F6939"/>
    <w:rsid w:val="00901D8E"/>
    <w:rsid w:val="009023C6"/>
    <w:rsid w:val="0090461C"/>
    <w:rsid w:val="00904652"/>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0E46"/>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57EB"/>
    <w:rsid w:val="009B5B25"/>
    <w:rsid w:val="009B6D22"/>
    <w:rsid w:val="009C1768"/>
    <w:rsid w:val="009C1D63"/>
    <w:rsid w:val="009C1DBF"/>
    <w:rsid w:val="009C21E3"/>
    <w:rsid w:val="009C47E1"/>
    <w:rsid w:val="009C5FF8"/>
    <w:rsid w:val="009C6D55"/>
    <w:rsid w:val="009D1465"/>
    <w:rsid w:val="009D2AB3"/>
    <w:rsid w:val="009D45BE"/>
    <w:rsid w:val="009D4A4A"/>
    <w:rsid w:val="009D4C6E"/>
    <w:rsid w:val="009D7F73"/>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2475"/>
    <w:rsid w:val="00A03066"/>
    <w:rsid w:val="00A03AAA"/>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523F"/>
    <w:rsid w:val="00A861C3"/>
    <w:rsid w:val="00A93F28"/>
    <w:rsid w:val="00A94102"/>
    <w:rsid w:val="00A943B4"/>
    <w:rsid w:val="00A9478E"/>
    <w:rsid w:val="00A94AAE"/>
    <w:rsid w:val="00A94E70"/>
    <w:rsid w:val="00A95B39"/>
    <w:rsid w:val="00AA02F5"/>
    <w:rsid w:val="00AA06BD"/>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31C38"/>
    <w:rsid w:val="00B31D48"/>
    <w:rsid w:val="00B32D1E"/>
    <w:rsid w:val="00B34592"/>
    <w:rsid w:val="00B359D6"/>
    <w:rsid w:val="00B36ADD"/>
    <w:rsid w:val="00B4066E"/>
    <w:rsid w:val="00B40BA9"/>
    <w:rsid w:val="00B42045"/>
    <w:rsid w:val="00B42629"/>
    <w:rsid w:val="00B4635C"/>
    <w:rsid w:val="00B4636A"/>
    <w:rsid w:val="00B46C1A"/>
    <w:rsid w:val="00B4714F"/>
    <w:rsid w:val="00B47B99"/>
    <w:rsid w:val="00B50A7A"/>
    <w:rsid w:val="00B531E1"/>
    <w:rsid w:val="00B541DF"/>
    <w:rsid w:val="00B571EC"/>
    <w:rsid w:val="00B57D37"/>
    <w:rsid w:val="00B6408B"/>
    <w:rsid w:val="00B643CD"/>
    <w:rsid w:val="00B64B16"/>
    <w:rsid w:val="00B6696B"/>
    <w:rsid w:val="00B669B5"/>
    <w:rsid w:val="00B71CE0"/>
    <w:rsid w:val="00B72FDE"/>
    <w:rsid w:val="00B740D2"/>
    <w:rsid w:val="00B758B0"/>
    <w:rsid w:val="00B75B9A"/>
    <w:rsid w:val="00B76741"/>
    <w:rsid w:val="00B76EEE"/>
    <w:rsid w:val="00B80784"/>
    <w:rsid w:val="00B8112A"/>
    <w:rsid w:val="00B813EB"/>
    <w:rsid w:val="00B81D37"/>
    <w:rsid w:val="00B81D67"/>
    <w:rsid w:val="00B844FA"/>
    <w:rsid w:val="00B852A8"/>
    <w:rsid w:val="00B8661C"/>
    <w:rsid w:val="00B87A38"/>
    <w:rsid w:val="00B907C2"/>
    <w:rsid w:val="00B90C2A"/>
    <w:rsid w:val="00B9113F"/>
    <w:rsid w:val="00B91BEB"/>
    <w:rsid w:val="00B92D77"/>
    <w:rsid w:val="00B93A5C"/>
    <w:rsid w:val="00B94139"/>
    <w:rsid w:val="00B953E6"/>
    <w:rsid w:val="00B96C5C"/>
    <w:rsid w:val="00BA308E"/>
    <w:rsid w:val="00BA4C6B"/>
    <w:rsid w:val="00BA50A1"/>
    <w:rsid w:val="00BA6B02"/>
    <w:rsid w:val="00BA79C9"/>
    <w:rsid w:val="00BB0690"/>
    <w:rsid w:val="00BB2F1E"/>
    <w:rsid w:val="00BB40ED"/>
    <w:rsid w:val="00BB4827"/>
    <w:rsid w:val="00BB4D68"/>
    <w:rsid w:val="00BB60F6"/>
    <w:rsid w:val="00BB6440"/>
    <w:rsid w:val="00BC25BD"/>
    <w:rsid w:val="00BC339F"/>
    <w:rsid w:val="00BC3B4D"/>
    <w:rsid w:val="00BC3D18"/>
    <w:rsid w:val="00BC4178"/>
    <w:rsid w:val="00BC57DD"/>
    <w:rsid w:val="00BC581D"/>
    <w:rsid w:val="00BC5CD8"/>
    <w:rsid w:val="00BD171E"/>
    <w:rsid w:val="00BD1F64"/>
    <w:rsid w:val="00BD3740"/>
    <w:rsid w:val="00BD40A1"/>
    <w:rsid w:val="00BD50B4"/>
    <w:rsid w:val="00BD5BBD"/>
    <w:rsid w:val="00BD68F7"/>
    <w:rsid w:val="00BD6F1B"/>
    <w:rsid w:val="00BE0CC5"/>
    <w:rsid w:val="00BE3875"/>
    <w:rsid w:val="00BE3FAD"/>
    <w:rsid w:val="00BE400E"/>
    <w:rsid w:val="00BE4B92"/>
    <w:rsid w:val="00BE54D5"/>
    <w:rsid w:val="00BE6449"/>
    <w:rsid w:val="00BE7BEF"/>
    <w:rsid w:val="00BF1396"/>
    <w:rsid w:val="00BF2D6F"/>
    <w:rsid w:val="00BF4325"/>
    <w:rsid w:val="00BF6CDD"/>
    <w:rsid w:val="00BF75C5"/>
    <w:rsid w:val="00C00C51"/>
    <w:rsid w:val="00C01043"/>
    <w:rsid w:val="00C019CE"/>
    <w:rsid w:val="00C021D8"/>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1AD0"/>
    <w:rsid w:val="00C3364A"/>
    <w:rsid w:val="00C3533E"/>
    <w:rsid w:val="00C37C82"/>
    <w:rsid w:val="00C4030A"/>
    <w:rsid w:val="00C407A3"/>
    <w:rsid w:val="00C411DD"/>
    <w:rsid w:val="00C41AB8"/>
    <w:rsid w:val="00C420AE"/>
    <w:rsid w:val="00C4502E"/>
    <w:rsid w:val="00C466E0"/>
    <w:rsid w:val="00C47E1D"/>
    <w:rsid w:val="00C5065A"/>
    <w:rsid w:val="00C50AFC"/>
    <w:rsid w:val="00C50BC3"/>
    <w:rsid w:val="00C51D14"/>
    <w:rsid w:val="00C536E1"/>
    <w:rsid w:val="00C55F39"/>
    <w:rsid w:val="00C57728"/>
    <w:rsid w:val="00C62809"/>
    <w:rsid w:val="00C63078"/>
    <w:rsid w:val="00C6371E"/>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2E3"/>
    <w:rsid w:val="00CA74D7"/>
    <w:rsid w:val="00CA7BC1"/>
    <w:rsid w:val="00CB091B"/>
    <w:rsid w:val="00CB222C"/>
    <w:rsid w:val="00CB28A0"/>
    <w:rsid w:val="00CB3663"/>
    <w:rsid w:val="00CB3C72"/>
    <w:rsid w:val="00CB5C39"/>
    <w:rsid w:val="00CB6D16"/>
    <w:rsid w:val="00CB76CC"/>
    <w:rsid w:val="00CB7BA8"/>
    <w:rsid w:val="00CC0B3C"/>
    <w:rsid w:val="00CC4511"/>
    <w:rsid w:val="00CC5360"/>
    <w:rsid w:val="00CC5DF8"/>
    <w:rsid w:val="00CC77FE"/>
    <w:rsid w:val="00CC78D0"/>
    <w:rsid w:val="00CD1AAD"/>
    <w:rsid w:val="00CD1E66"/>
    <w:rsid w:val="00CD47D5"/>
    <w:rsid w:val="00CD58EA"/>
    <w:rsid w:val="00CE098A"/>
    <w:rsid w:val="00CE098E"/>
    <w:rsid w:val="00CE1358"/>
    <w:rsid w:val="00CE14A8"/>
    <w:rsid w:val="00CE498E"/>
    <w:rsid w:val="00CE5700"/>
    <w:rsid w:val="00CE58F8"/>
    <w:rsid w:val="00CE5ADF"/>
    <w:rsid w:val="00CE72E7"/>
    <w:rsid w:val="00CE73B1"/>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3838"/>
    <w:rsid w:val="00D3427A"/>
    <w:rsid w:val="00D34FBE"/>
    <w:rsid w:val="00D350B1"/>
    <w:rsid w:val="00D35106"/>
    <w:rsid w:val="00D37CC1"/>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45D"/>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578E"/>
    <w:rsid w:val="00D966E8"/>
    <w:rsid w:val="00D97644"/>
    <w:rsid w:val="00DA07AA"/>
    <w:rsid w:val="00DA1842"/>
    <w:rsid w:val="00DA191C"/>
    <w:rsid w:val="00DA19BD"/>
    <w:rsid w:val="00DA1A29"/>
    <w:rsid w:val="00DA20C8"/>
    <w:rsid w:val="00DA3F4D"/>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11B5"/>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5FFD"/>
    <w:rsid w:val="00E76B21"/>
    <w:rsid w:val="00E77C53"/>
    <w:rsid w:val="00E806FF"/>
    <w:rsid w:val="00E814CA"/>
    <w:rsid w:val="00E81911"/>
    <w:rsid w:val="00E81F51"/>
    <w:rsid w:val="00E82416"/>
    <w:rsid w:val="00E8568B"/>
    <w:rsid w:val="00E8736C"/>
    <w:rsid w:val="00E87B78"/>
    <w:rsid w:val="00E87EB3"/>
    <w:rsid w:val="00E90400"/>
    <w:rsid w:val="00E91A73"/>
    <w:rsid w:val="00E924E3"/>
    <w:rsid w:val="00E938AD"/>
    <w:rsid w:val="00E93F6D"/>
    <w:rsid w:val="00E958C4"/>
    <w:rsid w:val="00EA29A6"/>
    <w:rsid w:val="00EA2E27"/>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4A08"/>
    <w:rsid w:val="00EC52FA"/>
    <w:rsid w:val="00ED08A6"/>
    <w:rsid w:val="00ED2BAA"/>
    <w:rsid w:val="00ED3A93"/>
    <w:rsid w:val="00ED4CAD"/>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31A1"/>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766"/>
    <w:rsid w:val="00FC0ABA"/>
    <w:rsid w:val="00FC0FAF"/>
    <w:rsid w:val="00FC39AB"/>
    <w:rsid w:val="00FC49D7"/>
    <w:rsid w:val="00FC5672"/>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660"/>
    <o:shapelayout v:ext="edit">
      <o:idmap v:ext="edit" data="1"/>
    </o:shapelayout>
  </w:shapeDefaults>
  <w:decimalSymbol w:val="."/>
  <w:listSeparator w:val=","/>
  <w14:docId w14:val="43F640AA"/>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B839-44EC-408C-8048-6F8FA977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103</Pages>
  <Words>24178</Words>
  <Characters>137818</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99</cp:revision>
  <cp:lastPrinted>2020-05-08T20:03:00Z</cp:lastPrinted>
  <dcterms:created xsi:type="dcterms:W3CDTF">2020-10-24T17:38:00Z</dcterms:created>
  <dcterms:modified xsi:type="dcterms:W3CDTF">2020-10-25T19:51:00Z</dcterms:modified>
</cp:coreProperties>
</file>