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91" w:rsidRPr="00671394" w:rsidRDefault="00EF280A" w:rsidP="007C05AD">
      <w:pPr>
        <w:spacing w:line="276" w:lineRule="auto"/>
        <w:rPr>
          <w:sz w:val="24"/>
        </w:rPr>
      </w:pPr>
      <w:r w:rsidRPr="00671394">
        <w:rPr>
          <w:sz w:val="24"/>
        </w:rPr>
        <w:t>To: Dr. Daniel J. Monti, Jr.; Professor, SOC 5060 Qualitative Research Methods, S</w:t>
      </w:r>
      <w:r w:rsidR="00671394">
        <w:rPr>
          <w:sz w:val="24"/>
        </w:rPr>
        <w:t>LU</w:t>
      </w:r>
    </w:p>
    <w:p w:rsidR="00EF280A" w:rsidRPr="00671394" w:rsidRDefault="00671394" w:rsidP="007C05AD">
      <w:pPr>
        <w:spacing w:line="276" w:lineRule="auto"/>
        <w:rPr>
          <w:sz w:val="24"/>
        </w:rPr>
      </w:pPr>
      <w:r>
        <w:rPr>
          <w:sz w:val="24"/>
        </w:rPr>
        <w:t xml:space="preserve">From: Malcolm S. </w:t>
      </w:r>
      <w:r w:rsidR="00EF280A" w:rsidRPr="00671394">
        <w:rPr>
          <w:sz w:val="24"/>
        </w:rPr>
        <w:t xml:space="preserve">Townes, Student, SOC 5060 Qualitative Research Methods, </w:t>
      </w:r>
      <w:r>
        <w:rPr>
          <w:sz w:val="24"/>
        </w:rPr>
        <w:t>SLU</w:t>
      </w:r>
    </w:p>
    <w:p w:rsidR="00EF280A" w:rsidRPr="00671394" w:rsidRDefault="00EF280A" w:rsidP="007C05AD">
      <w:pPr>
        <w:spacing w:line="276" w:lineRule="auto"/>
        <w:rPr>
          <w:sz w:val="24"/>
        </w:rPr>
      </w:pPr>
      <w:r w:rsidRPr="00671394">
        <w:rPr>
          <w:sz w:val="24"/>
        </w:rPr>
        <w:t>Date: October 30, 2019</w:t>
      </w:r>
    </w:p>
    <w:p w:rsidR="00EF280A" w:rsidRPr="00671394" w:rsidRDefault="00EF280A" w:rsidP="007C05AD">
      <w:pPr>
        <w:spacing w:line="276" w:lineRule="auto"/>
        <w:rPr>
          <w:sz w:val="24"/>
        </w:rPr>
      </w:pPr>
      <w:r w:rsidRPr="00671394">
        <w:rPr>
          <w:sz w:val="24"/>
        </w:rPr>
        <w:t>Re: 1990 Census data on homeownership rates by traditional racial</w:t>
      </w:r>
      <w:r w:rsidR="00671394">
        <w:rPr>
          <w:sz w:val="24"/>
        </w:rPr>
        <w:t xml:space="preserve"> and ethnic group</w:t>
      </w:r>
    </w:p>
    <w:p w:rsidR="00EF280A" w:rsidRPr="00671394" w:rsidRDefault="00EF280A" w:rsidP="00671394">
      <w:pPr>
        <w:pBdr>
          <w:bottom w:val="single" w:sz="4" w:space="1" w:color="auto"/>
        </w:pBdr>
        <w:rPr>
          <w:sz w:val="24"/>
        </w:rPr>
      </w:pPr>
    </w:p>
    <w:p w:rsidR="00EF280A" w:rsidRPr="00671394" w:rsidRDefault="00EF280A" w:rsidP="00671394">
      <w:pPr>
        <w:rPr>
          <w:sz w:val="24"/>
        </w:rPr>
      </w:pPr>
    </w:p>
    <w:p w:rsidR="00EF280A" w:rsidRPr="00671394" w:rsidRDefault="008212CA" w:rsidP="00671394">
      <w:pPr>
        <w:rPr>
          <w:sz w:val="24"/>
        </w:rPr>
      </w:pPr>
      <w:r w:rsidRPr="00671394">
        <w:rPr>
          <w:sz w:val="24"/>
        </w:rPr>
        <w:t xml:space="preserve">One possible interpretation </w:t>
      </w:r>
      <w:r w:rsidR="003737CA" w:rsidRPr="00671394">
        <w:rPr>
          <w:sz w:val="24"/>
        </w:rPr>
        <w:t>of t</w:t>
      </w:r>
      <w:r w:rsidR="003737CA" w:rsidRPr="00671394">
        <w:rPr>
          <w:sz w:val="24"/>
        </w:rPr>
        <w:t xml:space="preserve">he 1990 census data for homeownership rates by traditional racial and ethnic group classifications (Table 1) </w:t>
      </w:r>
      <w:r w:rsidRPr="00671394">
        <w:rPr>
          <w:sz w:val="24"/>
        </w:rPr>
        <w:t xml:space="preserve">is that the data </w:t>
      </w:r>
      <w:r w:rsidR="007C05AD">
        <w:rPr>
          <w:sz w:val="24"/>
        </w:rPr>
        <w:t>hint at</w:t>
      </w:r>
      <w:r w:rsidRPr="00671394">
        <w:rPr>
          <w:sz w:val="24"/>
        </w:rPr>
        <w:t xml:space="preserve"> a surprising degree of parity in homeownership rates among the racial and ethni</w:t>
      </w:r>
      <w:r w:rsidR="004D5958" w:rsidRPr="00671394">
        <w:rPr>
          <w:sz w:val="24"/>
        </w:rPr>
        <w:t>c group classifications given the</w:t>
      </w:r>
      <w:r w:rsidRPr="00671394">
        <w:rPr>
          <w:sz w:val="24"/>
        </w:rPr>
        <w:t xml:space="preserve"> history</w:t>
      </w:r>
      <w:r w:rsidR="004D5958" w:rsidRPr="00671394">
        <w:rPr>
          <w:sz w:val="24"/>
        </w:rPr>
        <w:t xml:space="preserve"> of social and government-sanctioned racism, prejudice, and discrimination in the United States during its first 200 years</w:t>
      </w:r>
      <w:r w:rsidR="007C05AD">
        <w:rPr>
          <w:sz w:val="24"/>
        </w:rPr>
        <w:t xml:space="preserve"> against many of these groups</w:t>
      </w:r>
      <w:r w:rsidR="004D5958" w:rsidRPr="00671394">
        <w:rPr>
          <w:sz w:val="24"/>
        </w:rPr>
        <w:t xml:space="preserve">. </w:t>
      </w:r>
      <w:r w:rsidRPr="00671394">
        <w:rPr>
          <w:sz w:val="24"/>
        </w:rPr>
        <w:t xml:space="preserve"> </w:t>
      </w:r>
      <w:r w:rsidR="003C073B" w:rsidRPr="00671394">
        <w:rPr>
          <w:sz w:val="24"/>
        </w:rPr>
        <w:t xml:space="preserve">It’s interesting to note that the </w:t>
      </w:r>
      <w:r w:rsidR="003D42E1">
        <w:rPr>
          <w:sz w:val="24"/>
        </w:rPr>
        <w:t>homeownership rate</w:t>
      </w:r>
      <w:r w:rsidR="007C05AD">
        <w:rPr>
          <w:sz w:val="24"/>
        </w:rPr>
        <w:t>s</w:t>
      </w:r>
      <w:r w:rsidR="003D42E1">
        <w:rPr>
          <w:sz w:val="24"/>
        </w:rPr>
        <w:t xml:space="preserve"> for all non-W</w:t>
      </w:r>
      <w:r w:rsidR="003C073B" w:rsidRPr="00671394">
        <w:rPr>
          <w:sz w:val="24"/>
        </w:rPr>
        <w:t>hite groups, except for the “</w:t>
      </w:r>
      <w:r w:rsidR="003D42E1">
        <w:rPr>
          <w:sz w:val="24"/>
        </w:rPr>
        <w:t>O</w:t>
      </w:r>
      <w:r w:rsidR="003C073B" w:rsidRPr="00671394">
        <w:rPr>
          <w:sz w:val="24"/>
        </w:rPr>
        <w:t xml:space="preserve">ther race” category, fall within </w:t>
      </w:r>
      <w:r w:rsidR="003D42E1">
        <w:rPr>
          <w:sz w:val="24"/>
        </w:rPr>
        <w:t xml:space="preserve">roughly </w:t>
      </w:r>
      <w:r w:rsidR="003C073B" w:rsidRPr="00671394">
        <w:rPr>
          <w:sz w:val="24"/>
        </w:rPr>
        <w:t xml:space="preserve">a 10-percentage point range with the median rate being 53 percent.  This seems to be a relatively close clustering.  While there is </w:t>
      </w:r>
      <w:r w:rsidR="003D42E1">
        <w:rPr>
          <w:sz w:val="24"/>
        </w:rPr>
        <w:t xml:space="preserve">approximately </w:t>
      </w:r>
      <w:r w:rsidR="003C073B" w:rsidRPr="00671394">
        <w:rPr>
          <w:sz w:val="24"/>
        </w:rPr>
        <w:t xml:space="preserve">a </w:t>
      </w:r>
      <w:r w:rsidR="00911F2A" w:rsidRPr="00671394">
        <w:rPr>
          <w:sz w:val="24"/>
        </w:rPr>
        <w:t>15-percentage</w:t>
      </w:r>
      <w:r w:rsidR="003C073B" w:rsidRPr="00671394">
        <w:rPr>
          <w:sz w:val="24"/>
        </w:rPr>
        <w:t xml:space="preserve"> point difference between the rate for White homeownership and the median homeownership rate for the ot</w:t>
      </w:r>
      <w:r w:rsidR="003D42E1">
        <w:rPr>
          <w:sz w:val="24"/>
        </w:rPr>
        <w:t>her racial and ethnic groups</w:t>
      </w:r>
      <w:r w:rsidR="003C073B" w:rsidRPr="00671394">
        <w:rPr>
          <w:sz w:val="24"/>
        </w:rPr>
        <w:t xml:space="preserve"> (excluding the “</w:t>
      </w:r>
      <w:r w:rsidR="003D42E1">
        <w:rPr>
          <w:sz w:val="24"/>
        </w:rPr>
        <w:t>O</w:t>
      </w:r>
      <w:r w:rsidR="003C073B" w:rsidRPr="00671394">
        <w:rPr>
          <w:sz w:val="24"/>
        </w:rPr>
        <w:t xml:space="preserve">ther race” category), </w:t>
      </w:r>
      <w:r w:rsidR="003D42E1">
        <w:rPr>
          <w:sz w:val="24"/>
        </w:rPr>
        <w:t xml:space="preserve">this </w:t>
      </w:r>
      <w:r w:rsidR="003C073B" w:rsidRPr="00671394">
        <w:rPr>
          <w:sz w:val="24"/>
        </w:rPr>
        <w:t xml:space="preserve">may not be as </w:t>
      </w:r>
      <w:r w:rsidR="003D42E1">
        <w:rPr>
          <w:sz w:val="24"/>
        </w:rPr>
        <w:t>extreme a difference</w:t>
      </w:r>
      <w:r w:rsidR="00911F2A" w:rsidRPr="00671394">
        <w:rPr>
          <w:sz w:val="24"/>
        </w:rPr>
        <w:t xml:space="preserve"> as i</w:t>
      </w:r>
      <w:r w:rsidR="003D42E1">
        <w:rPr>
          <w:sz w:val="24"/>
        </w:rPr>
        <w:t>t</w:t>
      </w:r>
      <w:r w:rsidR="00911F2A" w:rsidRPr="00671394">
        <w:rPr>
          <w:sz w:val="24"/>
        </w:rPr>
        <w:t xml:space="preserve"> might first appear when one considers that the percentage of the overall population for Hispanics of any race and Blacks was probably between 10 to 15 percent</w:t>
      </w:r>
      <w:r w:rsidR="00DE0E3A">
        <w:rPr>
          <w:sz w:val="24"/>
        </w:rPr>
        <w:t xml:space="preserve"> each</w:t>
      </w:r>
      <w:r w:rsidR="00911F2A" w:rsidRPr="00671394">
        <w:rPr>
          <w:sz w:val="24"/>
        </w:rPr>
        <w:t xml:space="preserve"> and for American Indian and Asian or Pacific Is</w:t>
      </w:r>
      <w:r w:rsidR="00DE0E3A">
        <w:rPr>
          <w:sz w:val="24"/>
        </w:rPr>
        <w:t>lander was probably less than 5</w:t>
      </w:r>
      <w:r w:rsidR="00911F2A" w:rsidRPr="00671394">
        <w:rPr>
          <w:sz w:val="24"/>
        </w:rPr>
        <w:t xml:space="preserve"> percent</w:t>
      </w:r>
      <w:r w:rsidR="00DE0E3A">
        <w:rPr>
          <w:sz w:val="24"/>
        </w:rPr>
        <w:t xml:space="preserve"> each</w:t>
      </w:r>
      <w:r w:rsidR="00911F2A" w:rsidRPr="00671394">
        <w:rPr>
          <w:sz w:val="24"/>
        </w:rPr>
        <w:t xml:space="preserve">.  Differences in homeownership rates between White and non-White groups could be the result of employment-driven income differences </w:t>
      </w:r>
      <w:r w:rsidR="003D42E1">
        <w:rPr>
          <w:sz w:val="24"/>
        </w:rPr>
        <w:t xml:space="preserve">or </w:t>
      </w:r>
      <w:r w:rsidR="007C05AD">
        <w:rPr>
          <w:sz w:val="24"/>
        </w:rPr>
        <w:t xml:space="preserve">even </w:t>
      </w:r>
      <w:r w:rsidR="003D42E1">
        <w:rPr>
          <w:sz w:val="24"/>
        </w:rPr>
        <w:t xml:space="preserve">cultural differences in living preferences </w:t>
      </w:r>
      <w:r w:rsidR="00911F2A" w:rsidRPr="00671394">
        <w:rPr>
          <w:sz w:val="24"/>
        </w:rPr>
        <w:t xml:space="preserve">rather than systemic bias in access to home loans.  If there were substantial systemic racial and ethnic bias in access to home loans, one might expect the White homeownership rate to be significantly greater than 68.2 percent. </w:t>
      </w:r>
      <w:r w:rsidR="003D42E1">
        <w:rPr>
          <w:sz w:val="24"/>
        </w:rPr>
        <w:t xml:space="preserve"> Rather than simply comparing homeownership rates </w:t>
      </w:r>
      <w:r w:rsidR="007C05AD">
        <w:rPr>
          <w:sz w:val="24"/>
        </w:rPr>
        <w:t>by group</w:t>
      </w:r>
      <w:r w:rsidR="007C05AD">
        <w:rPr>
          <w:sz w:val="24"/>
        </w:rPr>
        <w:t xml:space="preserve"> </w:t>
      </w:r>
      <w:r w:rsidR="003D42E1">
        <w:rPr>
          <w:sz w:val="24"/>
        </w:rPr>
        <w:t xml:space="preserve">based on overall </w:t>
      </w:r>
      <w:r w:rsidR="007C05AD">
        <w:rPr>
          <w:sz w:val="24"/>
        </w:rPr>
        <w:t xml:space="preserve">group </w:t>
      </w:r>
      <w:r w:rsidR="003D42E1">
        <w:rPr>
          <w:sz w:val="24"/>
        </w:rPr>
        <w:t>popula</w:t>
      </w:r>
      <w:r w:rsidR="005C4FF2">
        <w:rPr>
          <w:sz w:val="24"/>
        </w:rPr>
        <w:t xml:space="preserve">tion, it might be more appropriate to compare homeownership rates </w:t>
      </w:r>
      <w:r w:rsidR="007C05AD">
        <w:rPr>
          <w:sz w:val="24"/>
        </w:rPr>
        <w:t xml:space="preserve">by group </w:t>
      </w:r>
      <w:r w:rsidR="005C4FF2">
        <w:rPr>
          <w:sz w:val="24"/>
        </w:rPr>
        <w:t xml:space="preserve">for households above a certain </w:t>
      </w:r>
      <w:r w:rsidR="00DE0E3A">
        <w:rPr>
          <w:sz w:val="24"/>
        </w:rPr>
        <w:t xml:space="preserve">minimum </w:t>
      </w:r>
      <w:r w:rsidR="005C4FF2">
        <w:rPr>
          <w:sz w:val="24"/>
        </w:rPr>
        <w:t>income</w:t>
      </w:r>
      <w:r w:rsidR="007C05AD">
        <w:rPr>
          <w:sz w:val="24"/>
        </w:rPr>
        <w:t xml:space="preserve"> deemed necessary to be able to afford to purchase a home.</w:t>
      </w:r>
      <w:bookmarkStart w:id="0" w:name="_GoBack"/>
      <w:bookmarkEnd w:id="0"/>
    </w:p>
    <w:p w:rsidR="00671394" w:rsidRPr="00671394" w:rsidRDefault="00671394" w:rsidP="00671394">
      <w:pPr>
        <w:rPr>
          <w:sz w:val="24"/>
        </w:rPr>
      </w:pPr>
    </w:p>
    <w:p w:rsidR="00671394" w:rsidRDefault="00671394" w:rsidP="00671394">
      <w:pPr>
        <w:rPr>
          <w:sz w:val="24"/>
        </w:rPr>
      </w:pPr>
      <w:r w:rsidRPr="00671394">
        <w:rPr>
          <w:sz w:val="24"/>
        </w:rPr>
        <w:t>Table 1</w:t>
      </w:r>
    </w:p>
    <w:p w:rsidR="00671394" w:rsidRPr="00671394" w:rsidRDefault="00671394" w:rsidP="00671394">
      <w:pPr>
        <w:rPr>
          <w:sz w:val="24"/>
        </w:rPr>
      </w:pPr>
    </w:p>
    <w:p w:rsidR="00671394" w:rsidRDefault="00671394" w:rsidP="00671394">
      <w:pPr>
        <w:rPr>
          <w:sz w:val="24"/>
        </w:rPr>
      </w:pPr>
      <w:r w:rsidRPr="00671394">
        <w:rPr>
          <w:sz w:val="24"/>
        </w:rPr>
        <w:t>Homeownership Rates by Traditional Racial and Ethnic Group Classifications</w:t>
      </w:r>
    </w:p>
    <w:p w:rsidR="00671394" w:rsidRPr="00671394" w:rsidRDefault="00671394" w:rsidP="00671394">
      <w:pPr>
        <w:rPr>
          <w:sz w:val="24"/>
        </w:rPr>
      </w:pPr>
    </w:p>
    <w:tbl>
      <w:tblPr>
        <w:tblStyle w:val="TableGrid"/>
        <w:tblW w:w="0" w:type="auto"/>
        <w:tblLook w:val="04A0" w:firstRow="1" w:lastRow="0" w:firstColumn="1" w:lastColumn="0" w:noHBand="0" w:noVBand="1"/>
      </w:tblPr>
      <w:tblGrid>
        <w:gridCol w:w="4675"/>
        <w:gridCol w:w="1800"/>
      </w:tblGrid>
      <w:tr w:rsidR="00671394" w:rsidRPr="00671394" w:rsidTr="00D31FD4">
        <w:tc>
          <w:tcPr>
            <w:tcW w:w="4675" w:type="dxa"/>
            <w:tcBorders>
              <w:left w:val="nil"/>
              <w:bottom w:val="single" w:sz="4" w:space="0" w:color="auto"/>
              <w:right w:val="single" w:sz="4" w:space="0" w:color="auto"/>
            </w:tcBorders>
          </w:tcPr>
          <w:p w:rsidR="00671394" w:rsidRPr="00671394" w:rsidRDefault="00671394" w:rsidP="00671394">
            <w:pPr>
              <w:rPr>
                <w:sz w:val="24"/>
              </w:rPr>
            </w:pPr>
          </w:p>
        </w:tc>
        <w:tc>
          <w:tcPr>
            <w:tcW w:w="1800" w:type="dxa"/>
            <w:tcBorders>
              <w:left w:val="single" w:sz="4" w:space="0" w:color="auto"/>
              <w:bottom w:val="single" w:sz="4" w:space="0" w:color="auto"/>
              <w:right w:val="nil"/>
            </w:tcBorders>
          </w:tcPr>
          <w:p w:rsidR="00671394" w:rsidRPr="00671394" w:rsidRDefault="00671394" w:rsidP="00671394">
            <w:pPr>
              <w:jc w:val="center"/>
              <w:rPr>
                <w:sz w:val="24"/>
              </w:rPr>
            </w:pPr>
            <w:r w:rsidRPr="00671394">
              <w:rPr>
                <w:sz w:val="24"/>
              </w:rPr>
              <w:t>1990 Census</w:t>
            </w:r>
          </w:p>
        </w:tc>
      </w:tr>
      <w:tr w:rsidR="00671394" w:rsidRPr="00671394" w:rsidTr="00D31FD4">
        <w:tc>
          <w:tcPr>
            <w:tcW w:w="4675" w:type="dxa"/>
            <w:tcBorders>
              <w:top w:val="single" w:sz="4" w:space="0" w:color="auto"/>
              <w:left w:val="nil"/>
              <w:bottom w:val="nil"/>
              <w:right w:val="nil"/>
            </w:tcBorders>
          </w:tcPr>
          <w:p w:rsidR="00671394" w:rsidRPr="00671394" w:rsidRDefault="00671394" w:rsidP="00671394">
            <w:pPr>
              <w:ind w:left="360"/>
              <w:rPr>
                <w:sz w:val="24"/>
              </w:rPr>
            </w:pPr>
            <w:r w:rsidRPr="00671394">
              <w:rPr>
                <w:sz w:val="24"/>
              </w:rPr>
              <w:t>White</w:t>
            </w:r>
          </w:p>
        </w:tc>
        <w:tc>
          <w:tcPr>
            <w:tcW w:w="1800" w:type="dxa"/>
            <w:tcBorders>
              <w:top w:val="single" w:sz="4" w:space="0" w:color="auto"/>
              <w:left w:val="nil"/>
              <w:bottom w:val="nil"/>
              <w:right w:val="nil"/>
            </w:tcBorders>
          </w:tcPr>
          <w:p w:rsidR="00671394" w:rsidRPr="00671394" w:rsidRDefault="00671394" w:rsidP="00671394">
            <w:pPr>
              <w:jc w:val="right"/>
              <w:rPr>
                <w:sz w:val="24"/>
              </w:rPr>
            </w:pPr>
            <w:r w:rsidRPr="00671394">
              <w:rPr>
                <w:sz w:val="24"/>
              </w:rPr>
              <w:t>68.2</w:t>
            </w:r>
          </w:p>
        </w:tc>
      </w:tr>
      <w:tr w:rsidR="00671394" w:rsidRPr="00671394" w:rsidTr="00D31FD4">
        <w:tc>
          <w:tcPr>
            <w:tcW w:w="4675" w:type="dxa"/>
            <w:tcBorders>
              <w:top w:val="nil"/>
              <w:left w:val="nil"/>
              <w:bottom w:val="nil"/>
              <w:right w:val="nil"/>
            </w:tcBorders>
          </w:tcPr>
          <w:p w:rsidR="00671394" w:rsidRPr="00671394" w:rsidRDefault="00671394" w:rsidP="00671394">
            <w:pPr>
              <w:ind w:left="360"/>
              <w:rPr>
                <w:sz w:val="24"/>
              </w:rPr>
            </w:pPr>
            <w:r w:rsidRPr="00671394">
              <w:rPr>
                <w:sz w:val="24"/>
              </w:rPr>
              <w:t>Blacks</w:t>
            </w:r>
          </w:p>
        </w:tc>
        <w:tc>
          <w:tcPr>
            <w:tcW w:w="1800" w:type="dxa"/>
            <w:tcBorders>
              <w:top w:val="nil"/>
              <w:left w:val="nil"/>
              <w:bottom w:val="nil"/>
              <w:right w:val="nil"/>
            </w:tcBorders>
          </w:tcPr>
          <w:p w:rsidR="00671394" w:rsidRPr="00671394" w:rsidRDefault="00671394" w:rsidP="00671394">
            <w:pPr>
              <w:jc w:val="right"/>
              <w:rPr>
                <w:sz w:val="24"/>
              </w:rPr>
            </w:pPr>
            <w:r w:rsidRPr="00671394">
              <w:rPr>
                <w:sz w:val="24"/>
              </w:rPr>
              <w:t>43.4</w:t>
            </w:r>
          </w:p>
        </w:tc>
      </w:tr>
      <w:tr w:rsidR="00671394" w:rsidRPr="00671394" w:rsidTr="00D31FD4">
        <w:tc>
          <w:tcPr>
            <w:tcW w:w="4675" w:type="dxa"/>
            <w:tcBorders>
              <w:top w:val="nil"/>
              <w:left w:val="nil"/>
              <w:bottom w:val="nil"/>
              <w:right w:val="nil"/>
            </w:tcBorders>
          </w:tcPr>
          <w:p w:rsidR="00671394" w:rsidRPr="00671394" w:rsidRDefault="00671394" w:rsidP="00671394">
            <w:pPr>
              <w:ind w:left="360"/>
              <w:rPr>
                <w:sz w:val="24"/>
              </w:rPr>
            </w:pPr>
            <w:r w:rsidRPr="00671394">
              <w:rPr>
                <w:sz w:val="24"/>
              </w:rPr>
              <w:t>American Indian</w:t>
            </w:r>
          </w:p>
          <w:p w:rsidR="00671394" w:rsidRPr="00671394" w:rsidRDefault="00671394" w:rsidP="00671394">
            <w:pPr>
              <w:ind w:left="720"/>
              <w:rPr>
                <w:sz w:val="24"/>
              </w:rPr>
            </w:pPr>
            <w:r w:rsidRPr="00671394">
              <w:rPr>
                <w:sz w:val="24"/>
              </w:rPr>
              <w:t>Eskimo</w:t>
            </w:r>
          </w:p>
          <w:p w:rsidR="00671394" w:rsidRPr="00671394" w:rsidRDefault="00671394" w:rsidP="00671394">
            <w:pPr>
              <w:ind w:left="720"/>
              <w:rPr>
                <w:sz w:val="24"/>
              </w:rPr>
            </w:pPr>
            <w:r w:rsidRPr="00671394">
              <w:rPr>
                <w:sz w:val="24"/>
              </w:rPr>
              <w:t>Aleutian</w:t>
            </w:r>
          </w:p>
        </w:tc>
        <w:tc>
          <w:tcPr>
            <w:tcW w:w="1800" w:type="dxa"/>
            <w:tcBorders>
              <w:top w:val="nil"/>
              <w:left w:val="nil"/>
              <w:bottom w:val="nil"/>
              <w:right w:val="nil"/>
            </w:tcBorders>
          </w:tcPr>
          <w:p w:rsidR="00671394" w:rsidRPr="00671394" w:rsidRDefault="00671394" w:rsidP="00671394">
            <w:pPr>
              <w:jc w:val="right"/>
              <w:rPr>
                <w:sz w:val="24"/>
              </w:rPr>
            </w:pPr>
            <w:r w:rsidRPr="00671394">
              <w:rPr>
                <w:sz w:val="24"/>
              </w:rPr>
              <w:t>*53.8</w:t>
            </w:r>
          </w:p>
        </w:tc>
      </w:tr>
      <w:tr w:rsidR="00671394" w:rsidRPr="00671394" w:rsidTr="00D31FD4">
        <w:tc>
          <w:tcPr>
            <w:tcW w:w="4675" w:type="dxa"/>
            <w:tcBorders>
              <w:top w:val="nil"/>
              <w:left w:val="nil"/>
              <w:bottom w:val="nil"/>
              <w:right w:val="nil"/>
            </w:tcBorders>
          </w:tcPr>
          <w:p w:rsidR="00671394" w:rsidRPr="00671394" w:rsidRDefault="00671394" w:rsidP="00671394">
            <w:pPr>
              <w:ind w:left="360"/>
              <w:rPr>
                <w:sz w:val="24"/>
              </w:rPr>
            </w:pPr>
            <w:r w:rsidRPr="00671394">
              <w:rPr>
                <w:sz w:val="24"/>
              </w:rPr>
              <w:t>Asian or Pacific Islander</w:t>
            </w:r>
          </w:p>
        </w:tc>
        <w:tc>
          <w:tcPr>
            <w:tcW w:w="1800" w:type="dxa"/>
            <w:tcBorders>
              <w:top w:val="nil"/>
              <w:left w:val="nil"/>
              <w:bottom w:val="nil"/>
              <w:right w:val="nil"/>
            </w:tcBorders>
          </w:tcPr>
          <w:p w:rsidR="00671394" w:rsidRPr="00671394" w:rsidRDefault="00671394" w:rsidP="00671394">
            <w:pPr>
              <w:jc w:val="right"/>
              <w:rPr>
                <w:sz w:val="24"/>
              </w:rPr>
            </w:pPr>
            <w:r w:rsidRPr="00671394">
              <w:rPr>
                <w:sz w:val="24"/>
              </w:rPr>
              <w:t>52.2</w:t>
            </w:r>
          </w:p>
        </w:tc>
      </w:tr>
      <w:tr w:rsidR="00671394" w:rsidRPr="00671394" w:rsidTr="00D31FD4">
        <w:tc>
          <w:tcPr>
            <w:tcW w:w="4675" w:type="dxa"/>
            <w:tcBorders>
              <w:top w:val="nil"/>
              <w:left w:val="nil"/>
              <w:bottom w:val="nil"/>
              <w:right w:val="nil"/>
            </w:tcBorders>
          </w:tcPr>
          <w:p w:rsidR="00671394" w:rsidRPr="00671394" w:rsidRDefault="00671394" w:rsidP="00671394">
            <w:pPr>
              <w:ind w:left="360"/>
              <w:rPr>
                <w:sz w:val="24"/>
              </w:rPr>
            </w:pPr>
            <w:r w:rsidRPr="00671394">
              <w:rPr>
                <w:sz w:val="24"/>
              </w:rPr>
              <w:t>Other race</w:t>
            </w:r>
          </w:p>
        </w:tc>
        <w:tc>
          <w:tcPr>
            <w:tcW w:w="1800" w:type="dxa"/>
            <w:tcBorders>
              <w:top w:val="nil"/>
              <w:left w:val="nil"/>
              <w:bottom w:val="nil"/>
              <w:right w:val="nil"/>
            </w:tcBorders>
          </w:tcPr>
          <w:p w:rsidR="00671394" w:rsidRPr="00671394" w:rsidRDefault="00671394" w:rsidP="00671394">
            <w:pPr>
              <w:jc w:val="right"/>
              <w:rPr>
                <w:sz w:val="24"/>
              </w:rPr>
            </w:pPr>
            <w:r w:rsidRPr="00671394">
              <w:rPr>
                <w:sz w:val="24"/>
              </w:rPr>
              <w:t>36.1</w:t>
            </w:r>
          </w:p>
        </w:tc>
      </w:tr>
      <w:tr w:rsidR="00671394" w:rsidRPr="00671394" w:rsidTr="00D31FD4">
        <w:tc>
          <w:tcPr>
            <w:tcW w:w="4675" w:type="dxa"/>
            <w:tcBorders>
              <w:top w:val="nil"/>
              <w:left w:val="nil"/>
              <w:bottom w:val="nil"/>
              <w:right w:val="nil"/>
            </w:tcBorders>
          </w:tcPr>
          <w:p w:rsidR="00671394" w:rsidRPr="00671394" w:rsidRDefault="00671394" w:rsidP="00671394">
            <w:pPr>
              <w:ind w:left="360"/>
              <w:rPr>
                <w:sz w:val="24"/>
              </w:rPr>
            </w:pPr>
            <w:r w:rsidRPr="00671394">
              <w:rPr>
                <w:sz w:val="24"/>
              </w:rPr>
              <w:t>Hispanic origin (any race)</w:t>
            </w:r>
          </w:p>
        </w:tc>
        <w:tc>
          <w:tcPr>
            <w:tcW w:w="1800" w:type="dxa"/>
            <w:tcBorders>
              <w:top w:val="nil"/>
              <w:left w:val="nil"/>
              <w:bottom w:val="nil"/>
              <w:right w:val="nil"/>
            </w:tcBorders>
          </w:tcPr>
          <w:p w:rsidR="00671394" w:rsidRPr="00671394" w:rsidRDefault="00671394" w:rsidP="00671394">
            <w:pPr>
              <w:jc w:val="right"/>
              <w:rPr>
                <w:sz w:val="24"/>
              </w:rPr>
            </w:pPr>
            <w:r w:rsidRPr="00671394">
              <w:rPr>
                <w:sz w:val="24"/>
              </w:rPr>
              <w:t>42.4</w:t>
            </w:r>
          </w:p>
        </w:tc>
      </w:tr>
      <w:tr w:rsidR="00671394" w:rsidRPr="00671394" w:rsidTr="00D31FD4">
        <w:tc>
          <w:tcPr>
            <w:tcW w:w="4675" w:type="dxa"/>
            <w:tcBorders>
              <w:top w:val="nil"/>
              <w:left w:val="nil"/>
              <w:bottom w:val="single" w:sz="4" w:space="0" w:color="auto"/>
              <w:right w:val="nil"/>
            </w:tcBorders>
          </w:tcPr>
          <w:p w:rsidR="00671394" w:rsidRPr="00671394" w:rsidRDefault="00671394" w:rsidP="00671394">
            <w:pPr>
              <w:rPr>
                <w:sz w:val="24"/>
              </w:rPr>
            </w:pPr>
            <w:r w:rsidRPr="00671394">
              <w:rPr>
                <w:sz w:val="24"/>
              </w:rPr>
              <w:t>Total rate of homeownership</w:t>
            </w:r>
          </w:p>
        </w:tc>
        <w:tc>
          <w:tcPr>
            <w:tcW w:w="1800" w:type="dxa"/>
            <w:tcBorders>
              <w:top w:val="nil"/>
              <w:left w:val="nil"/>
              <w:bottom w:val="single" w:sz="4" w:space="0" w:color="auto"/>
              <w:right w:val="nil"/>
            </w:tcBorders>
          </w:tcPr>
          <w:p w:rsidR="00671394" w:rsidRPr="00671394" w:rsidRDefault="00671394" w:rsidP="00671394">
            <w:pPr>
              <w:jc w:val="right"/>
              <w:rPr>
                <w:sz w:val="24"/>
              </w:rPr>
            </w:pPr>
            <w:r w:rsidRPr="00671394">
              <w:rPr>
                <w:sz w:val="24"/>
              </w:rPr>
              <w:t>64.2</w:t>
            </w:r>
          </w:p>
        </w:tc>
      </w:tr>
    </w:tbl>
    <w:p w:rsidR="00671394" w:rsidRPr="007C05AD" w:rsidRDefault="00671394" w:rsidP="00671394">
      <w:pPr>
        <w:rPr>
          <w:sz w:val="20"/>
        </w:rPr>
      </w:pPr>
      <w:r w:rsidRPr="00671394">
        <w:rPr>
          <w:sz w:val="20"/>
        </w:rPr>
        <w:t>* 1990 Census combines American Indian, Eskimo, and Aleut into one category</w:t>
      </w:r>
    </w:p>
    <w:sectPr w:rsidR="00671394" w:rsidRPr="007C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E7A44"/>
    <w:multiLevelType w:val="hybridMultilevel"/>
    <w:tmpl w:val="2A48674C"/>
    <w:lvl w:ilvl="0" w:tplc="12AEF7BA">
      <w:start w:val="6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80A"/>
    <w:rsid w:val="003737CA"/>
    <w:rsid w:val="003C073B"/>
    <w:rsid w:val="003D42E1"/>
    <w:rsid w:val="003E4215"/>
    <w:rsid w:val="004B47FE"/>
    <w:rsid w:val="004D5958"/>
    <w:rsid w:val="005C4FF2"/>
    <w:rsid w:val="00616A8F"/>
    <w:rsid w:val="00671394"/>
    <w:rsid w:val="007C05AD"/>
    <w:rsid w:val="008212CA"/>
    <w:rsid w:val="00911F2A"/>
    <w:rsid w:val="00CA03F3"/>
    <w:rsid w:val="00D31FD4"/>
    <w:rsid w:val="00DE0E3A"/>
    <w:rsid w:val="00EF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FE0A"/>
  <w15:chartTrackingRefBased/>
  <w15:docId w15:val="{498F089B-10C7-400B-B8F9-8A32DC9D5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1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13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9</cp:revision>
  <dcterms:created xsi:type="dcterms:W3CDTF">2019-10-30T17:18:00Z</dcterms:created>
  <dcterms:modified xsi:type="dcterms:W3CDTF">2019-10-30T18:20:00Z</dcterms:modified>
</cp:coreProperties>
</file>