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End w:id="9"/>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E16EDB" w:rsidRDefault="00E16EDB" w:rsidP="005F1DDA">
      <w:pPr>
        <w:pStyle w:val="ListParagraph"/>
        <w:numPr>
          <w:ilvl w:val="1"/>
          <w:numId w:val="108"/>
        </w:numPr>
      </w:pPr>
      <w:r>
        <w:t>Uses of focus group research:</w:t>
      </w:r>
    </w:p>
    <w:p w:rsidR="00E16EDB" w:rsidRDefault="00E16EDB" w:rsidP="00E16EDB">
      <w:pPr>
        <w:pStyle w:val="ListParagraph"/>
        <w:numPr>
          <w:ilvl w:val="2"/>
          <w:numId w:val="108"/>
        </w:numPr>
      </w:pPr>
      <w:r>
        <w:t>Discovering unanticipated findings</w:t>
      </w:r>
    </w:p>
    <w:p w:rsidR="00E16EDB" w:rsidRDefault="00E16EDB" w:rsidP="00E16EDB">
      <w:pPr>
        <w:pStyle w:val="ListParagraph"/>
        <w:numPr>
          <w:ilvl w:val="2"/>
          <w:numId w:val="108"/>
        </w:numPr>
      </w:pPr>
      <w:r>
        <w:t>Exploring hidden meanings</w:t>
      </w:r>
    </w:p>
    <w:p w:rsidR="00E16EDB" w:rsidRDefault="00E16EDB" w:rsidP="00E16EDB">
      <w:pPr>
        <w:pStyle w:val="ListParagraph"/>
        <w:numPr>
          <w:ilvl w:val="2"/>
          <w:numId w:val="108"/>
        </w:numPr>
      </w:pPr>
      <w:r>
        <w:t>Developing hypotheses and survey questions</w:t>
      </w:r>
    </w:p>
    <w:p w:rsidR="00E16EDB" w:rsidRDefault="00E16EDB" w:rsidP="00E16EDB">
      <w:pPr>
        <w:pStyle w:val="ListParagraph"/>
        <w:numPr>
          <w:ilvl w:val="2"/>
          <w:numId w:val="108"/>
        </w:numPr>
      </w:pPr>
      <w:r>
        <w:t>Revealing language used by study populations</w:t>
      </w:r>
    </w:p>
    <w:p w:rsidR="00E16EDB" w:rsidRDefault="00E16EDB" w:rsidP="00E16EDB">
      <w:pPr>
        <w:pStyle w:val="ListParagraph"/>
        <w:numPr>
          <w:ilvl w:val="1"/>
          <w:numId w:val="108"/>
        </w:numPr>
      </w:pPr>
      <w:r>
        <w:t>Participant recruitment procedures must be carefully considered.</w:t>
      </w:r>
    </w:p>
    <w:p w:rsidR="00E16EDB" w:rsidRDefault="00E16EDB" w:rsidP="00E16EDB">
      <w:pPr>
        <w:pStyle w:val="ListParagraph"/>
        <w:numPr>
          <w:ilvl w:val="2"/>
          <w:numId w:val="108"/>
        </w:numPr>
      </w:pPr>
      <w:r>
        <w:t>Large, representative samples are not practical.</w:t>
      </w:r>
    </w:p>
    <w:p w:rsidR="005F1DDA" w:rsidRDefault="005F1DDA" w:rsidP="005F1DDA"/>
    <w:p w:rsidR="005F1DDA" w:rsidRDefault="005F1DDA" w:rsidP="005F1DDA">
      <w:r>
        <w:t>Generalizability in Qualitative Research</w:t>
      </w:r>
    </w:p>
    <w:p w:rsidR="005F1DDA" w:rsidRDefault="00E517CF" w:rsidP="00E517CF">
      <w:pPr>
        <w:pStyle w:val="ListParagraph"/>
        <w:numPr>
          <w:ilvl w:val="0"/>
          <w:numId w:val="110"/>
        </w:numPr>
      </w:pPr>
      <w:r>
        <w:t>Qualitative research often focuses on populations that are hard to locate or of limited size.</w:t>
      </w:r>
    </w:p>
    <w:p w:rsidR="00E517CF" w:rsidRDefault="00E517CF" w:rsidP="00E517CF">
      <w:pPr>
        <w:pStyle w:val="ListParagraph"/>
        <w:numPr>
          <w:ilvl w:val="1"/>
          <w:numId w:val="110"/>
        </w:numPr>
      </w:pPr>
      <w:r>
        <w:t>Nonprobability sampling methods often used.</w:t>
      </w:r>
    </w:p>
    <w:p w:rsidR="00E517CF" w:rsidRDefault="00E517CF" w:rsidP="00E517CF">
      <w:pPr>
        <w:pStyle w:val="ListParagraph"/>
        <w:numPr>
          <w:ilvl w:val="0"/>
          <w:numId w:val="110"/>
        </w:numPr>
      </w:pPr>
      <w:r>
        <w:t>Increasing generalizability in qualitative research</w:t>
      </w:r>
    </w:p>
    <w:p w:rsidR="00E517CF" w:rsidRDefault="00E517CF" w:rsidP="00E517CF">
      <w:pPr>
        <w:pStyle w:val="ListParagraph"/>
        <w:numPr>
          <w:ilvl w:val="1"/>
          <w:numId w:val="110"/>
        </w:numPr>
      </w:pPr>
      <w:r>
        <w:t>Studying the typical.</w:t>
      </w:r>
    </w:p>
    <w:p w:rsidR="00E517CF" w:rsidRDefault="00E517CF" w:rsidP="00E517CF">
      <w:pPr>
        <w:pStyle w:val="ListParagraph"/>
        <w:numPr>
          <w:ilvl w:val="1"/>
          <w:numId w:val="110"/>
        </w:numPr>
      </w:pPr>
      <w:r>
        <w:t>Performing multisite studies.</w:t>
      </w:r>
    </w:p>
    <w:p w:rsidR="00E517CF" w:rsidRDefault="00E517CF" w:rsidP="00E517CF">
      <w:pPr>
        <w:pStyle w:val="ListParagraph"/>
        <w:numPr>
          <w:ilvl w:val="1"/>
          <w:numId w:val="110"/>
        </w:numPr>
      </w:pPr>
      <w:r>
        <w:t>Studying deviant (i.e., atypical) cases.</w:t>
      </w:r>
    </w:p>
    <w:p w:rsidR="00E517CF" w:rsidRDefault="00E517CF" w:rsidP="00E517CF">
      <w:pPr>
        <w:pStyle w:val="ListParagraph"/>
        <w:numPr>
          <w:ilvl w:val="2"/>
          <w:numId w:val="110"/>
        </w:numPr>
      </w:pPr>
      <w:r>
        <w:t>The exception that proves the rule.</w:t>
      </w:r>
    </w:p>
    <w:p w:rsidR="00E517CF" w:rsidRDefault="00E517CF" w:rsidP="00E517CF">
      <w:pPr>
        <w:pStyle w:val="ListParagraph"/>
        <w:numPr>
          <w:ilvl w:val="0"/>
          <w:numId w:val="110"/>
        </w:numPr>
      </w:pPr>
      <w:r>
        <w:t>Some researchers question whether generalizability should be a goal of qualitative research.</w:t>
      </w:r>
    </w:p>
    <w:p w:rsidR="00E517CF" w:rsidRDefault="00E517CF" w:rsidP="00E517CF"/>
    <w:p w:rsidR="00E517CF" w:rsidRDefault="00E517CF" w:rsidP="00E517CF">
      <w:r>
        <w:t>Ethical Issues in Qualitative Research</w:t>
      </w:r>
    </w:p>
    <w:p w:rsidR="00E517CF" w:rsidRDefault="0048373D" w:rsidP="00E517CF">
      <w:pPr>
        <w:pStyle w:val="ListParagraph"/>
        <w:numPr>
          <w:ilvl w:val="0"/>
          <w:numId w:val="111"/>
        </w:numPr>
      </w:pPr>
      <w:r>
        <w:t>On</w:t>
      </w:r>
      <w:r w:rsidR="00EE56D2">
        <w:t>going interaction between the researcher and participant can blur the meaning of voluntary participation.</w:t>
      </w:r>
    </w:p>
    <w:p w:rsidR="00EE56D2" w:rsidRDefault="00EE56D2" w:rsidP="00EE56D2">
      <w:pPr>
        <w:pStyle w:val="ListParagraph"/>
        <w:numPr>
          <w:ilvl w:val="1"/>
          <w:numId w:val="111"/>
        </w:numPr>
      </w:pPr>
      <w:r>
        <w:lastRenderedPageBreak/>
        <w:t>In multiple interview sessions, make clear the participant’s option to withdraw consent at each session.</w:t>
      </w:r>
    </w:p>
    <w:p w:rsidR="00EE56D2" w:rsidRDefault="00EE56D2" w:rsidP="00EE56D2">
      <w:pPr>
        <w:pStyle w:val="ListParagraph"/>
        <w:numPr>
          <w:ilvl w:val="1"/>
          <w:numId w:val="111"/>
        </w:numPr>
      </w:pPr>
      <w:r>
        <w:t>Notification of participant’s option to withdraw consent during each interaction is not practical in ethnographic studies.</w:t>
      </w:r>
    </w:p>
    <w:p w:rsidR="00EE56D2" w:rsidRDefault="00EE56D2" w:rsidP="00EE56D2">
      <w:pPr>
        <w:pStyle w:val="ListParagraph"/>
        <w:numPr>
          <w:ilvl w:val="1"/>
          <w:numId w:val="111"/>
        </w:numPr>
      </w:pPr>
      <w:r>
        <w:t>Process consent involves researchers verifying a participant’s willingness to participate in a study at each stage of the project.</w:t>
      </w:r>
    </w:p>
    <w:p w:rsidR="00EE56D2" w:rsidRDefault="00EE56D2" w:rsidP="00EE56D2">
      <w:pPr>
        <w:pStyle w:val="ListParagraph"/>
        <w:numPr>
          <w:ilvl w:val="0"/>
          <w:numId w:val="111"/>
        </w:numPr>
      </w:pPr>
      <w:r>
        <w:t>Researchers must consider how to avoid harming participants.</w:t>
      </w:r>
    </w:p>
    <w:p w:rsidR="00EE56D2" w:rsidRDefault="00EE56D2" w:rsidP="00EE56D2">
      <w:pPr>
        <w:pStyle w:val="ListParagraph"/>
        <w:numPr>
          <w:ilvl w:val="1"/>
          <w:numId w:val="111"/>
        </w:numPr>
      </w:pPr>
      <w:r>
        <w:t>Harm to feelings.</w:t>
      </w:r>
    </w:p>
    <w:p w:rsidR="00EE56D2" w:rsidRDefault="00EE56D2" w:rsidP="00EE56D2">
      <w:pPr>
        <w:pStyle w:val="ListParagraph"/>
        <w:numPr>
          <w:ilvl w:val="1"/>
          <w:numId w:val="111"/>
        </w:numPr>
      </w:pPr>
      <w:r>
        <w:t>Harm to reputation.</w:t>
      </w:r>
    </w:p>
    <w:p w:rsidR="00EE56D2" w:rsidRDefault="00EE56D2" w:rsidP="00EE56D2">
      <w:pPr>
        <w:pStyle w:val="ListParagraph"/>
        <w:numPr>
          <w:ilvl w:val="1"/>
          <w:numId w:val="111"/>
        </w:numPr>
      </w:pPr>
      <w:r>
        <w:t>Adversely affecting the course of events.</w:t>
      </w:r>
    </w:p>
    <w:p w:rsidR="00EE56D2" w:rsidRDefault="008511B0" w:rsidP="008511B0">
      <w:pPr>
        <w:pStyle w:val="ListParagraph"/>
        <w:numPr>
          <w:ilvl w:val="0"/>
          <w:numId w:val="111"/>
        </w:numPr>
      </w:pPr>
      <w:r>
        <w:t>Many believe that participants can’t make informed consent if researchers don’t disclose their identities as researchers.</w:t>
      </w:r>
    </w:p>
    <w:p w:rsidR="008511B0" w:rsidRDefault="008511B0" w:rsidP="008511B0">
      <w:pPr>
        <w:pStyle w:val="ListParagraph"/>
        <w:numPr>
          <w:ilvl w:val="0"/>
          <w:numId w:val="111"/>
        </w:numPr>
      </w:pPr>
      <w:r>
        <w:t xml:space="preserve">Using fictitious names for participants in reports does not always protect their confidentiality and anonymity. </w:t>
      </w:r>
    </w:p>
    <w:p w:rsidR="008511B0" w:rsidRDefault="008511B0" w:rsidP="008511B0">
      <w:pPr>
        <w:pStyle w:val="ListParagraph"/>
        <w:numPr>
          <w:ilvl w:val="0"/>
          <w:numId w:val="111"/>
        </w:numPr>
      </w:pPr>
      <w:r>
        <w:t>Maintaining appropriate boundaries between researcher and participant is particularly challenging in qualitative research.</w:t>
      </w:r>
    </w:p>
    <w:p w:rsidR="00CC28F9" w:rsidRDefault="00CC28F9" w:rsidP="008511B0">
      <w:pPr>
        <w:pStyle w:val="ListParagraph"/>
        <w:numPr>
          <w:ilvl w:val="0"/>
          <w:numId w:val="111"/>
        </w:numPr>
      </w:pPr>
      <w:r>
        <w:t>Risks to researchers in qualitative research can be emotional and physical.</w:t>
      </w:r>
    </w:p>
    <w:p w:rsidR="00EE56D2" w:rsidRDefault="00EE56D2" w:rsidP="00EE56D2">
      <w:bookmarkStart w:id="10" w:name="_GoBack"/>
      <w:bookmarkEnd w:id="10"/>
    </w:p>
    <w:p w:rsidR="00C801B6" w:rsidRDefault="00C801B6" w:rsidP="00892C62">
      <w:pPr>
        <w:sectPr w:rsidR="00C801B6" w:rsidSect="006C0D78">
          <w:headerReference w:type="default" r:id="rId18"/>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1" w:name="Chapter12"/>
      <w:bookmarkEnd w:id="11"/>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19"/>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3"/>
      <w:bookmarkEnd w:id="12"/>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4"/>
      <w:bookmarkEnd w:id="13"/>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1"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2"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EE56D2" w:rsidP="00C50570">
      <w:pPr>
        <w:pStyle w:val="ListParagraph"/>
        <w:numPr>
          <w:ilvl w:val="2"/>
          <w:numId w:val="37"/>
        </w:numPr>
      </w:pPr>
      <w:hyperlink r:id="rId23"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EE56D2" w:rsidP="00C50570">
      <w:pPr>
        <w:pStyle w:val="ListParagraph"/>
        <w:numPr>
          <w:ilvl w:val="2"/>
          <w:numId w:val="37"/>
        </w:numPr>
      </w:pPr>
      <w:hyperlink r:id="rId24"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EE56D2" w:rsidP="00C50570">
      <w:pPr>
        <w:pStyle w:val="ListParagraph"/>
        <w:numPr>
          <w:ilvl w:val="2"/>
          <w:numId w:val="37"/>
        </w:numPr>
      </w:pPr>
      <w:hyperlink r:id="rId25"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EE56D2" w:rsidP="00C50570">
      <w:pPr>
        <w:pStyle w:val="ListParagraph"/>
        <w:numPr>
          <w:ilvl w:val="2"/>
          <w:numId w:val="37"/>
        </w:numPr>
      </w:pPr>
      <w:hyperlink r:id="rId26"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EE56D2" w:rsidP="00C50570">
      <w:pPr>
        <w:pStyle w:val="ListParagraph"/>
        <w:numPr>
          <w:ilvl w:val="1"/>
          <w:numId w:val="37"/>
        </w:numPr>
      </w:pPr>
      <w:hyperlink r:id="rId27"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E56D2" w:rsidRDefault="00EE56D2" w:rsidP="00A7279D">
      <w:r>
        <w:separator/>
      </w:r>
    </w:p>
  </w:endnote>
  <w:endnote w:type="continuationSeparator" w:id="0">
    <w:p w:rsidR="00EE56D2" w:rsidRDefault="00EE56D2"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E56D2" w:rsidRDefault="00EE56D2" w:rsidP="00A7279D">
      <w:r>
        <w:separator/>
      </w:r>
    </w:p>
  </w:footnote>
  <w:footnote w:type="continuationSeparator" w:id="0">
    <w:p w:rsidR="00EE56D2" w:rsidRDefault="00EE56D2"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pPr>
      <w:pStyle w:val="Header"/>
    </w:pPr>
  </w:p>
  <w:p w:rsidR="00EE56D2" w:rsidRDefault="00EE56D2">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8511B0">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3</w:t>
    </w:r>
    <w:r>
      <w:rPr>
        <w:b/>
      </w:rPr>
      <w:fldChar w:fldCharType="end"/>
    </w:r>
  </w:p>
  <w:p w:rsidR="00EE56D2" w:rsidRDefault="00EE56D2">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pPr>
      <w:pStyle w:val="Header"/>
    </w:pPr>
  </w:p>
  <w:p w:rsidR="00EE56D2" w:rsidRDefault="00EE56D2">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8511B0">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4</w:t>
    </w:r>
    <w:r>
      <w:rPr>
        <w:b/>
      </w:rPr>
      <w:fldChar w:fldCharType="end"/>
    </w:r>
  </w:p>
  <w:p w:rsidR="00EE56D2" w:rsidRDefault="00EE56D2">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pPr>
      <w:pStyle w:val="Header"/>
    </w:pPr>
  </w:p>
  <w:p w:rsidR="00EE56D2" w:rsidRDefault="00EE56D2">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8511B0">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2</w:t>
    </w:r>
    <w:r>
      <w:rPr>
        <w:b/>
      </w:rPr>
      <w:fldChar w:fldCharType="end"/>
    </w:r>
  </w:p>
  <w:p w:rsidR="00EE56D2" w:rsidRDefault="00EE56D2">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8511B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5</w:t>
    </w:r>
    <w:r>
      <w:rPr>
        <w:b/>
      </w:rPr>
      <w:fldChar w:fldCharType="end"/>
    </w:r>
  </w:p>
  <w:p w:rsidR="00EE56D2" w:rsidRDefault="00EE56D2">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8511B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5</w:t>
    </w:r>
    <w:r>
      <w:rPr>
        <w:b/>
      </w:rPr>
      <w:fldChar w:fldCharType="end"/>
    </w:r>
  </w:p>
  <w:p w:rsidR="00EE56D2" w:rsidRDefault="00EE56D2">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8511B0">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3</w:t>
    </w:r>
    <w:r>
      <w:rPr>
        <w:b/>
      </w:rPr>
      <w:fldChar w:fldCharType="end"/>
    </w:r>
  </w:p>
  <w:p w:rsidR="00EE56D2" w:rsidRDefault="00EE56D2">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8511B0">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6</w:t>
    </w:r>
    <w:r>
      <w:rPr>
        <w:b/>
      </w:rPr>
      <w:fldChar w:fldCharType="end"/>
    </w:r>
  </w:p>
  <w:p w:rsidR="00EE56D2" w:rsidRDefault="00EE56D2">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8511B0">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8</w:t>
    </w:r>
    <w:r>
      <w:rPr>
        <w:b/>
      </w:rPr>
      <w:fldChar w:fldCharType="end"/>
    </w:r>
  </w:p>
  <w:p w:rsidR="00EE56D2" w:rsidRDefault="00EE56D2">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8511B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5</w:t>
    </w:r>
    <w:r>
      <w:rPr>
        <w:b/>
      </w:rPr>
      <w:fldChar w:fldCharType="end"/>
    </w:r>
  </w:p>
  <w:p w:rsidR="00EE56D2" w:rsidRDefault="00EE56D2">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CC28F9">
      <w:rPr>
        <w:b/>
        <w:noProof/>
      </w:rPr>
      <w:t>7</w:t>
    </w:r>
    <w:r>
      <w:rPr>
        <w:b/>
      </w:rPr>
      <w:fldChar w:fldCharType="end"/>
    </w:r>
    <w:r>
      <w:t xml:space="preserve"> of </w:t>
    </w:r>
    <w:r>
      <w:rPr>
        <w:b/>
      </w:rPr>
      <w:fldChar w:fldCharType="begin"/>
    </w:r>
    <w:r>
      <w:rPr>
        <w:b/>
      </w:rPr>
      <w:instrText xml:space="preserve"> SECTIONPAGES   \* MERGEFORMAT </w:instrText>
    </w:r>
    <w:r>
      <w:rPr>
        <w:b/>
      </w:rPr>
      <w:fldChar w:fldCharType="separate"/>
    </w:r>
    <w:r w:rsidR="00CC28F9">
      <w:rPr>
        <w:b/>
        <w:noProof/>
      </w:rPr>
      <w:t>7</w:t>
    </w:r>
    <w:r>
      <w:rPr>
        <w:b/>
      </w:rPr>
      <w:fldChar w:fldCharType="end"/>
    </w:r>
  </w:p>
  <w:p w:rsidR="00EE56D2" w:rsidRDefault="00EE56D2">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rsidP="0036495B">
    <w:pPr>
      <w:pStyle w:val="Header"/>
      <w:tabs>
        <w:tab w:val="clear" w:pos="4680"/>
        <w:tab w:val="clear" w:pos="9360"/>
        <w:tab w:val="left" w:pos="2055"/>
      </w:tabs>
    </w:pPr>
    <w:r>
      <w:tab/>
    </w:r>
  </w:p>
  <w:p w:rsidR="00EE56D2" w:rsidRDefault="00EE56D2">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CC28F9">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CC28F9">
      <w:rPr>
        <w:b/>
        <w:noProof/>
      </w:rPr>
      <w:t>5</w:t>
    </w:r>
    <w:r>
      <w:rPr>
        <w:b/>
      </w:rPr>
      <w:fldChar w:fldCharType="end"/>
    </w:r>
  </w:p>
  <w:p w:rsidR="00EE56D2" w:rsidRDefault="00EE56D2">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pPr>
      <w:pStyle w:val="Header"/>
    </w:pPr>
  </w:p>
  <w:p w:rsidR="00EE56D2" w:rsidRDefault="00EE56D2">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8511B0">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5</w:t>
    </w:r>
    <w:r>
      <w:rPr>
        <w:b/>
      </w:rPr>
      <w:fldChar w:fldCharType="end"/>
    </w:r>
  </w:p>
  <w:p w:rsidR="00EE56D2" w:rsidRDefault="00EE56D2">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56D2" w:rsidRDefault="00EE56D2">
    <w:pPr>
      <w:pStyle w:val="Header"/>
    </w:pPr>
    <w:proofErr w:type="spellStart"/>
    <w:r>
      <w:t>Schutt</w:t>
    </w:r>
    <w:proofErr w:type="spellEnd"/>
    <w:r>
      <w:t>, R.K. (2015). Investigating the social world: the process and practice of research. 8th edition. Thousand Oaks, California: Sage.</w:t>
    </w:r>
  </w:p>
  <w:p w:rsidR="00EE56D2" w:rsidRDefault="00EE56D2">
    <w:pPr>
      <w:pStyle w:val="Header"/>
    </w:pPr>
  </w:p>
  <w:p w:rsidR="00EE56D2" w:rsidRDefault="00EE56D2">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8511B0">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8511B0">
      <w:rPr>
        <w:b/>
        <w:noProof/>
      </w:rPr>
      <w:t>4</w:t>
    </w:r>
    <w:r>
      <w:rPr>
        <w:b/>
      </w:rPr>
      <w:fldChar w:fldCharType="end"/>
    </w:r>
  </w:p>
  <w:p w:rsidR="00EE56D2" w:rsidRDefault="00EE56D2">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E750926"/>
    <w:multiLevelType w:val="hybridMultilevel"/>
    <w:tmpl w:val="4FBEA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1">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2">
    <w:nsid w:val="34C0642F"/>
    <w:multiLevelType w:val="hybridMultilevel"/>
    <w:tmpl w:val="3190CE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5">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0">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752268B1"/>
    <w:multiLevelType w:val="hybridMultilevel"/>
    <w:tmpl w:val="2EF6F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53"/>
  </w:num>
  <w:num w:numId="3">
    <w:abstractNumId w:val="1"/>
  </w:num>
  <w:num w:numId="4">
    <w:abstractNumId w:val="91"/>
  </w:num>
  <w:num w:numId="5">
    <w:abstractNumId w:val="35"/>
  </w:num>
  <w:num w:numId="6">
    <w:abstractNumId w:val="32"/>
  </w:num>
  <w:num w:numId="7">
    <w:abstractNumId w:val="49"/>
  </w:num>
  <w:num w:numId="8">
    <w:abstractNumId w:val="94"/>
  </w:num>
  <w:num w:numId="9">
    <w:abstractNumId w:val="30"/>
  </w:num>
  <w:num w:numId="10">
    <w:abstractNumId w:val="18"/>
  </w:num>
  <w:num w:numId="11">
    <w:abstractNumId w:val="78"/>
  </w:num>
  <w:num w:numId="12">
    <w:abstractNumId w:val="50"/>
  </w:num>
  <w:num w:numId="13">
    <w:abstractNumId w:val="2"/>
  </w:num>
  <w:num w:numId="14">
    <w:abstractNumId w:val="5"/>
  </w:num>
  <w:num w:numId="15">
    <w:abstractNumId w:val="87"/>
  </w:num>
  <w:num w:numId="16">
    <w:abstractNumId w:val="6"/>
  </w:num>
  <w:num w:numId="17">
    <w:abstractNumId w:val="68"/>
  </w:num>
  <w:num w:numId="18">
    <w:abstractNumId w:val="95"/>
  </w:num>
  <w:num w:numId="19">
    <w:abstractNumId w:val="69"/>
  </w:num>
  <w:num w:numId="20">
    <w:abstractNumId w:val="46"/>
  </w:num>
  <w:num w:numId="21">
    <w:abstractNumId w:val="65"/>
  </w:num>
  <w:num w:numId="22">
    <w:abstractNumId w:val="89"/>
  </w:num>
  <w:num w:numId="23">
    <w:abstractNumId w:val="43"/>
  </w:num>
  <w:num w:numId="24">
    <w:abstractNumId w:val="9"/>
  </w:num>
  <w:num w:numId="25">
    <w:abstractNumId w:val="102"/>
  </w:num>
  <w:num w:numId="26">
    <w:abstractNumId w:val="36"/>
  </w:num>
  <w:num w:numId="27">
    <w:abstractNumId w:val="84"/>
  </w:num>
  <w:num w:numId="28">
    <w:abstractNumId w:val="17"/>
  </w:num>
  <w:num w:numId="29">
    <w:abstractNumId w:val="34"/>
  </w:num>
  <w:num w:numId="30">
    <w:abstractNumId w:val="77"/>
  </w:num>
  <w:num w:numId="31">
    <w:abstractNumId w:val="90"/>
  </w:num>
  <w:num w:numId="32">
    <w:abstractNumId w:val="61"/>
  </w:num>
  <w:num w:numId="33">
    <w:abstractNumId w:val="44"/>
  </w:num>
  <w:num w:numId="34">
    <w:abstractNumId w:val="12"/>
  </w:num>
  <w:num w:numId="35">
    <w:abstractNumId w:val="82"/>
  </w:num>
  <w:num w:numId="36">
    <w:abstractNumId w:val="22"/>
  </w:num>
  <w:num w:numId="37">
    <w:abstractNumId w:val="98"/>
  </w:num>
  <w:num w:numId="38">
    <w:abstractNumId w:val="92"/>
  </w:num>
  <w:num w:numId="39">
    <w:abstractNumId w:val="19"/>
  </w:num>
  <w:num w:numId="40">
    <w:abstractNumId w:val="48"/>
  </w:num>
  <w:num w:numId="41">
    <w:abstractNumId w:val="57"/>
  </w:num>
  <w:num w:numId="42">
    <w:abstractNumId w:val="37"/>
  </w:num>
  <w:num w:numId="43">
    <w:abstractNumId w:val="33"/>
  </w:num>
  <w:num w:numId="44">
    <w:abstractNumId w:val="99"/>
  </w:num>
  <w:num w:numId="45">
    <w:abstractNumId w:val="75"/>
  </w:num>
  <w:num w:numId="46">
    <w:abstractNumId w:val="76"/>
  </w:num>
  <w:num w:numId="47">
    <w:abstractNumId w:val="20"/>
  </w:num>
  <w:num w:numId="48">
    <w:abstractNumId w:val="62"/>
  </w:num>
  <w:num w:numId="49">
    <w:abstractNumId w:val="24"/>
  </w:num>
  <w:num w:numId="50">
    <w:abstractNumId w:val="79"/>
  </w:num>
  <w:num w:numId="51">
    <w:abstractNumId w:val="23"/>
  </w:num>
  <w:num w:numId="52">
    <w:abstractNumId w:val="70"/>
  </w:num>
  <w:num w:numId="53">
    <w:abstractNumId w:val="74"/>
  </w:num>
  <w:num w:numId="54">
    <w:abstractNumId w:val="51"/>
  </w:num>
  <w:num w:numId="55">
    <w:abstractNumId w:val="67"/>
  </w:num>
  <w:num w:numId="56">
    <w:abstractNumId w:val="55"/>
  </w:num>
  <w:num w:numId="57">
    <w:abstractNumId w:val="64"/>
  </w:num>
  <w:num w:numId="58">
    <w:abstractNumId w:val="86"/>
  </w:num>
  <w:num w:numId="59">
    <w:abstractNumId w:val="25"/>
  </w:num>
  <w:num w:numId="60">
    <w:abstractNumId w:val="27"/>
  </w:num>
  <w:num w:numId="61">
    <w:abstractNumId w:val="71"/>
  </w:num>
  <w:num w:numId="62">
    <w:abstractNumId w:val="41"/>
  </w:num>
  <w:num w:numId="63">
    <w:abstractNumId w:val="7"/>
  </w:num>
  <w:num w:numId="64">
    <w:abstractNumId w:val="103"/>
  </w:num>
  <w:num w:numId="65">
    <w:abstractNumId w:val="81"/>
  </w:num>
  <w:num w:numId="66">
    <w:abstractNumId w:val="66"/>
  </w:num>
  <w:num w:numId="67">
    <w:abstractNumId w:val="40"/>
  </w:num>
  <w:num w:numId="68">
    <w:abstractNumId w:val="8"/>
  </w:num>
  <w:num w:numId="69">
    <w:abstractNumId w:val="85"/>
  </w:num>
  <w:num w:numId="70">
    <w:abstractNumId w:val="97"/>
  </w:num>
  <w:num w:numId="71">
    <w:abstractNumId w:val="88"/>
  </w:num>
  <w:num w:numId="72">
    <w:abstractNumId w:val="11"/>
  </w:num>
  <w:num w:numId="73">
    <w:abstractNumId w:val="3"/>
  </w:num>
  <w:num w:numId="74">
    <w:abstractNumId w:val="109"/>
  </w:num>
  <w:num w:numId="75">
    <w:abstractNumId w:val="106"/>
  </w:num>
  <w:num w:numId="76">
    <w:abstractNumId w:val="63"/>
  </w:num>
  <w:num w:numId="77">
    <w:abstractNumId w:val="58"/>
  </w:num>
  <w:num w:numId="78">
    <w:abstractNumId w:val="0"/>
  </w:num>
  <w:num w:numId="79">
    <w:abstractNumId w:val="54"/>
  </w:num>
  <w:num w:numId="80">
    <w:abstractNumId w:val="83"/>
  </w:num>
  <w:num w:numId="81">
    <w:abstractNumId w:val="15"/>
  </w:num>
  <w:num w:numId="82">
    <w:abstractNumId w:val="110"/>
  </w:num>
  <w:num w:numId="83">
    <w:abstractNumId w:val="105"/>
  </w:num>
  <w:num w:numId="84">
    <w:abstractNumId w:val="39"/>
  </w:num>
  <w:num w:numId="85">
    <w:abstractNumId w:val="59"/>
  </w:num>
  <w:num w:numId="86">
    <w:abstractNumId w:val="4"/>
  </w:num>
  <w:num w:numId="87">
    <w:abstractNumId w:val="31"/>
  </w:num>
  <w:num w:numId="88">
    <w:abstractNumId w:val="29"/>
  </w:num>
  <w:num w:numId="89">
    <w:abstractNumId w:val="21"/>
  </w:num>
  <w:num w:numId="90">
    <w:abstractNumId w:val="72"/>
  </w:num>
  <w:num w:numId="91">
    <w:abstractNumId w:val="28"/>
  </w:num>
  <w:num w:numId="92">
    <w:abstractNumId w:val="80"/>
  </w:num>
  <w:num w:numId="93">
    <w:abstractNumId w:val="14"/>
  </w:num>
  <w:num w:numId="94">
    <w:abstractNumId w:val="73"/>
  </w:num>
  <w:num w:numId="95">
    <w:abstractNumId w:val="47"/>
  </w:num>
  <w:num w:numId="96">
    <w:abstractNumId w:val="26"/>
  </w:num>
  <w:num w:numId="97">
    <w:abstractNumId w:val="45"/>
  </w:num>
  <w:num w:numId="98">
    <w:abstractNumId w:val="10"/>
  </w:num>
  <w:num w:numId="99">
    <w:abstractNumId w:val="56"/>
  </w:num>
  <w:num w:numId="100">
    <w:abstractNumId w:val="107"/>
  </w:num>
  <w:num w:numId="101">
    <w:abstractNumId w:val="108"/>
  </w:num>
  <w:num w:numId="102">
    <w:abstractNumId w:val="93"/>
  </w:num>
  <w:num w:numId="103">
    <w:abstractNumId w:val="60"/>
  </w:num>
  <w:num w:numId="104">
    <w:abstractNumId w:val="100"/>
  </w:num>
  <w:num w:numId="105">
    <w:abstractNumId w:val="101"/>
  </w:num>
  <w:num w:numId="106">
    <w:abstractNumId w:val="52"/>
  </w:num>
  <w:num w:numId="107">
    <w:abstractNumId w:val="96"/>
  </w:num>
  <w:num w:numId="108">
    <w:abstractNumId w:val="16"/>
  </w:num>
  <w:num w:numId="109">
    <w:abstractNumId w:val="38"/>
  </w:num>
  <w:num w:numId="110">
    <w:abstractNumId w:val="104"/>
  </w:num>
  <w:num w:numId="111">
    <w:abstractNumId w:val="42"/>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4EEE"/>
    <w:rsid w:val="00026188"/>
    <w:rsid w:val="00041D99"/>
    <w:rsid w:val="0005678E"/>
    <w:rsid w:val="00057C52"/>
    <w:rsid w:val="00067727"/>
    <w:rsid w:val="00084264"/>
    <w:rsid w:val="00087161"/>
    <w:rsid w:val="00087FCF"/>
    <w:rsid w:val="00090670"/>
    <w:rsid w:val="0009187B"/>
    <w:rsid w:val="000B3DE8"/>
    <w:rsid w:val="000B6208"/>
    <w:rsid w:val="000D061D"/>
    <w:rsid w:val="000F6AA1"/>
    <w:rsid w:val="00101EFB"/>
    <w:rsid w:val="00102682"/>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C7D"/>
    <w:rsid w:val="003D48C3"/>
    <w:rsid w:val="003F7050"/>
    <w:rsid w:val="004010C8"/>
    <w:rsid w:val="004249F8"/>
    <w:rsid w:val="00436AA4"/>
    <w:rsid w:val="00452D95"/>
    <w:rsid w:val="00452DF1"/>
    <w:rsid w:val="00457244"/>
    <w:rsid w:val="004711EA"/>
    <w:rsid w:val="0048089C"/>
    <w:rsid w:val="0048373D"/>
    <w:rsid w:val="00491940"/>
    <w:rsid w:val="004A307A"/>
    <w:rsid w:val="00503059"/>
    <w:rsid w:val="0050713C"/>
    <w:rsid w:val="00510CF5"/>
    <w:rsid w:val="00531ADA"/>
    <w:rsid w:val="00543D18"/>
    <w:rsid w:val="00567ED7"/>
    <w:rsid w:val="0057574F"/>
    <w:rsid w:val="005A69B5"/>
    <w:rsid w:val="005B13F3"/>
    <w:rsid w:val="005B5F68"/>
    <w:rsid w:val="005C4260"/>
    <w:rsid w:val="005D262C"/>
    <w:rsid w:val="005E4322"/>
    <w:rsid w:val="005F1DDA"/>
    <w:rsid w:val="00600731"/>
    <w:rsid w:val="00610E3F"/>
    <w:rsid w:val="00611780"/>
    <w:rsid w:val="0064640B"/>
    <w:rsid w:val="006469DE"/>
    <w:rsid w:val="00653C96"/>
    <w:rsid w:val="00662E21"/>
    <w:rsid w:val="00681BAD"/>
    <w:rsid w:val="00681DAA"/>
    <w:rsid w:val="006876A5"/>
    <w:rsid w:val="006950AA"/>
    <w:rsid w:val="006A1724"/>
    <w:rsid w:val="006C0D78"/>
    <w:rsid w:val="006C3DFC"/>
    <w:rsid w:val="006C48EB"/>
    <w:rsid w:val="006E2A32"/>
    <w:rsid w:val="006E65E4"/>
    <w:rsid w:val="006E6F98"/>
    <w:rsid w:val="006E7D05"/>
    <w:rsid w:val="006F0F01"/>
    <w:rsid w:val="00712311"/>
    <w:rsid w:val="00744638"/>
    <w:rsid w:val="00747036"/>
    <w:rsid w:val="007555F9"/>
    <w:rsid w:val="00755E05"/>
    <w:rsid w:val="00762276"/>
    <w:rsid w:val="007645BE"/>
    <w:rsid w:val="007713EF"/>
    <w:rsid w:val="00772570"/>
    <w:rsid w:val="007817F3"/>
    <w:rsid w:val="007868E4"/>
    <w:rsid w:val="00794336"/>
    <w:rsid w:val="007A50F9"/>
    <w:rsid w:val="007B0158"/>
    <w:rsid w:val="007B4C72"/>
    <w:rsid w:val="007F3170"/>
    <w:rsid w:val="007F4696"/>
    <w:rsid w:val="00804853"/>
    <w:rsid w:val="00807965"/>
    <w:rsid w:val="00833980"/>
    <w:rsid w:val="00840F5E"/>
    <w:rsid w:val="008511B0"/>
    <w:rsid w:val="00864521"/>
    <w:rsid w:val="008659DF"/>
    <w:rsid w:val="00867BAC"/>
    <w:rsid w:val="00876B31"/>
    <w:rsid w:val="00892C62"/>
    <w:rsid w:val="00896A87"/>
    <w:rsid w:val="008A5E07"/>
    <w:rsid w:val="008B4344"/>
    <w:rsid w:val="008B4A48"/>
    <w:rsid w:val="008C7E91"/>
    <w:rsid w:val="008D0649"/>
    <w:rsid w:val="008D654F"/>
    <w:rsid w:val="008E6B57"/>
    <w:rsid w:val="008F017C"/>
    <w:rsid w:val="00912466"/>
    <w:rsid w:val="00934016"/>
    <w:rsid w:val="00937172"/>
    <w:rsid w:val="00960A22"/>
    <w:rsid w:val="00960F61"/>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716DC"/>
    <w:rsid w:val="00A7279D"/>
    <w:rsid w:val="00A73337"/>
    <w:rsid w:val="00A77F9A"/>
    <w:rsid w:val="00A84B72"/>
    <w:rsid w:val="00A9748F"/>
    <w:rsid w:val="00AA0232"/>
    <w:rsid w:val="00AA1C32"/>
    <w:rsid w:val="00AB433D"/>
    <w:rsid w:val="00AD63D5"/>
    <w:rsid w:val="00AE21D9"/>
    <w:rsid w:val="00AF3A6A"/>
    <w:rsid w:val="00B02A49"/>
    <w:rsid w:val="00B0420F"/>
    <w:rsid w:val="00B168CE"/>
    <w:rsid w:val="00B27D84"/>
    <w:rsid w:val="00B31822"/>
    <w:rsid w:val="00B345E5"/>
    <w:rsid w:val="00B373AD"/>
    <w:rsid w:val="00B46C17"/>
    <w:rsid w:val="00B53465"/>
    <w:rsid w:val="00B5527E"/>
    <w:rsid w:val="00B62BE1"/>
    <w:rsid w:val="00B67E3F"/>
    <w:rsid w:val="00B74819"/>
    <w:rsid w:val="00BA2460"/>
    <w:rsid w:val="00BA66B4"/>
    <w:rsid w:val="00BB695F"/>
    <w:rsid w:val="00BC624E"/>
    <w:rsid w:val="00BC7CA4"/>
    <w:rsid w:val="00BD2DAB"/>
    <w:rsid w:val="00BE2550"/>
    <w:rsid w:val="00BE658C"/>
    <w:rsid w:val="00BF0639"/>
    <w:rsid w:val="00BF255B"/>
    <w:rsid w:val="00C27859"/>
    <w:rsid w:val="00C318AA"/>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C28F9"/>
    <w:rsid w:val="00CE6DCF"/>
    <w:rsid w:val="00D03523"/>
    <w:rsid w:val="00D118F7"/>
    <w:rsid w:val="00D11CF9"/>
    <w:rsid w:val="00D12016"/>
    <w:rsid w:val="00D2032B"/>
    <w:rsid w:val="00D32F90"/>
    <w:rsid w:val="00D36085"/>
    <w:rsid w:val="00D50C94"/>
    <w:rsid w:val="00D76F30"/>
    <w:rsid w:val="00D82E38"/>
    <w:rsid w:val="00D874F9"/>
    <w:rsid w:val="00D91A7B"/>
    <w:rsid w:val="00D93B02"/>
    <w:rsid w:val="00D97A78"/>
    <w:rsid w:val="00DB02B5"/>
    <w:rsid w:val="00DB4EA4"/>
    <w:rsid w:val="00DB7E9E"/>
    <w:rsid w:val="00DD515F"/>
    <w:rsid w:val="00DD673E"/>
    <w:rsid w:val="00DF24EE"/>
    <w:rsid w:val="00E12887"/>
    <w:rsid w:val="00E16EDB"/>
    <w:rsid w:val="00E27B03"/>
    <w:rsid w:val="00E33436"/>
    <w:rsid w:val="00E35BFD"/>
    <w:rsid w:val="00E409B2"/>
    <w:rsid w:val="00E517C3"/>
    <w:rsid w:val="00E517CF"/>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EE56D2"/>
    <w:rsid w:val="00F000BE"/>
    <w:rsid w:val="00F10AFA"/>
    <w:rsid w:val="00F327CB"/>
    <w:rsid w:val="00F3344B"/>
    <w:rsid w:val="00F3482D"/>
    <w:rsid w:val="00F41352"/>
    <w:rsid w:val="00F41F31"/>
    <w:rsid w:val="00F60B5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www.ssc.wisc.edu/nsfh/" TargetMode="External"/><Relationship Id="rId3" Type="http://schemas.openxmlformats.org/officeDocument/2006/relationships/styles" Target="styles.xml"/><Relationship Id="rId21" Type="http://schemas.openxmlformats.org/officeDocument/2006/relationships/hyperlink" Target="http://www.fedstat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hrsonline.sr.umich.edu"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cpc.unc.edu/projects/addhealth"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ntis.gov" TargetMode="Externa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census.gov" TargetMode="External"/><Relationship Id="rId27" Type="http://schemas.openxmlformats.org/officeDocument/2006/relationships/hyperlink" Target="http://www.icpsr.umich.ed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D9AB75E0-83DD-4D55-9101-2E86A0223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1724</TotalTime>
  <Pages>62</Pages>
  <Words>18935</Words>
  <Characters>107931</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126613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182</cp:revision>
  <dcterms:created xsi:type="dcterms:W3CDTF">2019-01-21T00:27:00Z</dcterms:created>
  <dcterms:modified xsi:type="dcterms:W3CDTF">2019-03-07T04:22:00Z</dcterms:modified>
</cp:coreProperties>
</file>