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F839A2">
        <w:rPr>
          <w:rFonts w:ascii="Times New Roman" w:hAnsi="Times New Roman" w:cs="Times New Roman"/>
          <w:sz w:val="24"/>
          <w:szCs w:val="24"/>
        </w:rPr>
        <w:t>.  It also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 clusters</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0D22AD">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BE5377">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w:t>
      </w:r>
      <w:r w:rsidR="00454753">
        <w:rPr>
          <w:rFonts w:ascii="Times New Roman" w:hAnsi="Times New Roman" w:cs="Times New Roman"/>
          <w:sz w:val="24"/>
          <w:szCs w:val="24"/>
        </w:rPr>
        <w:t xml:space="preserve"> address policy issues</w:t>
      </w:r>
      <w:r w:rsidR="009B323B">
        <w:rPr>
          <w:rFonts w:ascii="Times New Roman" w:hAnsi="Times New Roman" w:cs="Times New Roman"/>
          <w:sz w:val="24"/>
          <w:szCs w:val="24"/>
        </w:rPr>
        <w:t xml:space="preserve">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 xml:space="preserve">Within the literature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by and large 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r w:rsidR="00C2114D">
        <w:rPr>
          <w:rFonts w:ascii="Times New Roman" w:hAnsi="Times New Roman" w:cs="Times New Roman"/>
          <w:sz w:val="24"/>
          <w:szCs w:val="24"/>
        </w:rPr>
        <w:t xml:space="preserve">  Hallam, Wurth, &amp; Mancha (2014) conceptualized technology transfer in transactional and economic terms.</w:t>
      </w:r>
      <w:r w:rsidR="00B8423E">
        <w:rPr>
          <w:rFonts w:ascii="Times New Roman" w:hAnsi="Times New Roman" w:cs="Times New Roman"/>
          <w:sz w:val="24"/>
          <w:szCs w:val="24"/>
        </w:rPr>
        <w:t xml:space="preserve">  EARTO (2014) did not explicitly articulate its conceptualization of technology transfer.  However, the report implies a conceptualization of technology transfer as the use of a discrete technology in real-world applications.</w:t>
      </w:r>
    </w:p>
    <w:p w:rsidR="006B59F6" w:rsidRDefault="006B59F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number of sponsored research agreements executed, and the number of spinout companies formed to operationalize the non-financial conceptualization of technology transfer. </w:t>
      </w:r>
      <w:r w:rsidR="00C2114D">
        <w:rPr>
          <w:rFonts w:ascii="Times New Roman" w:hAnsi="Times New Roman" w:cs="Times New Roman"/>
          <w:sz w:val="24"/>
          <w:szCs w:val="24"/>
        </w:rPr>
        <w:t xml:space="preserve"> </w:t>
      </w:r>
      <w:r w:rsidR="00C2114D" w:rsidRPr="00C2114D">
        <w:rPr>
          <w:rFonts w:ascii="Times New Roman" w:hAnsi="Times New Roman" w:cs="Times New Roman"/>
          <w:sz w:val="24"/>
          <w:szCs w:val="24"/>
        </w:rPr>
        <w:t xml:space="preserve">Hallam, Wurth, &amp; Mancha (2014) </w:t>
      </w:r>
      <w:r w:rsidR="00C2114D">
        <w:rPr>
          <w:rFonts w:ascii="Times New Roman" w:hAnsi="Times New Roman" w:cs="Times New Roman"/>
          <w:sz w:val="24"/>
          <w:szCs w:val="24"/>
        </w:rPr>
        <w:t xml:space="preserve">study was operationalized the concept of technology transfer as a license </w:t>
      </w:r>
      <w:r w:rsidR="00576EAD">
        <w:rPr>
          <w:rFonts w:ascii="Times New Roman" w:hAnsi="Times New Roman" w:cs="Times New Roman"/>
          <w:sz w:val="24"/>
          <w:szCs w:val="24"/>
        </w:rPr>
        <w:t xml:space="preserve">executed with an established private business providing it </w:t>
      </w:r>
      <w:r w:rsidR="00C2114D">
        <w:rPr>
          <w:rFonts w:ascii="Times New Roman" w:hAnsi="Times New Roman" w:cs="Times New Roman"/>
          <w:sz w:val="24"/>
          <w:szCs w:val="24"/>
        </w:rPr>
        <w:t xml:space="preserve">the legal right to use an intellectual property, </w:t>
      </w:r>
      <w:r w:rsidR="00576EAD">
        <w:rPr>
          <w:rFonts w:ascii="Times New Roman" w:hAnsi="Times New Roman" w:cs="Times New Roman"/>
          <w:sz w:val="24"/>
          <w:szCs w:val="24"/>
        </w:rPr>
        <w:t xml:space="preserve">a license executed with an entrepreneur providing the legal right to use an intellectual property, </w:t>
      </w:r>
      <w:r w:rsidR="00C2114D">
        <w:rPr>
          <w:rFonts w:ascii="Times New Roman" w:hAnsi="Times New Roman" w:cs="Times New Roman"/>
          <w:sz w:val="24"/>
          <w:szCs w:val="24"/>
        </w:rPr>
        <w:t>a collaborative research endeavor between a private business and a university,</w:t>
      </w:r>
      <w:r w:rsidR="00576EAD">
        <w:rPr>
          <w:rFonts w:ascii="Times New Roman" w:hAnsi="Times New Roman" w:cs="Times New Roman"/>
          <w:sz w:val="24"/>
          <w:szCs w:val="24"/>
        </w:rPr>
        <w:t xml:space="preserve"> and</w:t>
      </w:r>
      <w:r w:rsidR="00C2114D">
        <w:rPr>
          <w:rFonts w:ascii="Times New Roman" w:hAnsi="Times New Roman" w:cs="Times New Roman"/>
          <w:sz w:val="24"/>
          <w:szCs w:val="24"/>
        </w:rPr>
        <w:t xml:space="preserve"> a consulting engagement between a private business and a</w:t>
      </w:r>
      <w:r w:rsidR="00576EAD">
        <w:rPr>
          <w:rFonts w:ascii="Times New Roman" w:hAnsi="Times New Roman" w:cs="Times New Roman"/>
          <w:sz w:val="24"/>
          <w:szCs w:val="24"/>
        </w:rPr>
        <w:t xml:space="preserve"> university faculty member.</w:t>
      </w:r>
      <w:r w:rsidR="00C2114D">
        <w:rPr>
          <w:rFonts w:ascii="Times New Roman" w:hAnsi="Times New Roman" w:cs="Times New Roman"/>
          <w:sz w:val="24"/>
          <w:szCs w:val="24"/>
        </w:rPr>
        <w:t xml:space="preserve"> </w:t>
      </w:r>
      <w:r w:rsidR="00B8423E">
        <w:rPr>
          <w:rFonts w:ascii="Times New Roman" w:hAnsi="Times New Roman" w:cs="Times New Roman"/>
          <w:sz w:val="24"/>
          <w:szCs w:val="24"/>
        </w:rPr>
        <w:t xml:space="preserve"> EARTO (2014) did not explicitly operationalize its conceptualization of technology </w:t>
      </w:r>
      <w:r w:rsidR="00B8423E">
        <w:rPr>
          <w:rFonts w:ascii="Times New Roman" w:hAnsi="Times New Roman" w:cs="Times New Roman"/>
          <w:sz w:val="24"/>
          <w:szCs w:val="24"/>
        </w:rPr>
        <w:lastRenderedPageBreak/>
        <w:t>transfer.  However, the report implicitly treats technology transfer as the use of a method, composition of matter, or manufacture in a real-world application.</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reveals that studies of technology transfer use a variety of theories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&amp; Phan (2009)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r w:rsidR="00576EAD">
        <w:rPr>
          <w:rFonts w:ascii="Times New Roman" w:hAnsi="Times New Roman" w:cs="Times New Roman"/>
          <w:sz w:val="24"/>
          <w:szCs w:val="24"/>
        </w:rPr>
        <w:t xml:space="preserve">  Whereas most other studies model technology transfer as a linear process, </w:t>
      </w:r>
      <w:r w:rsidR="00576EAD" w:rsidRPr="00576EAD">
        <w:rPr>
          <w:rFonts w:ascii="Times New Roman" w:hAnsi="Times New Roman" w:cs="Times New Roman"/>
          <w:sz w:val="24"/>
          <w:szCs w:val="24"/>
        </w:rPr>
        <w:t>Hallam, Wurth, &amp; Mancha (2014)</w:t>
      </w:r>
      <w:r w:rsidR="00576EAD">
        <w:rPr>
          <w:rFonts w:ascii="Times New Roman" w:hAnsi="Times New Roman" w:cs="Times New Roman"/>
          <w:sz w:val="24"/>
          <w:szCs w:val="24"/>
        </w:rPr>
        <w:t xml:space="preserve"> developed a system dynamics model arguing that the traditional linear model of technology transfer oversimplifies the process, overemphasizes patents, and fails to account for information mechanisms.  Their system dynamics model attempts to consider changing environments and complex information feedback mechanisms in the technology transfer process.</w:t>
      </w:r>
      <w:r w:rsidR="0028626C">
        <w:rPr>
          <w:rFonts w:ascii="Times New Roman" w:hAnsi="Times New Roman" w:cs="Times New Roman"/>
          <w:sz w:val="24"/>
          <w:szCs w:val="24"/>
        </w:rPr>
        <w:t xml:space="preserve">  Hallam, Wurth, &amp; Mancha also apply a resource-based approach to understand and describe the technology transfer process.  </w:t>
      </w:r>
      <w:r w:rsidR="003539E2">
        <w:rPr>
          <w:rFonts w:ascii="Times New Roman" w:hAnsi="Times New Roman" w:cs="Times New Roman"/>
          <w:sz w:val="24"/>
          <w:szCs w:val="24"/>
        </w:rPr>
        <w:t xml:space="preserve">EARTO (2014) applied various derivatives of the technology readiness level (TRL) scale originally developed in the 1970s by the National Aeronautics and Space Administration (NASA) in the United States.  </w:t>
      </w:r>
      <w:r w:rsidR="00A806F3">
        <w:rPr>
          <w:rFonts w:ascii="Times New Roman" w:hAnsi="Times New Roman" w:cs="Times New Roman"/>
          <w:sz w:val="24"/>
          <w:szCs w:val="24"/>
        </w:rPr>
        <w:t>The TRL scale is an ordinal scale ranging from one to nine to indicate the level of development of a technology.  In its analysis, EARTO also refers to the “Valley of Death,” which is a conceptual model that explains why new technology-based business ventures from to a certain point before failing and exiting the market.</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w:t>
      </w:r>
      <w:r>
        <w:rPr>
          <w:rFonts w:ascii="Times New Roman" w:hAnsi="Times New Roman" w:cs="Times New Roman"/>
          <w:sz w:val="24"/>
          <w:szCs w:val="24"/>
        </w:rPr>
        <w:lastRenderedPageBreak/>
        <w:t>Survey conducted in 1999 and 2002 by the Association of University Technology Managers (AUTM) and secondary data on patents from the United States Patent and Trademark Office (USPTO).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r w:rsidR="00576EAD">
        <w:rPr>
          <w:rFonts w:ascii="Times New Roman" w:hAnsi="Times New Roman" w:cs="Times New Roman"/>
          <w:sz w:val="24"/>
          <w:szCs w:val="24"/>
        </w:rPr>
        <w:t xml:space="preserve"> </w:t>
      </w:r>
      <w:r w:rsidR="0028626C">
        <w:rPr>
          <w:rFonts w:ascii="Times New Roman" w:hAnsi="Times New Roman" w:cs="Times New Roman"/>
          <w:sz w:val="24"/>
          <w:szCs w:val="24"/>
        </w:rPr>
        <w:t xml:space="preserve">Although primarily a theoretical discussion, </w:t>
      </w:r>
      <w:r w:rsidR="00576EAD" w:rsidRPr="00576EAD">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did reference secondary survey data collected by the Licensing Executives Society in the United States and Canada.</w:t>
      </w:r>
      <w:r w:rsidR="008677F6">
        <w:rPr>
          <w:rFonts w:ascii="Times New Roman" w:hAnsi="Times New Roman" w:cs="Times New Roman"/>
          <w:sz w:val="24"/>
          <w:szCs w:val="24"/>
        </w:rPr>
        <w:t xml:space="preserve">  EARTO (2014) seemed to rely on survey data from its member organizations for its analysis.</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methods.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hierarchical multiple regression analysis in their study of university technology transfer.</w:t>
      </w:r>
      <w:r w:rsidR="0028626C">
        <w:rPr>
          <w:rFonts w:ascii="Times New Roman" w:hAnsi="Times New Roman" w:cs="Times New Roman"/>
          <w:sz w:val="24"/>
          <w:szCs w:val="24"/>
        </w:rPr>
        <w:t xml:space="preserve">  </w:t>
      </w:r>
      <w:r w:rsidR="0028626C" w:rsidRPr="0028626C">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employed influence diagrams to describe the technology transfer process.</w:t>
      </w:r>
      <w:r w:rsidR="008677F6">
        <w:rPr>
          <w:rFonts w:ascii="Times New Roman" w:hAnsi="Times New Roman" w:cs="Times New Roman"/>
          <w:sz w:val="24"/>
          <w:szCs w:val="24"/>
        </w:rPr>
        <w:t xml:space="preserve">  EARTO (2014) was essentially a qualitative study but it didn’t seem to use any particular research design</w:t>
      </w:r>
      <w:bookmarkStart w:id="0" w:name="_GoBack"/>
      <w:bookmarkEnd w:id="0"/>
      <w:r w:rsidR="008677F6">
        <w:rPr>
          <w:rFonts w:ascii="Times New Roman" w:hAnsi="Times New Roman" w:cs="Times New Roman"/>
          <w:sz w:val="24"/>
          <w:szCs w:val="24"/>
        </w:rPr>
        <w:t>.</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r w:rsidR="00801B4A">
        <w:rPr>
          <w:rFonts w:ascii="Times New Roman" w:hAnsi="Times New Roman" w:cs="Times New Roman"/>
          <w:sz w:val="24"/>
          <w:szCs w:val="24"/>
        </w:rPr>
        <w:t xml:space="preserve">  </w:t>
      </w:r>
      <w:r w:rsidR="00801B4A" w:rsidRPr="00801B4A">
        <w:rPr>
          <w:rFonts w:ascii="Times New Roman" w:hAnsi="Times New Roman" w:cs="Times New Roman"/>
          <w:sz w:val="24"/>
          <w:szCs w:val="24"/>
        </w:rPr>
        <w:t>Hallam, Wurth, &amp; Mancha (2014)</w:t>
      </w:r>
      <w:r w:rsidR="00801B4A">
        <w:rPr>
          <w:rFonts w:ascii="Times New Roman" w:hAnsi="Times New Roman" w:cs="Times New Roman"/>
          <w:sz w:val="24"/>
          <w:szCs w:val="24"/>
        </w:rPr>
        <w:t xml:space="preserve"> argued that reputation influences technology transfer outcomes.  They also mention g</w:t>
      </w:r>
      <w:r w:rsidR="00A90541">
        <w:rPr>
          <w:rFonts w:ascii="Times New Roman" w:hAnsi="Times New Roman" w:cs="Times New Roman"/>
          <w:sz w:val="24"/>
          <w:szCs w:val="24"/>
        </w:rPr>
        <w:t>eography-based influences on</w:t>
      </w:r>
      <w:r w:rsidR="00801B4A">
        <w:rPr>
          <w:rFonts w:ascii="Times New Roman" w:hAnsi="Times New Roman" w:cs="Times New Roman"/>
          <w:sz w:val="24"/>
          <w:szCs w:val="24"/>
        </w:rPr>
        <w:t xml:space="preserve"> technology transfer </w:t>
      </w:r>
      <w:r w:rsidR="00A90541">
        <w:rPr>
          <w:rFonts w:ascii="Times New Roman" w:hAnsi="Times New Roman" w:cs="Times New Roman"/>
          <w:sz w:val="24"/>
          <w:szCs w:val="24"/>
        </w:rPr>
        <w:t xml:space="preserve">outcomes </w:t>
      </w:r>
      <w:r w:rsidR="00801B4A">
        <w:rPr>
          <w:rFonts w:ascii="Times New Roman" w:hAnsi="Times New Roman" w:cs="Times New Roman"/>
          <w:sz w:val="24"/>
          <w:szCs w:val="24"/>
        </w:rPr>
        <w:t xml:space="preserve">such as available venture capital, supporting institutions, formal and informal networks, and mentoring. </w:t>
      </w:r>
      <w:r w:rsidR="008677F6">
        <w:rPr>
          <w:rFonts w:ascii="Times New Roman" w:hAnsi="Times New Roman" w:cs="Times New Roman"/>
          <w:sz w:val="24"/>
          <w:szCs w:val="24"/>
        </w:rPr>
        <w:t xml:space="preserve"> EARTO (2014) suggested that a simple linear approach to technology transfer was inappropriate for multi-technology endeavors.</w:t>
      </w:r>
      <w:r w:rsidR="00753D4B">
        <w:rPr>
          <w:rFonts w:ascii="Times New Roman" w:hAnsi="Times New Roman" w:cs="Times New Roman"/>
          <w:sz w:val="24"/>
          <w:szCs w:val="24"/>
        </w:rPr>
        <w:t xml:space="preserve">  It also concluded that the TRL scale was increasingly used by its member organizations as funding selection and review tool for </w:t>
      </w:r>
      <w:r w:rsidR="00753D4B">
        <w:rPr>
          <w:rFonts w:ascii="Times New Roman" w:hAnsi="Times New Roman" w:cs="Times New Roman"/>
          <w:sz w:val="24"/>
          <w:szCs w:val="24"/>
        </w:rPr>
        <w:lastRenderedPageBreak/>
        <w:t>research and development projects but organizations needed to better understand and adapt the TRL scale to enable it to be used more efficiently and effectively.</w:t>
      </w:r>
    </w:p>
    <w:p w:rsidR="00BE5377" w:rsidRPr="00BE5377" w:rsidRDefault="00BE5377" w:rsidP="00AC66CB">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r w:rsidR="00AA201F" w:rsidRPr="00BE5377">
        <w:rPr>
          <w:rFonts w:ascii="Times New Roman" w:hAnsi="Times New Roman" w:cs="Times New Roman"/>
          <w:b/>
          <w:sz w:val="24"/>
          <w:szCs w:val="24"/>
        </w:rPr>
        <w:tab/>
      </w:r>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then this presents an opportunity to 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 xml:space="preserve">With regard </w:t>
      </w:r>
      <w:r w:rsidR="00111797">
        <w:rPr>
          <w:rFonts w:ascii="Times New Roman" w:hAnsi="Times New Roman" w:cs="Times New Roman"/>
          <w:sz w:val="24"/>
          <w:szCs w:val="24"/>
        </w:rPr>
        <w:lastRenderedPageBreak/>
        <w:t>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072ACC">
      <w:pPr>
        <w:spacing w:after="0" w:line="480" w:lineRule="auto"/>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E20446" w:rsidRDefault="00E20446"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w:t>
      </w:r>
      <w:proofErr w:type="gramEnd"/>
      <w:r>
        <w:rPr>
          <w:rFonts w:ascii="Times New Roman" w:hAnsi="Times New Roman" w:cs="Times New Roman"/>
          <w:sz w:val="24"/>
          <w:szCs w:val="24"/>
        </w:rPr>
        <w:t xml:space="preserve"> </w:t>
      </w:r>
      <w:r w:rsidRPr="00E20446">
        <w:rPr>
          <w:rFonts w:ascii="Times New Roman" w:hAnsi="Times New Roman" w:cs="Times New Roman"/>
          <w:sz w:val="24"/>
          <w:szCs w:val="24"/>
        </w:rPr>
        <w:t xml:space="preserve">(2014). </w:t>
      </w:r>
      <w:proofErr w:type="gramStart"/>
      <w:r w:rsidRPr="00E20446">
        <w:rPr>
          <w:rFonts w:ascii="Times New Roman" w:hAnsi="Times New Roman" w:cs="Times New Roman"/>
          <w:i/>
          <w:iCs/>
          <w:sz w:val="24"/>
          <w:szCs w:val="24"/>
        </w:rPr>
        <w:t>The</w:t>
      </w:r>
      <w:proofErr w:type="gramEnd"/>
      <w:r w:rsidRPr="00E20446">
        <w:rPr>
          <w:rFonts w:ascii="Times New Roman" w:hAnsi="Times New Roman" w:cs="Times New Roman"/>
          <w:i/>
          <w:iCs/>
          <w:sz w:val="24"/>
          <w:szCs w:val="24"/>
        </w:rPr>
        <w:t xml:space="preserve"> TRL Scale as a Research and Innovation Policy Tool: EARTO Recommendations</w:t>
      </w:r>
      <w:r w:rsidRPr="00E20446">
        <w:rPr>
          <w:rFonts w:ascii="Times New Roman" w:hAnsi="Times New Roman" w:cs="Times New Roman"/>
          <w:sz w:val="24"/>
          <w:szCs w:val="24"/>
        </w:rPr>
        <w:t xml:space="preserve">. Retrieved from </w:t>
      </w:r>
      <w:hyperlink r:id="rId8" w:history="1">
        <w:r w:rsidRPr="00E20446">
          <w:rPr>
            <w:rStyle w:val="Hyperlink"/>
            <w:rFonts w:ascii="Times New Roman" w:hAnsi="Times New Roman" w:cs="Times New Roman"/>
            <w:sz w:val="24"/>
            <w:szCs w:val="24"/>
          </w:rPr>
          <w:t>http://www.earto.eu/fileadmin/content/03_Publications/The_TRL_Scale_as_a_R_I_Policy_Tool_-_EARTO_Recommendations_-_Final.pdf</w:t>
        </w:r>
      </w:hyperlink>
    </w:p>
    <w:p w:rsidR="00F21491" w:rsidRDefault="00F21491" w:rsidP="007E65F3">
      <w:pPr>
        <w:spacing w:after="0" w:line="480" w:lineRule="auto"/>
        <w:ind w:left="720" w:hanging="720"/>
        <w:rPr>
          <w:rFonts w:ascii="Times New Roman" w:hAnsi="Times New Roman" w:cs="Times New Roman"/>
          <w:sz w:val="24"/>
          <w:szCs w:val="24"/>
        </w:rPr>
      </w:pPr>
      <w:proofErr w:type="gramStart"/>
      <w:r w:rsidRPr="00F21491">
        <w:rPr>
          <w:rFonts w:ascii="Times New Roman" w:hAnsi="Times New Roman" w:cs="Times New Roman"/>
          <w:sz w:val="24"/>
          <w:szCs w:val="24"/>
        </w:rPr>
        <w:t>Hallam, C. R. A., Wurth, B., &amp; Mancha, R. (2014).</w:t>
      </w:r>
      <w:proofErr w:type="gramEnd"/>
      <w:r w:rsidRPr="00F21491">
        <w:rPr>
          <w:rFonts w:ascii="Times New Roman" w:hAnsi="Times New Roman" w:cs="Times New Roman"/>
          <w:sz w:val="24"/>
          <w:szCs w:val="24"/>
        </w:rPr>
        <w:t xml:space="preserve"> University-industry technology transfer: a systems approach with policy implications. </w:t>
      </w:r>
      <w:proofErr w:type="gramStart"/>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roofErr w:type="gramEnd"/>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lastRenderedPageBreak/>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B62015">
      <w:pPr>
        <w:spacing w:after="0" w:line="480" w:lineRule="auto"/>
        <w:ind w:left="720" w:hanging="720"/>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10"/>
      <w:headerReference w:type="default" r:id="rId11"/>
      <w:footerReference w:type="even" r:id="rId12"/>
      <w:footerReference w:type="default" r:id="rId13"/>
      <w:headerReference w:type="firs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2534D3">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9" o:spid="_x0000_s38920" type="#_x0000_t136" style="position:absolute;margin-left:0;margin-top:0;width:593.7pt;height:65.95pt;rotation:315;z-index:-251651072;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Pr>
        <w:noProof/>
      </w:rPr>
      <w:pict>
        <v:shape id="_x0000_s38914"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2534D3"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40" o:spid="_x0000_s38921" type="#_x0000_t136" style="position:absolute;margin-left:0;margin-top:0;width:593.7pt;height:65.95pt;rotation:315;z-index:-251649024;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7354E8" w:rsidRPr="007354E8">
      <w:rPr>
        <w:rFonts w:ascii="Times New Roman" w:hAnsi="Times New Roman" w:cs="Times New Roman"/>
        <w:noProof/>
        <w:sz w:val="24"/>
      </w:rPr>
      <w:t>Proposal for a</w:t>
    </w:r>
    <w:r w:rsidR="007354E8" w:rsidRPr="007354E8">
      <w:rPr>
        <w:rFonts w:ascii="Times New Roman" w:hAnsi="Times New Roman" w:cs="Times New Roman"/>
        <w:sz w:val="28"/>
      </w:rPr>
      <w:t xml:space="preserve"> </w:t>
    </w:r>
    <w:r w:rsidR="007354E8">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7</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2534D3"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8" o:spid="_x0000_s38919"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ED3A93">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454753">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22"/>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01F2E"/>
    <w:rsid w:val="00111797"/>
    <w:rsid w:val="00131B7A"/>
    <w:rsid w:val="0016118B"/>
    <w:rsid w:val="00174F00"/>
    <w:rsid w:val="0019356D"/>
    <w:rsid w:val="001E73F2"/>
    <w:rsid w:val="001F5B1A"/>
    <w:rsid w:val="002411DB"/>
    <w:rsid w:val="00250EC3"/>
    <w:rsid w:val="002534D3"/>
    <w:rsid w:val="0026022A"/>
    <w:rsid w:val="00261E7A"/>
    <w:rsid w:val="0028626C"/>
    <w:rsid w:val="002A0188"/>
    <w:rsid w:val="002A577D"/>
    <w:rsid w:val="002A5878"/>
    <w:rsid w:val="002E22F4"/>
    <w:rsid w:val="002E5719"/>
    <w:rsid w:val="002F2132"/>
    <w:rsid w:val="003039E1"/>
    <w:rsid w:val="0030772F"/>
    <w:rsid w:val="003539E2"/>
    <w:rsid w:val="003702D6"/>
    <w:rsid w:val="00393232"/>
    <w:rsid w:val="00395942"/>
    <w:rsid w:val="003B6B7D"/>
    <w:rsid w:val="003B7DE1"/>
    <w:rsid w:val="003C12A4"/>
    <w:rsid w:val="003E18EB"/>
    <w:rsid w:val="003E58D8"/>
    <w:rsid w:val="00416E84"/>
    <w:rsid w:val="004337FA"/>
    <w:rsid w:val="00454753"/>
    <w:rsid w:val="0046598D"/>
    <w:rsid w:val="004963AB"/>
    <w:rsid w:val="004A5A3A"/>
    <w:rsid w:val="004C0B6D"/>
    <w:rsid w:val="004E1ED6"/>
    <w:rsid w:val="004F48C5"/>
    <w:rsid w:val="00513034"/>
    <w:rsid w:val="00556E08"/>
    <w:rsid w:val="00566434"/>
    <w:rsid w:val="00576EAD"/>
    <w:rsid w:val="005A46F1"/>
    <w:rsid w:val="005B1327"/>
    <w:rsid w:val="005C7695"/>
    <w:rsid w:val="005D3F04"/>
    <w:rsid w:val="005E4312"/>
    <w:rsid w:val="00603586"/>
    <w:rsid w:val="00657B0C"/>
    <w:rsid w:val="00677AF2"/>
    <w:rsid w:val="00682ACA"/>
    <w:rsid w:val="0069124D"/>
    <w:rsid w:val="006965B8"/>
    <w:rsid w:val="006B59F6"/>
    <w:rsid w:val="006D0AF1"/>
    <w:rsid w:val="006D49A7"/>
    <w:rsid w:val="006D5C3B"/>
    <w:rsid w:val="007030CA"/>
    <w:rsid w:val="007222F8"/>
    <w:rsid w:val="00723247"/>
    <w:rsid w:val="007354E8"/>
    <w:rsid w:val="00753D4B"/>
    <w:rsid w:val="007641C8"/>
    <w:rsid w:val="00765BB8"/>
    <w:rsid w:val="007A0141"/>
    <w:rsid w:val="007A4B71"/>
    <w:rsid w:val="007C6F82"/>
    <w:rsid w:val="007E65F3"/>
    <w:rsid w:val="007E742A"/>
    <w:rsid w:val="007F00C1"/>
    <w:rsid w:val="00801B4A"/>
    <w:rsid w:val="00804063"/>
    <w:rsid w:val="008278CB"/>
    <w:rsid w:val="00830043"/>
    <w:rsid w:val="0084325B"/>
    <w:rsid w:val="008677F6"/>
    <w:rsid w:val="008777BD"/>
    <w:rsid w:val="008935F4"/>
    <w:rsid w:val="00896FDA"/>
    <w:rsid w:val="008A1F5F"/>
    <w:rsid w:val="008B1097"/>
    <w:rsid w:val="008C42B0"/>
    <w:rsid w:val="008F11CD"/>
    <w:rsid w:val="009042FD"/>
    <w:rsid w:val="009240A9"/>
    <w:rsid w:val="009358CC"/>
    <w:rsid w:val="00943F95"/>
    <w:rsid w:val="00954F15"/>
    <w:rsid w:val="00961A27"/>
    <w:rsid w:val="009765AE"/>
    <w:rsid w:val="00993EDF"/>
    <w:rsid w:val="00995A4C"/>
    <w:rsid w:val="009A3F83"/>
    <w:rsid w:val="009B323B"/>
    <w:rsid w:val="009D1C1E"/>
    <w:rsid w:val="009F25F1"/>
    <w:rsid w:val="00A01152"/>
    <w:rsid w:val="00A2522F"/>
    <w:rsid w:val="00A349C7"/>
    <w:rsid w:val="00A77CE6"/>
    <w:rsid w:val="00A77DD4"/>
    <w:rsid w:val="00A806F3"/>
    <w:rsid w:val="00A832B2"/>
    <w:rsid w:val="00A90541"/>
    <w:rsid w:val="00A95B39"/>
    <w:rsid w:val="00AA201F"/>
    <w:rsid w:val="00AC4D99"/>
    <w:rsid w:val="00AC66CB"/>
    <w:rsid w:val="00AD2D50"/>
    <w:rsid w:val="00AD469C"/>
    <w:rsid w:val="00B22850"/>
    <w:rsid w:val="00B26A58"/>
    <w:rsid w:val="00B344FC"/>
    <w:rsid w:val="00B62015"/>
    <w:rsid w:val="00B66D4F"/>
    <w:rsid w:val="00B8423E"/>
    <w:rsid w:val="00BB5BFD"/>
    <w:rsid w:val="00BE5377"/>
    <w:rsid w:val="00C065B7"/>
    <w:rsid w:val="00C2114D"/>
    <w:rsid w:val="00C3638A"/>
    <w:rsid w:val="00C45D2C"/>
    <w:rsid w:val="00C63FCC"/>
    <w:rsid w:val="00C82570"/>
    <w:rsid w:val="00C8798C"/>
    <w:rsid w:val="00CC2454"/>
    <w:rsid w:val="00CD13B0"/>
    <w:rsid w:val="00CF0ADA"/>
    <w:rsid w:val="00D00529"/>
    <w:rsid w:val="00D25BA4"/>
    <w:rsid w:val="00D27866"/>
    <w:rsid w:val="00D352B1"/>
    <w:rsid w:val="00D414E9"/>
    <w:rsid w:val="00D4662A"/>
    <w:rsid w:val="00D7039A"/>
    <w:rsid w:val="00D7330D"/>
    <w:rsid w:val="00D757D9"/>
    <w:rsid w:val="00D8623D"/>
    <w:rsid w:val="00D86C5D"/>
    <w:rsid w:val="00DB5132"/>
    <w:rsid w:val="00DC0EE8"/>
    <w:rsid w:val="00DD1EE7"/>
    <w:rsid w:val="00E0047D"/>
    <w:rsid w:val="00E1365E"/>
    <w:rsid w:val="00E16283"/>
    <w:rsid w:val="00E20446"/>
    <w:rsid w:val="00E43C4F"/>
    <w:rsid w:val="00E65091"/>
    <w:rsid w:val="00E710EC"/>
    <w:rsid w:val="00E77899"/>
    <w:rsid w:val="00E90D70"/>
    <w:rsid w:val="00EA4235"/>
    <w:rsid w:val="00EA654C"/>
    <w:rsid w:val="00EB2D6F"/>
    <w:rsid w:val="00EB78E9"/>
    <w:rsid w:val="00EC3586"/>
    <w:rsid w:val="00ED3A93"/>
    <w:rsid w:val="00EE7743"/>
    <w:rsid w:val="00EF7821"/>
    <w:rsid w:val="00F047D8"/>
    <w:rsid w:val="00F21491"/>
    <w:rsid w:val="00F31BDE"/>
    <w:rsid w:val="00F60FBD"/>
    <w:rsid w:val="00F65438"/>
    <w:rsid w:val="00F839A2"/>
    <w:rsid w:val="00F9142F"/>
    <w:rsid w:val="00FA589E"/>
    <w:rsid w:val="00FA67D0"/>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2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arto.eu/fileadmin/content/03_Publications/The_TRL_Scale_as_a_R_I_Policy_Tool_-_EARTO_Recommendations_-_Final.pdf" TargetMode="External"/><Relationship Id="rId13" Type="http://schemas.openxmlformats.org/officeDocument/2006/relationships/footer" Target="footer2.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568</TotalTime>
  <Pages>13</Pages>
  <Words>2749</Words>
  <Characters>15673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18386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147</cp:revision>
  <dcterms:created xsi:type="dcterms:W3CDTF">2018-12-15T20:47:00Z</dcterms:created>
  <dcterms:modified xsi:type="dcterms:W3CDTF">2019-02-25T18:47:00Z</dcterms:modified>
</cp:coreProperties>
</file>