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 xml:space="preserve">Race-based segregation has colored the social fabric of the United States since before the founding of the republic.  There is ample literature that examine the intersection of race, poverty and other social issues.  However, most research is at the state and national level or appears to have focused on the largest or most prominent cities in the nation.  Moreover, these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The results 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w:t>
      </w:r>
      <w:r w:rsidR="00BC0170">
        <w:rPr>
          <w:rFonts w:ascii="Times New Roman" w:hAnsi="Times New Roman" w:cs="Times New Roman"/>
          <w:sz w:val="24"/>
          <w:szCs w:val="24"/>
        </w:rPr>
        <w:t xml:space="preserve">There is ample literature that examine the intersection of race, poverty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sidR="003C5A33">
        <w:rPr>
          <w:rFonts w:ascii="Times New Roman" w:hAnsi="Times New Roman" w:cs="Times New Roman"/>
          <w:sz w:val="24"/>
          <w:szCs w:val="24"/>
        </w:rPr>
        <w:t>There seems to have been few, if any, spatia</w:t>
      </w:r>
      <w:r w:rsidR="00BC0170">
        <w:rPr>
          <w:rFonts w:ascii="Times New Roman" w:hAnsi="Times New Roman" w:cs="Times New Roman"/>
          <w:sz w:val="24"/>
          <w:szCs w:val="24"/>
        </w:rPr>
        <w:t>l studies focused on</w:t>
      </w:r>
      <w:r w:rsidR="00EE4033">
        <w:rPr>
          <w:rFonts w:ascii="Times New Roman" w:hAnsi="Times New Roman" w:cs="Times New Roman"/>
          <w:sz w:val="24"/>
          <w:szCs w:val="24"/>
        </w:rPr>
        <w:t xml:space="preserve"> race,</w:t>
      </w:r>
      <w:r w:rsidR="003C5A33">
        <w:rPr>
          <w:rFonts w:ascii="Times New Roman" w:hAnsi="Times New Roman" w:cs="Times New Roman"/>
          <w:sz w:val="24"/>
          <w:szCs w:val="24"/>
        </w:rPr>
        <w:t xml:space="preserve"> poverty</w:t>
      </w:r>
      <w:r w:rsidR="00EE4033">
        <w:rPr>
          <w:rFonts w:ascii="Times New Roman" w:hAnsi="Times New Roman" w:cs="Times New Roman"/>
          <w:sz w:val="24"/>
          <w:szCs w:val="24"/>
        </w:rPr>
        <w:t>, and other social indicators</w:t>
      </w:r>
      <w:r w:rsidR="003C5A33">
        <w:rPr>
          <w:rFonts w:ascii="Times New Roman" w:hAnsi="Times New Roman" w:cs="Times New Roman"/>
          <w:sz w:val="24"/>
          <w:szCs w:val="24"/>
        </w:rPr>
        <w:t xml:space="preserve"> in Springfield, Missouri.</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AF568A">
        <w:rPr>
          <w:rFonts w:ascii="Times New Roman" w:hAnsi="Times New Roman" w:cs="Times New Roman"/>
          <w:sz w:val="24"/>
          <w:szCs w:val="24"/>
        </w:rPr>
        <w:t>Both the Confederacy and the Union considered Springfield a strategic location and control over the region seesawed during this time (Wood, 2011).  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763728">
        <w:rPr>
          <w:rFonts w:ascii="Times New Roman" w:hAnsi="Times New Roman" w:cs="Times New Roman"/>
          <w:sz w:val="24"/>
          <w:szCs w:val="24"/>
        </w:rPr>
        <w:t xml:space="preserve">It’s </w:t>
      </w:r>
      <w:r w:rsidR="009071D9">
        <w:rPr>
          <w:rFonts w:ascii="Times New Roman" w:hAnsi="Times New Roman" w:cs="Times New Roman"/>
          <w:sz w:val="24"/>
          <w:szCs w:val="24"/>
        </w:rPr>
        <w:t xml:space="preserve">probable </w:t>
      </w:r>
      <w:r w:rsidR="00763728">
        <w:rPr>
          <w:rFonts w:ascii="Times New Roman" w:hAnsi="Times New Roman" w:cs="Times New Roman"/>
          <w:sz w:val="24"/>
          <w:szCs w:val="24"/>
        </w:rPr>
        <w:t xml:space="preserve">that </w:t>
      </w:r>
      <w:r w:rsidR="00763728">
        <w:rPr>
          <w:rFonts w:ascii="Times New Roman" w:hAnsi="Times New Roman" w:cs="Times New Roman"/>
          <w:sz w:val="24"/>
          <w:szCs w:val="24"/>
        </w:rPr>
        <w:lastRenderedPageBreak/>
        <w:t>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137B4D">
        <w:rPr>
          <w:rFonts w:ascii="Times New Roman" w:hAnsi="Times New Roman" w:cs="Times New Roman"/>
          <w:sz w:val="24"/>
          <w:szCs w:val="24"/>
        </w:rPr>
        <w:t xml:space="preserve"> such as poverty</w:t>
      </w:r>
      <w:r w:rsidR="00900171">
        <w:rPr>
          <w:rFonts w:ascii="Times New Roman" w:hAnsi="Times New Roman" w:cs="Times New Roman"/>
          <w:sz w:val="24"/>
          <w:szCs w:val="24"/>
        </w:rPr>
        <w:t>.</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various social issues such as poverty and their policy solutions (Blank).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race</w:t>
      </w:r>
      <w:r w:rsidR="00F51227">
        <w:rPr>
          <w:rFonts w:ascii="Times New Roman" w:hAnsi="Times New Roman" w:cs="Times New Roman"/>
          <w:sz w:val="24"/>
          <w:szCs w:val="24"/>
        </w:rPr>
        <w:t>, poverty,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80643A"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in Southwest Missouri</w:t>
      </w:r>
      <w:r>
        <w:rPr>
          <w:rFonts w:ascii="Times New Roman" w:hAnsi="Times New Roman" w:cs="Times New Roman"/>
          <w:sz w:val="24"/>
          <w:szCs w:val="24"/>
        </w:rPr>
        <w:t xml:space="preserve"> which likely influenced the current social characteristics of the Springfield, Missouri MSA to a great degree</w:t>
      </w:r>
      <w:r w:rsidR="002507D9">
        <w:rPr>
          <w:rFonts w:ascii="Times New Roman" w:hAnsi="Times New Roman" w:cs="Times New Roman"/>
          <w:sz w:val="24"/>
          <w:szCs w:val="24"/>
        </w:rPr>
        <w:t>.</w:t>
      </w:r>
      <w:r w:rsidR="00417795">
        <w:rPr>
          <w:rFonts w:ascii="Times New Roman" w:hAnsi="Times New Roman" w:cs="Times New Roman"/>
          <w:sz w:val="24"/>
          <w:szCs w:val="24"/>
        </w:rPr>
        <w:t xml:space="preserve">  </w:t>
      </w:r>
      <w:r>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t xml:space="preserve">Missouri remained in the Union </w:t>
      </w:r>
      <w:r>
        <w:rPr>
          <w:rFonts w:ascii="Times New Roman" w:hAnsi="Times New Roman" w:cs="Times New Roman"/>
          <w:sz w:val="24"/>
          <w:szCs w:val="24"/>
        </w:rPr>
        <w:t xml:space="preserve">as a border state during the Civil War </w:t>
      </w:r>
      <w:r w:rsidR="00417795">
        <w:rPr>
          <w:rFonts w:ascii="Times New Roman" w:hAnsi="Times New Roman" w:cs="Times New Roman"/>
          <w:sz w:val="24"/>
          <w:szCs w:val="24"/>
        </w:rPr>
        <w:t xml:space="preserve">but permitted 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t>
      </w:r>
      <w:r w:rsidR="00417795">
        <w:rPr>
          <w:rFonts w:ascii="Times New Roman" w:hAnsi="Times New Roman" w:cs="Times New Roman"/>
          <w:sz w:val="24"/>
          <w:szCs w:val="24"/>
        </w:rPr>
        <w:lastRenderedPageBreak/>
        <w:t xml:space="preserve">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2012).  Although residential segregation was common in Springfield, Phelps Street was apparently integrated with more White residents than Black residents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viewed Blacks through the lenses of stereotypes established during slavery.  This racism often led Whites to limit Black enterprise in their communities to businesses that offered personal services only to other Blacks.  This likely had some influence on subsequent and current social issues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 xml:space="preserve">Attribute </w:t>
      </w:r>
      <w:r w:rsidRPr="00426D3D">
        <w:rPr>
          <w:rFonts w:ascii="Courier New" w:hAnsi="Courier New" w:cs="Courier New"/>
          <w:sz w:val="24"/>
          <w:szCs w:val="24"/>
        </w:rPr>
        <w:lastRenderedPageBreak/>
        <w:t>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and </w:t>
      </w:r>
      <w:proofErr w:type="spellStart"/>
      <w:r w:rsidR="00D251BD">
        <w:rPr>
          <w:rFonts w:ascii="Times New Roman" w:hAnsi="Times New Roman" w:cs="Times New Roman"/>
          <w:sz w:val="24"/>
          <w:szCs w:val="24"/>
        </w:rPr>
        <w:t>GeoDa</w:t>
      </w:r>
      <w:proofErr w:type="spellEnd"/>
      <w:r w:rsidR="00D251BD">
        <w:rPr>
          <w:rFonts w:ascii="Times New Roman" w:hAnsi="Times New Roman" w:cs="Times New Roman"/>
          <w:sz w:val="24"/>
          <w:szCs w:val="24"/>
        </w:rPr>
        <w:t xml:space="preserve"> to analyze the data.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percent White population, and percent poverty</w:t>
      </w:r>
      <w:r w:rsidR="005E61EB">
        <w:rPr>
          <w:rFonts w:ascii="Times New Roman" w:hAnsi="Times New Roman" w:cs="Times New Roman"/>
          <w:sz w:val="24"/>
          <w:szCs w:val="24"/>
        </w:rPr>
        <w:t xml:space="preserve"> (Figures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The maps suggest that spatial processes are at play.  Traditional statistical inference methods assume variables are randomly distributed throughout space.  However, the thematic maps appear to show nonrandom distributions of racial populations and poverty throughout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deviational ellipses for poverty and the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Black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statistically significant at the 0.05 level or stronger.</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statistically significant at the 0.05 level or stronger.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9313F2"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 calculated global univariate Moran’s I statistics for the percent Black population and percent White population based on grid polygons.  I compared </w:t>
      </w:r>
      <w:r w:rsidR="00F54B46">
        <w:rPr>
          <w:rFonts w:ascii="Times New Roman" w:hAnsi="Times New Roman" w:cs="Times New Roman"/>
          <w:sz w:val="24"/>
          <w:szCs w:val="24"/>
        </w:rPr>
        <w:t>the</w:t>
      </w:r>
      <w:r>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 census tracts (Table 5).  </w:t>
      </w:r>
      <w:r w:rsidR="001822EB">
        <w:rPr>
          <w:rFonts w:ascii="Times New Roman" w:hAnsi="Times New Roman" w:cs="Times New Roman"/>
          <w:sz w:val="24"/>
          <w:szCs w:val="24"/>
        </w:rPr>
        <w:t>Based on census tracts, the Moran’s I statistics indicated moderate levels of spatial autocorrelation for both variables.  Using the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spatial </w:t>
      </w:r>
      <w:r w:rsidR="004E75F6">
        <w:rPr>
          <w:rFonts w:ascii="Times New Roman" w:hAnsi="Times New Roman" w:cs="Times New Roman"/>
          <w:sz w:val="24"/>
          <w:szCs w:val="24"/>
        </w:rPr>
        <w:t>considerations are factored into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lastRenderedPageBreak/>
        <w:drawing>
          <wp:inline distT="0" distB="0" distL="0" distR="0">
            <wp:extent cx="5943600" cy="328811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p>
    <w:p w:rsidR="00A618C2" w:rsidRDefault="003D7FCE" w:rsidP="00ED3A93">
      <w:pPr>
        <w:spacing w:after="0" w:line="480" w:lineRule="auto"/>
        <w:rPr>
          <w:rFonts w:ascii="Times New Roman" w:hAnsi="Times New Roman" w:cs="Times New Roman"/>
          <w:sz w:val="24"/>
          <w:szCs w:val="24"/>
        </w:rPr>
      </w:pPr>
      <w:r w:rsidRPr="003D7FCE">
        <w:lastRenderedPageBreak/>
        <w:drawing>
          <wp:inline distT="0" distB="0" distL="0" distR="0">
            <wp:extent cx="5943600" cy="450813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8135"/>
                    </a:xfrm>
                    <a:prstGeom prst="rect">
                      <a:avLst/>
                    </a:prstGeom>
                    <a:noFill/>
                    <a:ln>
                      <a:noFill/>
                    </a:ln>
                  </pic:spPr>
                </pic:pic>
              </a:graphicData>
            </a:graphic>
          </wp:inline>
        </w:drawing>
      </w:r>
    </w:p>
    <w:p w:rsidR="003D7FCE" w:rsidRDefault="003D7FCE"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drawing>
          <wp:inline distT="0" distB="0" distL="0" distR="0">
            <wp:extent cx="5943600" cy="24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9950"/>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3D7FCE" w:rsidP="00ED3A93">
      <w:pPr>
        <w:spacing w:after="0" w:line="480" w:lineRule="auto"/>
        <w:rPr>
          <w:rFonts w:ascii="Times New Roman" w:hAnsi="Times New Roman" w:cs="Times New Roman"/>
          <w:sz w:val="24"/>
          <w:szCs w:val="24"/>
        </w:rPr>
      </w:pPr>
      <w:r w:rsidRPr="003D7FCE">
        <w:lastRenderedPageBreak/>
        <w:drawing>
          <wp:inline distT="0" distB="0" distL="0" distR="0">
            <wp:extent cx="5943600" cy="278230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2307"/>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A72CEA"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3" name="Picture 33"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4" name="Picture 34"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5" name="Picture 35"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6" name="Picture 36" descr="C:\Users\townesm\AppData\Local\Microsoft\Windows\INetCacheContent.Word\map_sprfd_mo_m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map_sprfd_mo_msa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bookmarkStart w:id="0" w:name="_GoBack"/>
      <w:bookmarkEnd w:id="0"/>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Pr="00ED3A93"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sectPr w:rsidR="00CA6B32" w:rsidRPr="00ED3A93" w:rsidSect="00ED3A93">
      <w:headerReference w:type="default" r:id="rId32"/>
      <w:headerReference w:type="first" r:id="rId3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886BCD">
      <w:rPr>
        <w:rFonts w:ascii="Times New Roman" w:hAnsi="Times New Roman" w:cs="Times New Roman"/>
        <w:noProof/>
        <w:sz w:val="24"/>
      </w:rPr>
      <w:t>23</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886BCD">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761C"/>
    <w:rsid w:val="000816B5"/>
    <w:rsid w:val="000952D9"/>
    <w:rsid w:val="000A16B5"/>
    <w:rsid w:val="000B1EB8"/>
    <w:rsid w:val="000D5211"/>
    <w:rsid w:val="000E084E"/>
    <w:rsid w:val="000E1478"/>
    <w:rsid w:val="000E3262"/>
    <w:rsid w:val="000E66D1"/>
    <w:rsid w:val="000E6D1D"/>
    <w:rsid w:val="000F6B6C"/>
    <w:rsid w:val="00113B7B"/>
    <w:rsid w:val="0012298C"/>
    <w:rsid w:val="001257A2"/>
    <w:rsid w:val="00126080"/>
    <w:rsid w:val="00137B4D"/>
    <w:rsid w:val="001405D0"/>
    <w:rsid w:val="001765F0"/>
    <w:rsid w:val="001822EB"/>
    <w:rsid w:val="00185623"/>
    <w:rsid w:val="00194F88"/>
    <w:rsid w:val="001B59A0"/>
    <w:rsid w:val="001C25BD"/>
    <w:rsid w:val="001F2D1D"/>
    <w:rsid w:val="0022382A"/>
    <w:rsid w:val="00225276"/>
    <w:rsid w:val="002507D9"/>
    <w:rsid w:val="00250EC3"/>
    <w:rsid w:val="0025425D"/>
    <w:rsid w:val="002545E1"/>
    <w:rsid w:val="0028585D"/>
    <w:rsid w:val="002A4D94"/>
    <w:rsid w:val="002C2DC5"/>
    <w:rsid w:val="002E22F4"/>
    <w:rsid w:val="002F292F"/>
    <w:rsid w:val="0030189E"/>
    <w:rsid w:val="00330403"/>
    <w:rsid w:val="00347A41"/>
    <w:rsid w:val="0035098B"/>
    <w:rsid w:val="00355DEB"/>
    <w:rsid w:val="003809B9"/>
    <w:rsid w:val="00385E1F"/>
    <w:rsid w:val="00391BF7"/>
    <w:rsid w:val="00395942"/>
    <w:rsid w:val="003B24D3"/>
    <w:rsid w:val="003C5A33"/>
    <w:rsid w:val="003D65B9"/>
    <w:rsid w:val="003D6601"/>
    <w:rsid w:val="003D7FCE"/>
    <w:rsid w:val="004014EB"/>
    <w:rsid w:val="00417795"/>
    <w:rsid w:val="00420A9E"/>
    <w:rsid w:val="00426D3D"/>
    <w:rsid w:val="00434FC4"/>
    <w:rsid w:val="004473C1"/>
    <w:rsid w:val="00477DE3"/>
    <w:rsid w:val="0049423C"/>
    <w:rsid w:val="004B14C8"/>
    <w:rsid w:val="004E75F6"/>
    <w:rsid w:val="00550FB1"/>
    <w:rsid w:val="00556E08"/>
    <w:rsid w:val="00574FDB"/>
    <w:rsid w:val="00587221"/>
    <w:rsid w:val="00594888"/>
    <w:rsid w:val="005A46F1"/>
    <w:rsid w:val="005B0504"/>
    <w:rsid w:val="005B6694"/>
    <w:rsid w:val="005D3F04"/>
    <w:rsid w:val="005D51FE"/>
    <w:rsid w:val="005E0F6A"/>
    <w:rsid w:val="005E10A4"/>
    <w:rsid w:val="005E61EB"/>
    <w:rsid w:val="00602FFF"/>
    <w:rsid w:val="00613228"/>
    <w:rsid w:val="00622F1D"/>
    <w:rsid w:val="006337FC"/>
    <w:rsid w:val="00641C15"/>
    <w:rsid w:val="00651378"/>
    <w:rsid w:val="00673793"/>
    <w:rsid w:val="00686906"/>
    <w:rsid w:val="00694D2C"/>
    <w:rsid w:val="00694EDA"/>
    <w:rsid w:val="006A281B"/>
    <w:rsid w:val="006B19AF"/>
    <w:rsid w:val="006D1925"/>
    <w:rsid w:val="006E0506"/>
    <w:rsid w:val="007030CA"/>
    <w:rsid w:val="00711282"/>
    <w:rsid w:val="00727267"/>
    <w:rsid w:val="0073357A"/>
    <w:rsid w:val="00737C39"/>
    <w:rsid w:val="007470DB"/>
    <w:rsid w:val="007512FC"/>
    <w:rsid w:val="00754FA9"/>
    <w:rsid w:val="007577CC"/>
    <w:rsid w:val="00762D50"/>
    <w:rsid w:val="00763728"/>
    <w:rsid w:val="007932FB"/>
    <w:rsid w:val="007C444E"/>
    <w:rsid w:val="007C6F82"/>
    <w:rsid w:val="007F1E06"/>
    <w:rsid w:val="0080643A"/>
    <w:rsid w:val="00807B68"/>
    <w:rsid w:val="00811E8C"/>
    <w:rsid w:val="00816362"/>
    <w:rsid w:val="00841328"/>
    <w:rsid w:val="00846537"/>
    <w:rsid w:val="008478DB"/>
    <w:rsid w:val="00862EB2"/>
    <w:rsid w:val="00866661"/>
    <w:rsid w:val="00873FF3"/>
    <w:rsid w:val="0087758C"/>
    <w:rsid w:val="008811AC"/>
    <w:rsid w:val="00883A6D"/>
    <w:rsid w:val="00886BCD"/>
    <w:rsid w:val="008B7D82"/>
    <w:rsid w:val="008D23A8"/>
    <w:rsid w:val="00900171"/>
    <w:rsid w:val="009071D9"/>
    <w:rsid w:val="009176C6"/>
    <w:rsid w:val="009300B6"/>
    <w:rsid w:val="009313F2"/>
    <w:rsid w:val="0095074F"/>
    <w:rsid w:val="00952926"/>
    <w:rsid w:val="00964048"/>
    <w:rsid w:val="00966D20"/>
    <w:rsid w:val="009717FC"/>
    <w:rsid w:val="00980CE9"/>
    <w:rsid w:val="00993EDF"/>
    <w:rsid w:val="009975E4"/>
    <w:rsid w:val="009A19A2"/>
    <w:rsid w:val="009D7605"/>
    <w:rsid w:val="009F086F"/>
    <w:rsid w:val="009F6ABF"/>
    <w:rsid w:val="00A02D5B"/>
    <w:rsid w:val="00A10D53"/>
    <w:rsid w:val="00A137EF"/>
    <w:rsid w:val="00A14CFB"/>
    <w:rsid w:val="00A27C08"/>
    <w:rsid w:val="00A432D2"/>
    <w:rsid w:val="00A4456C"/>
    <w:rsid w:val="00A50E0A"/>
    <w:rsid w:val="00A618C2"/>
    <w:rsid w:val="00A64A69"/>
    <w:rsid w:val="00A71692"/>
    <w:rsid w:val="00A72CEA"/>
    <w:rsid w:val="00A821CE"/>
    <w:rsid w:val="00A923B1"/>
    <w:rsid w:val="00A95B39"/>
    <w:rsid w:val="00AB3023"/>
    <w:rsid w:val="00AB5C4F"/>
    <w:rsid w:val="00AC2D32"/>
    <w:rsid w:val="00AD469C"/>
    <w:rsid w:val="00AE24C6"/>
    <w:rsid w:val="00AE78FD"/>
    <w:rsid w:val="00AF568A"/>
    <w:rsid w:val="00B00339"/>
    <w:rsid w:val="00B05173"/>
    <w:rsid w:val="00B055D5"/>
    <w:rsid w:val="00B25540"/>
    <w:rsid w:val="00B62EB6"/>
    <w:rsid w:val="00B90CD2"/>
    <w:rsid w:val="00B91E89"/>
    <w:rsid w:val="00BA48A2"/>
    <w:rsid w:val="00BC0170"/>
    <w:rsid w:val="00BC14E3"/>
    <w:rsid w:val="00BF2023"/>
    <w:rsid w:val="00BF6D5C"/>
    <w:rsid w:val="00BF6D8E"/>
    <w:rsid w:val="00C0751C"/>
    <w:rsid w:val="00C0787A"/>
    <w:rsid w:val="00C11711"/>
    <w:rsid w:val="00C336CB"/>
    <w:rsid w:val="00C44273"/>
    <w:rsid w:val="00C52E5B"/>
    <w:rsid w:val="00C57B2E"/>
    <w:rsid w:val="00C64A3E"/>
    <w:rsid w:val="00C65A34"/>
    <w:rsid w:val="00C86276"/>
    <w:rsid w:val="00C932B9"/>
    <w:rsid w:val="00C941F4"/>
    <w:rsid w:val="00CA452F"/>
    <w:rsid w:val="00CA6B32"/>
    <w:rsid w:val="00CA6D47"/>
    <w:rsid w:val="00CE166B"/>
    <w:rsid w:val="00CE6A51"/>
    <w:rsid w:val="00D13C62"/>
    <w:rsid w:val="00D251BD"/>
    <w:rsid w:val="00D62FDF"/>
    <w:rsid w:val="00D640AF"/>
    <w:rsid w:val="00D86C5D"/>
    <w:rsid w:val="00DD1FDE"/>
    <w:rsid w:val="00DD20FA"/>
    <w:rsid w:val="00E154A7"/>
    <w:rsid w:val="00E24E11"/>
    <w:rsid w:val="00E5543F"/>
    <w:rsid w:val="00E61A80"/>
    <w:rsid w:val="00E73578"/>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2CB63FC"/>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28</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186</cp:revision>
  <dcterms:created xsi:type="dcterms:W3CDTF">2018-09-18T16:55:00Z</dcterms:created>
  <dcterms:modified xsi:type="dcterms:W3CDTF">2020-03-25T15:05:00Z</dcterms:modified>
</cp:coreProperties>
</file>