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1C9B" w:rsidRDefault="003A1C9B" w:rsidP="00DE21A5">
      <w:pPr>
        <w:spacing w:after="0" w:line="240" w:lineRule="auto"/>
        <w:sectPr w:rsidR="003A1C9B" w:rsidSect="007964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E21A5" w:rsidRDefault="00543C16" w:rsidP="00DE21A5">
      <w:pPr>
        <w:spacing w:after="0" w:line="240" w:lineRule="auto"/>
      </w:pPr>
      <w:r>
        <w:lastRenderedPageBreak/>
        <w:t>Class Project</w:t>
      </w:r>
    </w:p>
    <w:p w:rsidR="00543C16" w:rsidRDefault="00543C16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Will need letter of support from manager of Facebook group indicating that it will distribute the survey request to the members to include with </w:t>
      </w:r>
      <w:r w:rsidR="002D731E">
        <w:t>protocol submission for Institutional Review Board</w:t>
      </w:r>
      <w:r>
        <w:t xml:space="preserve"> </w:t>
      </w:r>
      <w:r w:rsidR="002D731E">
        <w:t>(</w:t>
      </w:r>
      <w:r>
        <w:t>IRB</w:t>
      </w:r>
      <w:r w:rsidR="002D731E">
        <w:t>)</w:t>
      </w:r>
      <w:r>
        <w:t xml:space="preserve"> approval.</w:t>
      </w:r>
    </w:p>
    <w:p w:rsidR="003C0D8D" w:rsidRDefault="003C0D8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 co-authorship agreement </w:t>
      </w:r>
      <w:r w:rsidR="00C2431D">
        <w:t>and submit as part of the second assignment.</w:t>
      </w:r>
    </w:p>
    <w:p w:rsidR="007A45E5" w:rsidRDefault="007A45E5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Materials to include in IRB protocol application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Questionnaire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Recruit letter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Content of email message</w:t>
      </w:r>
    </w:p>
    <w:p w:rsidR="00B23BE0" w:rsidRDefault="00B23BE0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IRB </w:t>
      </w:r>
      <w:r w:rsidR="001A67FD">
        <w:t xml:space="preserve">protocol </w:t>
      </w:r>
      <w:r>
        <w:t>application process for class project: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Prepare the IRB protocol exempt application in the Word document.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1, 2019</w:t>
      </w:r>
    </w:p>
    <w:p w:rsidR="00C2431D" w:rsidRDefault="00C2431D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The class will peer-review each other</w:t>
      </w:r>
      <w:r w:rsidR="00B23BE0">
        <w:t>’</w:t>
      </w:r>
      <w:r>
        <w:t>s</w:t>
      </w:r>
      <w:r w:rsidR="00B23BE0">
        <w:t xml:space="preserve"> IRB protocol.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from peers, modify proposal accordingly in Word, and submit Word document to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form Dr. Matsuo and modify IRB protocol.</w:t>
      </w:r>
    </w:p>
    <w:p w:rsidR="00B23BE0" w:rsidRDefault="002036C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Prepare IRB protocol in </w:t>
      </w:r>
      <w:proofErr w:type="spellStart"/>
      <w:r>
        <w:t>eIRB</w:t>
      </w:r>
      <w:proofErr w:type="spellEnd"/>
      <w:r w:rsidR="00B23BE0">
        <w:t xml:space="preserve"> and submit for peer review by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After Dr. Matsuo approves, then submit the IRB protocol.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15, 2019</w:t>
      </w:r>
    </w:p>
    <w:p w:rsidR="00C2431D" w:rsidRDefault="00C2431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Grade for second assignment will be “A” once the project receives IRB approval.</w:t>
      </w:r>
    </w:p>
    <w:p w:rsidR="00DE21A5" w:rsidRDefault="00DE21A5" w:rsidP="00DE21A5">
      <w:pPr>
        <w:spacing w:after="0" w:line="240" w:lineRule="auto"/>
      </w:pPr>
    </w:p>
    <w:p w:rsidR="00106517" w:rsidRDefault="00106517" w:rsidP="00DE21A5">
      <w:pPr>
        <w:spacing w:after="0" w:line="240" w:lineRule="auto"/>
      </w:pPr>
      <w:r>
        <w:t>Reliability</w:t>
      </w:r>
    </w:p>
    <w:p w:rsidR="00106517" w:rsidRDefault="00CB0273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Reliability </w:t>
      </w:r>
      <w:r w:rsidR="000E0913">
        <w:t>exists when</w:t>
      </w:r>
      <w:r>
        <w:t xml:space="preserve"> e</w:t>
      </w:r>
      <w:r w:rsidR="00106517">
        <w:t xml:space="preserve">ach item associated with the same concept </w:t>
      </w:r>
      <w:r w:rsidR="000E0913">
        <w:t xml:space="preserve">in a scale or index </w:t>
      </w:r>
      <w:r w:rsidR="00106517">
        <w:t>yields similar results.</w:t>
      </w:r>
    </w:p>
    <w:p w:rsidR="00106517" w:rsidRDefault="00106517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>Internal consistency is when all the items under the same concept</w:t>
      </w:r>
      <w:r w:rsidR="00CB0273">
        <w:t xml:space="preserve"> </w:t>
      </w:r>
      <w:r w:rsidR="000E0913">
        <w:t xml:space="preserve">in a scale or index </w:t>
      </w:r>
      <w:r w:rsidR="00CB0273">
        <w:t>are highly correlated with each other.</w:t>
      </w:r>
    </w:p>
    <w:p w:rsidR="00DD0AC1" w:rsidRDefault="00CB0273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Reliability greater 0.65 is consider high; a value of at least 0.60 may be acceptable.</w:t>
      </w:r>
    </w:p>
    <w:p w:rsidR="00000A3C" w:rsidRDefault="00000A3C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Approaches to reliability:</w:t>
      </w:r>
    </w:p>
    <w:p w:rsidR="00A21AF1" w:rsidRDefault="00A21AF1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>Generalizability Theory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can the results be generalized across different facets (e.g., dimensions, groups) over time.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the results can be replicated.</w:t>
      </w:r>
    </w:p>
    <w:p w:rsidR="007A45E5" w:rsidRDefault="007A45E5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Classical Measurement Theory </w:t>
      </w:r>
    </w:p>
    <w:p w:rsidR="00DD0AC1" w:rsidRDefault="007A45E5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Test-retest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Administer the test to the same sample at two different points in time.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Pearson 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Alternate form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Ask two different questions that measure the same concept.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Split-half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Divide the instrument in half randomly and obtain correlations of each group.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Cronbach’s Alpha &gt; 0.65 is considered an indication of reproducibility.</w:t>
      </w:r>
    </w:p>
    <w:p w:rsidR="001A67FD" w:rsidRDefault="001A67FD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Cronbach’s Alpha &gt; 0.80 for psychological measurements</w:t>
      </w:r>
    </w:p>
    <w:p w:rsidR="00D639AB" w:rsidRDefault="00D639AB">
      <w:r>
        <w:br w:type="page"/>
      </w:r>
    </w:p>
    <w:p w:rsidR="00A21AF1" w:rsidRDefault="004C6CDE" w:rsidP="00000A3C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>Item Response Theory (IRT)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Goal is to establish scale that is independent of mode of administration and respondent characteristics.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Perform content validity test (see template provided by Dr. Matsuo).</w:t>
      </w:r>
    </w:p>
    <w:p w:rsidR="000A2637" w:rsidRDefault="000A2637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Rule of thumb is a minimum of three (3) experts for content validity test.</w:t>
      </w:r>
    </w:p>
    <w:p w:rsidR="002934F0" w:rsidRDefault="002934F0" w:rsidP="002934F0">
      <w:pPr>
        <w:pStyle w:val="ListParagraph"/>
        <w:numPr>
          <w:ilvl w:val="2"/>
          <w:numId w:val="12"/>
        </w:numPr>
        <w:spacing w:after="0" w:line="240" w:lineRule="auto"/>
      </w:pPr>
      <w:r>
        <w:t>Options for measuring content validity:</w:t>
      </w:r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>Calculate proportion of agreement</w:t>
      </w:r>
    </w:p>
    <w:p w:rsidR="002934F0" w:rsidRDefault="002934F0" w:rsidP="002934F0">
      <w:pPr>
        <w:pStyle w:val="ListParagraph"/>
        <w:numPr>
          <w:ilvl w:val="4"/>
          <w:numId w:val="12"/>
        </w:numPr>
        <w:spacing w:after="0" w:line="240" w:lineRule="auto"/>
      </w:pPr>
      <w:r>
        <w:t>A value &gt; 0.80 is considered an indication of content validity.</w:t>
      </w:r>
    </w:p>
    <w:p w:rsidR="001453EC" w:rsidRDefault="001453EC" w:rsidP="002934F0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Numbr of item ratings in agreement</m:t>
            </m:r>
          </m:num>
          <m:den>
            <m:r>
              <w:rPr>
                <w:rFonts w:ascii="Cambria Math" w:hAnsi="Cambria Math"/>
              </w:rPr>
              <m:t>Total number of items rated</m:t>
            </m:r>
          </m:den>
        </m:f>
      </m:oMath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Perform cluster analysis for items </w:t>
      </w:r>
    </w:p>
    <w:p w:rsidR="00F63921" w:rsidRDefault="00F63921" w:rsidP="00F63921">
      <w:pPr>
        <w:pStyle w:val="ListParagraph"/>
        <w:numPr>
          <w:ilvl w:val="3"/>
          <w:numId w:val="12"/>
        </w:numPr>
        <w:spacing w:after="0" w:line="240" w:lineRule="auto"/>
      </w:pPr>
      <w:r>
        <w:t>Calculate content validity ratio (CVR)</w:t>
      </w:r>
    </w:p>
    <w:p w:rsidR="00103B02" w:rsidRDefault="00D93817" w:rsidP="00F63921">
      <w:pPr>
        <w:pStyle w:val="ListParagraph"/>
        <w:numPr>
          <w:ilvl w:val="4"/>
          <w:numId w:val="12"/>
        </w:numPr>
        <w:spacing w:after="0" w:line="240" w:lineRule="auto"/>
      </w:pPr>
      <w:r>
        <w:t>range</w:t>
      </w:r>
      <w:r w:rsidR="002934F0">
        <w:t xml:space="preserve"> is -1.0 &gt; CVR 1.0</w:t>
      </w:r>
      <w:r w:rsidR="00F63921">
        <w:t>; higher is better</w:t>
      </w:r>
    </w:p>
    <w:p w:rsidR="004F495B" w:rsidRPr="008E2E3F" w:rsidRDefault="004F495B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CVR=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-1</m:t>
        </m:r>
      </m:oMath>
    </w:p>
    <w:p w:rsidR="008E2E3F" w:rsidRP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is the number of panelist that </w:t>
      </w:r>
      <w:r w:rsidR="000311E6">
        <w:rPr>
          <w:rFonts w:eastAsiaTheme="minorEastAsia"/>
        </w:rPr>
        <w:t xml:space="preserve">rate an item as </w:t>
      </w:r>
      <w:proofErr w:type="gramStart"/>
      <w:r w:rsidR="000311E6">
        <w:rPr>
          <w:rFonts w:eastAsiaTheme="minorEastAsia"/>
        </w:rPr>
        <w:t>essential</w:t>
      </w:r>
      <w:proofErr w:type="gramEnd"/>
    </w:p>
    <w:p w:rsid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total number of </w:t>
      </w:r>
      <w:proofErr w:type="gramStart"/>
      <w:r>
        <w:rPr>
          <w:rFonts w:eastAsiaTheme="minorEastAsia"/>
        </w:rPr>
        <w:t>panelists</w:t>
      </w:r>
      <w:proofErr w:type="gramEnd"/>
    </w:p>
    <w:p w:rsidR="007B385C" w:rsidRDefault="007B385C" w:rsidP="007B385C">
      <w:pPr>
        <w:spacing w:after="0" w:line="240" w:lineRule="auto"/>
      </w:pPr>
    </w:p>
    <w:p w:rsidR="001F101C" w:rsidRDefault="001F101C" w:rsidP="007B385C">
      <w:pPr>
        <w:spacing w:after="0" w:line="240" w:lineRule="auto"/>
      </w:pPr>
      <w:r>
        <w:t>Qualitative Mixed-Methods</w:t>
      </w:r>
      <w:r w:rsidR="007B385C">
        <w:t xml:space="preserve"> Designs</w:t>
      </w:r>
    </w:p>
    <w:p w:rsidR="001F101C" w:rsidRDefault="000E2A0B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>Sequential Exploratory Design</w:t>
      </w:r>
    </w:p>
    <w:p w:rsidR="00000A3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Interview Subjects </w:t>
      </w:r>
      <w:r>
        <w:sym w:font="Wingdings" w:char="F0E0"/>
      </w:r>
      <w:r>
        <w:t xml:space="preserve"> Explore Concepts </w:t>
      </w:r>
      <w:r>
        <w:sym w:font="Wingdings" w:char="F0E0"/>
      </w:r>
      <w:r>
        <w:t xml:space="preserve"> Administer Survey</w:t>
      </w:r>
    </w:p>
    <w:p w:rsidR="001F101C" w:rsidRDefault="001F101C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Sequential Explanatory </w:t>
      </w:r>
      <w:r w:rsidR="000E2A0B">
        <w:t>Design</w:t>
      </w:r>
    </w:p>
    <w:p w:rsidR="001F101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Administer Survey </w:t>
      </w:r>
      <w:r>
        <w:sym w:font="Wingdings" w:char="F0E0"/>
      </w:r>
      <w:r>
        <w:t xml:space="preserve"> Interview Subjects </w:t>
      </w:r>
      <w:r>
        <w:sym w:font="Wingdings" w:char="F0E0"/>
      </w:r>
      <w:r>
        <w:t xml:space="preserve"> Explain Results</w:t>
      </w:r>
    </w:p>
    <w:p w:rsidR="00410A8B" w:rsidRDefault="00410A8B" w:rsidP="00410A8B">
      <w:pPr>
        <w:spacing w:after="0" w:line="240" w:lineRule="auto"/>
      </w:pPr>
      <w:bookmarkStart w:id="0" w:name="_GoBack"/>
      <w:bookmarkEnd w:id="0"/>
    </w:p>
    <w:sectPr w:rsidR="00410A8B" w:rsidSect="007964A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934F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BB7D29">
      <w:rPr>
        <w:b/>
        <w:bCs/>
      </w:rPr>
      <w:fldChar w:fldCharType="begin"/>
    </w:r>
    <w:r w:rsidR="00BB7D29">
      <w:rPr>
        <w:b/>
        <w:bCs/>
      </w:rPr>
      <w:instrText xml:space="preserve"> SECTIONPAGES   \* MERGEFORMAT </w:instrText>
    </w:r>
    <w:r w:rsidR="00BB7D29">
      <w:rPr>
        <w:b/>
        <w:bCs/>
      </w:rPr>
      <w:fldChar w:fldCharType="separate"/>
    </w:r>
    <w:r w:rsidR="002934F0">
      <w:rPr>
        <w:b/>
        <w:bCs/>
        <w:noProof/>
      </w:rPr>
      <w:t>1</w:t>
    </w:r>
    <w:r w:rsidR="00BB7D29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934F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934F0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29" w:rsidRDefault="00BB7D29">
    <w:pPr>
      <w:pStyle w:val="Header"/>
    </w:pPr>
    <w:r>
      <w:t>SOC 5800 Survey Design and Sampling</w:t>
    </w:r>
  </w:p>
  <w:p w:rsidR="00BB7D29" w:rsidRDefault="00BB7D29">
    <w:pPr>
      <w:pStyle w:val="Header"/>
    </w:pPr>
    <w:r>
      <w:t>Lecture Notes</w:t>
    </w:r>
  </w:p>
  <w:p w:rsidR="00BB7D29" w:rsidRDefault="00BB7D29">
    <w:pPr>
      <w:pStyle w:val="Header"/>
    </w:pPr>
  </w:p>
  <w:p w:rsidR="00BB7D29" w:rsidRDefault="00BB7D29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310C3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310C3">
      <w:rPr>
        <w:b/>
        <w:bCs/>
        <w:noProof/>
      </w:rPr>
      <w:t>2</w:t>
    </w:r>
    <w:r>
      <w:rPr>
        <w:b/>
        <w:bCs/>
      </w:rPr>
      <w:fldChar w:fldCharType="end"/>
    </w:r>
  </w:p>
  <w:p w:rsidR="00BB7D29" w:rsidRDefault="00BB7D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7C4" w:rsidRDefault="00ED27C4">
    <w:pPr>
      <w:pStyle w:val="Header"/>
    </w:pPr>
    <w:r>
      <w:t>SOC 5800 Survey Design and Sampling</w:t>
    </w:r>
  </w:p>
  <w:p w:rsidR="00ED27C4" w:rsidRDefault="00ED27C4">
    <w:pPr>
      <w:pStyle w:val="Header"/>
    </w:pPr>
    <w:r>
      <w:t>Lecture Notes</w:t>
    </w:r>
  </w:p>
  <w:p w:rsidR="00ED27C4" w:rsidRDefault="00ED27C4">
    <w:pPr>
      <w:pStyle w:val="Header"/>
    </w:pPr>
  </w:p>
  <w:p w:rsidR="00ED27C4" w:rsidRDefault="00ED27C4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639AB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D639AB">
      <w:rPr>
        <w:b/>
        <w:bCs/>
        <w:noProof/>
      </w:rPr>
      <w:t>1</w:t>
    </w:r>
    <w:r>
      <w:rPr>
        <w:b/>
        <w:bCs/>
      </w:rPr>
      <w:fldChar w:fldCharType="end"/>
    </w:r>
  </w:p>
  <w:p w:rsidR="00ED27C4" w:rsidRDefault="00ED27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9B" w:rsidRDefault="003A1C9B">
    <w:pPr>
      <w:pStyle w:val="Header"/>
    </w:pPr>
    <w:r>
      <w:t>SOC 5800 Survey Design and Sampling</w:t>
    </w:r>
  </w:p>
  <w:p w:rsidR="003A1C9B" w:rsidRDefault="003A1C9B">
    <w:pPr>
      <w:pStyle w:val="Header"/>
    </w:pPr>
    <w:r>
      <w:t>Lecture Notes</w:t>
    </w:r>
  </w:p>
  <w:p w:rsidR="003A1C9B" w:rsidRDefault="003A1C9B">
    <w:pPr>
      <w:pStyle w:val="Header"/>
    </w:pPr>
  </w:p>
  <w:p w:rsidR="003A1C9B" w:rsidRDefault="003A1C9B">
    <w:pPr>
      <w:pStyle w:val="Header"/>
      <w:rPr>
        <w:b/>
        <w:bCs/>
      </w:rPr>
    </w:pPr>
    <w:r>
      <w:t xml:space="preserve">September 24,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310C3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310C3">
      <w:rPr>
        <w:b/>
        <w:bCs/>
        <w:noProof/>
      </w:rPr>
      <w:t>2</w:t>
    </w:r>
    <w:r>
      <w:rPr>
        <w:b/>
        <w:bCs/>
      </w:rPr>
      <w:fldChar w:fldCharType="end"/>
    </w:r>
  </w:p>
  <w:p w:rsidR="003A1C9B" w:rsidRDefault="003A1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15185"/>
    <w:multiLevelType w:val="hybridMultilevel"/>
    <w:tmpl w:val="55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07637"/>
    <w:multiLevelType w:val="hybridMultilevel"/>
    <w:tmpl w:val="E2E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E1499"/>
    <w:multiLevelType w:val="hybridMultilevel"/>
    <w:tmpl w:val="256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0A3C"/>
    <w:rsid w:val="00005C45"/>
    <w:rsid w:val="000311E6"/>
    <w:rsid w:val="000A2637"/>
    <w:rsid w:val="000E0913"/>
    <w:rsid w:val="000E2A0B"/>
    <w:rsid w:val="000F56E7"/>
    <w:rsid w:val="00103B02"/>
    <w:rsid w:val="00106517"/>
    <w:rsid w:val="001453EC"/>
    <w:rsid w:val="0019020E"/>
    <w:rsid w:val="001A67FD"/>
    <w:rsid w:val="001F101C"/>
    <w:rsid w:val="002036CF"/>
    <w:rsid w:val="002310FD"/>
    <w:rsid w:val="002539AB"/>
    <w:rsid w:val="002934F0"/>
    <w:rsid w:val="00295F97"/>
    <w:rsid w:val="002D3DFC"/>
    <w:rsid w:val="002D731E"/>
    <w:rsid w:val="00335537"/>
    <w:rsid w:val="0035629A"/>
    <w:rsid w:val="003A1C9B"/>
    <w:rsid w:val="003A69E2"/>
    <w:rsid w:val="003C0D8D"/>
    <w:rsid w:val="003C5440"/>
    <w:rsid w:val="003D1088"/>
    <w:rsid w:val="003E4215"/>
    <w:rsid w:val="00410A8B"/>
    <w:rsid w:val="004C6CDE"/>
    <w:rsid w:val="004F495B"/>
    <w:rsid w:val="00525A44"/>
    <w:rsid w:val="00543C16"/>
    <w:rsid w:val="00552F2A"/>
    <w:rsid w:val="005D40A7"/>
    <w:rsid w:val="00600496"/>
    <w:rsid w:val="00613337"/>
    <w:rsid w:val="006273BD"/>
    <w:rsid w:val="00703ADD"/>
    <w:rsid w:val="007964A2"/>
    <w:rsid w:val="007A45E5"/>
    <w:rsid w:val="007B385C"/>
    <w:rsid w:val="008736C8"/>
    <w:rsid w:val="008A2F38"/>
    <w:rsid w:val="008E2E3F"/>
    <w:rsid w:val="008F15E4"/>
    <w:rsid w:val="00902F51"/>
    <w:rsid w:val="009B14FD"/>
    <w:rsid w:val="00A13698"/>
    <w:rsid w:val="00A21AF1"/>
    <w:rsid w:val="00A42F59"/>
    <w:rsid w:val="00A6313D"/>
    <w:rsid w:val="00AA590C"/>
    <w:rsid w:val="00AD71EA"/>
    <w:rsid w:val="00AF365F"/>
    <w:rsid w:val="00B201D1"/>
    <w:rsid w:val="00B23BE0"/>
    <w:rsid w:val="00BA32C1"/>
    <w:rsid w:val="00BB7D29"/>
    <w:rsid w:val="00C2030D"/>
    <w:rsid w:val="00C2431D"/>
    <w:rsid w:val="00C310C3"/>
    <w:rsid w:val="00C861A9"/>
    <w:rsid w:val="00CA03F3"/>
    <w:rsid w:val="00CB0273"/>
    <w:rsid w:val="00CE1B56"/>
    <w:rsid w:val="00D241D4"/>
    <w:rsid w:val="00D428A7"/>
    <w:rsid w:val="00D639AB"/>
    <w:rsid w:val="00D93817"/>
    <w:rsid w:val="00DA7406"/>
    <w:rsid w:val="00DD0AC1"/>
    <w:rsid w:val="00DE21A5"/>
    <w:rsid w:val="00E11B7F"/>
    <w:rsid w:val="00E858BE"/>
    <w:rsid w:val="00EC46A7"/>
    <w:rsid w:val="00ED27C4"/>
    <w:rsid w:val="00F63921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A081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7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76</cp:revision>
  <dcterms:created xsi:type="dcterms:W3CDTF">2019-08-27T21:11:00Z</dcterms:created>
  <dcterms:modified xsi:type="dcterms:W3CDTF">2019-09-24T23:54:00Z</dcterms:modified>
</cp:coreProperties>
</file>