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3E35" w14:textId="77777777" w:rsidR="001158B1" w:rsidRPr="00354DE7" w:rsidRDefault="00354DE7" w:rsidP="00046642">
      <w:pPr>
        <w:pStyle w:val="Rubrik"/>
      </w:pPr>
      <w:r w:rsidRPr="00354DE7">
        <w:t>A prototype trade model with imports in two stages</w:t>
      </w:r>
    </w:p>
    <w:p w14:paraId="3D3D7E6D" w14:textId="77777777" w:rsidR="00354DE7" w:rsidRPr="00354DE7" w:rsidRDefault="00354DE7" w:rsidP="00354DE7">
      <w:pPr>
        <w:pStyle w:val="Rubrik1"/>
      </w:pPr>
      <w:r w:rsidRPr="00354DE7">
        <w:t>Purpose</w:t>
      </w:r>
    </w:p>
    <w:p w14:paraId="7B27E925" w14:textId="77777777" w:rsidR="00354DE7" w:rsidRDefault="00354DE7" w:rsidP="00354DE7">
      <w:r>
        <w:t xml:space="preserve">To build a didactic trade model with a small number of goods and regions, focusing on the import behaviour. The initial model shall have two </w:t>
      </w:r>
      <w:proofErr w:type="spellStart"/>
      <w:r>
        <w:t>Armington</w:t>
      </w:r>
      <w:proofErr w:type="spellEnd"/>
      <w:r>
        <w:t xml:space="preserve"> style CES nests aggregating imports of various origins to a single import flow and then imports and domestic origins to total consumption. The model shall be useful for developing a revised model that allows the creation of new trade flows that none existed in the calibration point.</w:t>
      </w:r>
    </w:p>
    <w:p w14:paraId="45283092" w14:textId="118A4266" w:rsidR="00354DE7" w:rsidRDefault="00F03B85" w:rsidP="00DC304F">
      <w:pPr>
        <w:pStyle w:val="Rubrik1"/>
      </w:pPr>
      <w:r>
        <w:t xml:space="preserve">The </w:t>
      </w:r>
      <w:r w:rsidR="006E3EC9">
        <w:t xml:space="preserve">standard </w:t>
      </w:r>
      <w:r>
        <w:t>CES model</w:t>
      </w:r>
    </w:p>
    <w:p w14:paraId="0021EF0B" w14:textId="79F362E6" w:rsidR="00F03B85" w:rsidRPr="00F03B85" w:rsidRDefault="00F03B85" w:rsidP="00F03B85">
      <w:r>
        <w:t xml:space="preserve">This chapter defines a standard economic trade model, focussing on details in the import behaviour and all but ignoring detail elsewhere. </w:t>
      </w:r>
      <w:r w:rsidR="00CE39B4">
        <w:t xml:space="preserve">Therefore, it contains two levels of CES-nests for import demand, but rather simple supply functions. Consumer prices are linked to producer prices by fixed absolute margins, and trade costs are fixed per unit. </w:t>
      </w:r>
      <w:r>
        <w:t>We describe demand theory first, then turn to the rest of the model with supply functions, price linkages and market balances. Finally, we derive conditions for calibrating the various parameters to a given baseline situation.</w:t>
      </w:r>
    </w:p>
    <w:p w14:paraId="59988DFF" w14:textId="548F1E4D" w:rsidR="00F03B85" w:rsidRPr="00F03B85" w:rsidRDefault="00F03B85" w:rsidP="00F03B85">
      <w:pPr>
        <w:pStyle w:val="Rubrik2"/>
      </w:pPr>
      <w:r>
        <w:t>Theory of demand with two-stage CES for imports</w:t>
      </w:r>
    </w:p>
    <w:p w14:paraId="31DC1BE5" w14:textId="693832DA" w:rsidR="00DC304F" w:rsidRDefault="00DC304F" w:rsidP="00DC304F">
      <w:pPr>
        <w:rPr>
          <w:rFonts w:eastAsiaTheme="minorEastAsia"/>
        </w:rPr>
      </w:pPr>
      <w:r>
        <w:t>We assume that for each good</w:t>
      </w:r>
      <w:r>
        <w:rPr>
          <w:rStyle w:val="Fotnotsreferens"/>
        </w:rPr>
        <w:footnoteReference w:id="1"/>
      </w:r>
      <w:r>
        <w:t xml:space="preserve">, the single consumer in region </w:t>
      </w:r>
      <m:oMath>
        <m:r>
          <w:rPr>
            <w:rFonts w:ascii="Cambria Math" w:hAnsi="Cambria Math"/>
          </w:rPr>
          <m:t>i</m:t>
        </m:r>
      </m:oMath>
      <w:r>
        <w:t xml:space="preserve"> acts as if minimizing the expenditure needed to reach a given level of utility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</m:oMath>
      <w:r>
        <w:rPr>
          <w:rFonts w:eastAsiaTheme="minorEastAsia"/>
        </w:rPr>
        <w:t>. The good can be of either domestic origin</w:t>
      </w:r>
      <w:r w:rsidR="006D70C6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 w:rsidR="00890FD3">
        <w:rPr>
          <w:rFonts w:eastAsiaTheme="minorEastAsia"/>
        </w:rPr>
        <w:t>,</w:t>
      </w:r>
      <w:r w:rsidR="006D70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or </w:t>
      </w:r>
      <w:r w:rsidR="00890FD3">
        <w:rPr>
          <w:rFonts w:eastAsiaTheme="minorEastAsia"/>
        </w:rPr>
        <w:t xml:space="preserve">a bundle of </w:t>
      </w:r>
      <w:r>
        <w:rPr>
          <w:rFonts w:eastAsiaTheme="minorEastAsia"/>
        </w:rPr>
        <w:t>imported</w:t>
      </w:r>
      <w:r w:rsidR="00890FD3">
        <w:rPr>
          <w:rFonts w:eastAsiaTheme="minorEastAsia"/>
        </w:rPr>
        <w:t xml:space="preserve"> commodities. Since we subsequently want to define another decision level defining the composition of the import bundle, we represent the import bundle by the utility level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890FD3">
        <w:rPr>
          <w:rFonts w:eastAsiaTheme="minorEastAsia"/>
        </w:rPr>
        <w:t xml:space="preserve"> and the associated price index of imports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890FD3">
        <w:rPr>
          <w:rFonts w:eastAsiaTheme="minorEastAsia"/>
        </w:rPr>
        <w:t>. The expenditure minimization problem then becomes:</w:t>
      </w:r>
    </w:p>
    <w:p w14:paraId="6426E546" w14:textId="77777777" w:rsidR="00DC304F" w:rsidRDefault="007B50E7" w:rsidP="00DC30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</m:e>
          </m:func>
        </m:oMath>
      </m:oMathPara>
    </w:p>
    <w:p w14:paraId="43369A67" w14:textId="77777777" w:rsidR="009C65CA" w:rsidRDefault="009C65CA" w:rsidP="00DC304F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20CE3172" w14:textId="3EF2BEA2" w:rsidR="009C65CA" w:rsidRPr="002C421F" w:rsidRDefault="007B50E7" w:rsidP="00DC30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dom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dem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imp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</m:oMath>
      </m:oMathPara>
    </w:p>
    <w:p w14:paraId="214B9598" w14:textId="5C6CC690" w:rsidR="002C421F" w:rsidRDefault="00036691" w:rsidP="00DC304F">
      <w:pPr>
        <w:rPr>
          <w:rFonts w:eastAsiaTheme="minorEastAsia"/>
        </w:rPr>
      </w:pPr>
      <w:r>
        <w:rPr>
          <w:rFonts w:eastAsiaTheme="minorEastAsia"/>
        </w:rPr>
        <w:t xml:space="preserve">If we write down the </w:t>
      </w:r>
      <w:r w:rsidR="006F0FFE">
        <w:rPr>
          <w:rFonts w:eastAsiaTheme="minorEastAsia"/>
        </w:rPr>
        <w:t xml:space="preserve">first-order conditions for an optimal solution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4E4E77">
        <w:rPr>
          <w:rFonts w:eastAsiaTheme="minorEastAsia"/>
        </w:rPr>
        <w:t xml:space="preserve">, and divide the former by the latter, we obtain the familiar expression defining the ratio of the </w:t>
      </w:r>
      <w:r w:rsidR="004E4E77">
        <w:rPr>
          <w:rFonts w:eastAsiaTheme="minorEastAsia"/>
        </w:rPr>
        <w:lastRenderedPageBreak/>
        <w:t xml:space="preserve">quantities as a constant elasticity function of the ratio of the associated prices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dom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imp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E4E77">
        <w:rPr>
          <w:rFonts w:eastAsiaTheme="minorEastAsia"/>
        </w:rPr>
        <w:t xml:space="preserve">, the share parameter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dem</m:t>
            </m:r>
          </m:sup>
        </m:sSubSup>
      </m:oMath>
      <w:r w:rsidR="004E4E77">
        <w:rPr>
          <w:rFonts w:eastAsiaTheme="minorEastAsia"/>
        </w:rPr>
        <w:t xml:space="preserve"> and the parameter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dem</m:t>
            </m:r>
          </m:sup>
        </m:sSubSup>
      </m:oMath>
      <w:r w:rsidR="004E4E77">
        <w:rPr>
          <w:rFonts w:eastAsiaTheme="minorEastAsia"/>
        </w:rPr>
        <w:t xml:space="preserve">, which is the </w:t>
      </w:r>
      <w:r w:rsidR="006F0FFE">
        <w:rPr>
          <w:rFonts w:eastAsiaTheme="minorEastAsia"/>
        </w:rPr>
        <w:t>are</w:t>
      </w:r>
      <w:r w:rsidR="004E4E77">
        <w:rPr>
          <w:rFonts w:eastAsiaTheme="minorEastAsia"/>
        </w:rPr>
        <w:t xml:space="preserve"> constant elasticity of substitution:</w:t>
      </w:r>
    </w:p>
    <w:p w14:paraId="430DF66A" w14:textId="0AC1BFC9" w:rsidR="006F0FFE" w:rsidRPr="004E4E77" w:rsidRDefault="004F3976" w:rsidP="00890FD3">
      <w:pPr>
        <w:pStyle w:val="Equation"/>
      </w:pPr>
      <w:r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dom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dom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dem</m:t>
                </m:r>
              </m:sup>
            </m:sSubSup>
          </m:sup>
        </m:sSup>
      </m:oMath>
      <w:r>
        <w:tab/>
        <w:t>(1)</w:t>
      </w:r>
    </w:p>
    <w:p w14:paraId="7185395F" w14:textId="500B0E58" w:rsidR="004E4E77" w:rsidRPr="006F0FFE" w:rsidRDefault="004E4E77" w:rsidP="00DC304F">
      <w:pPr>
        <w:rPr>
          <w:rFonts w:eastAsiaTheme="minorEastAsia"/>
        </w:rPr>
      </w:pPr>
      <w:r>
        <w:rPr>
          <w:rFonts w:eastAsiaTheme="minorEastAsia"/>
        </w:rPr>
        <w:t xml:space="preserve">The optimal solution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the dual value of utility returns the primal constraint, which is </w:t>
      </w:r>
      <w:r w:rsidR="003C6B60">
        <w:rPr>
          <w:rFonts w:eastAsiaTheme="minorEastAsia"/>
        </w:rPr>
        <w:t>the</w:t>
      </w:r>
      <w:r>
        <w:rPr>
          <w:rFonts w:eastAsiaTheme="minorEastAsia"/>
        </w:rPr>
        <w:t xml:space="preserve"> CES aggregator:</w:t>
      </w:r>
    </w:p>
    <w:p w14:paraId="6416CDF7" w14:textId="71804FDF" w:rsidR="006F0FFE" w:rsidRDefault="004F3976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dom</m:t>
                            </m:r>
                          </m:sup>
                        </m:sSub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</m:oMath>
      <w:r>
        <w:tab/>
        <w:t>(2)</w:t>
      </w:r>
    </w:p>
    <w:p w14:paraId="628510BA" w14:textId="5090CEE9" w:rsidR="004F3976" w:rsidRDefault="004F3976" w:rsidP="004F3976">
      <w:pPr>
        <w:pStyle w:val="Equation"/>
      </w:pPr>
      <w:r>
        <w:t xml:space="preserve">The import bundle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 xml:space="preserve"> is in turn a utility aggregate of the various import flows, and we assume that the cons</w:t>
      </w:r>
      <w:proofErr w:type="spellStart"/>
      <w:r>
        <w:t>umer</w:t>
      </w:r>
      <w:proofErr w:type="spellEnd"/>
      <w:r>
        <w:t xml:space="preserve"> chooses a combination of import quantities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trd</m:t>
            </m:r>
          </m:sup>
        </m:sSubSup>
      </m:oMath>
      <w:r>
        <w:t xml:space="preserve"> from each of the origins </w:t>
      </w:r>
      <m:oMath>
        <m:r>
          <w:rPr>
            <w:rFonts w:ascii="Cambria Math" w:hAnsi="Cambria Math"/>
          </w:rPr>
          <m:t>j</m:t>
        </m:r>
      </m:oMath>
      <w:r>
        <w:t xml:space="preserve">, trading at prices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cif</m:t>
            </m:r>
          </m:sup>
        </m:sSubSup>
      </m:oMath>
      <w:r>
        <w:t xml:space="preserve">, that minimize the expenditure needed to reach utility level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>, where the utility again is defined by a CES aggregator. The pr</w:t>
      </w:r>
      <w:proofErr w:type="spellStart"/>
      <w:r>
        <w:t>oblem</w:t>
      </w:r>
      <w:proofErr w:type="spellEnd"/>
      <w:r>
        <w:t xml:space="preserve"> to solve is:</w:t>
      </w:r>
    </w:p>
    <w:p w14:paraId="3467197B" w14:textId="44936166" w:rsidR="00191427" w:rsidRDefault="007B50E7" w:rsidP="004F397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cif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trd</m:t>
                      </m:r>
                    </m:sup>
                  </m:sSubSup>
                </m:e>
              </m:nary>
            </m:e>
          </m:func>
        </m:oMath>
      </m:oMathPara>
    </w:p>
    <w:p w14:paraId="3D433919" w14:textId="521BDA1C" w:rsidR="004F3976" w:rsidRDefault="004F3976" w:rsidP="004F3976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56F246BA" w14:textId="0492C6D2" w:rsidR="004F3976" w:rsidRPr="002C421F" w:rsidRDefault="007B50E7" w:rsidP="004F397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imp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imp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trd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imp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imp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imp</m:t>
              </m:r>
            </m:sup>
          </m:sSubSup>
        </m:oMath>
      </m:oMathPara>
    </w:p>
    <w:p w14:paraId="601563F0" w14:textId="1F2D52D3" w:rsidR="000F1C68" w:rsidRDefault="000F1C68" w:rsidP="00176824">
      <w:r>
        <w:t xml:space="preserve">It can be shown that the first-order conditions for </w:t>
      </w:r>
      <w:r w:rsidR="00652090">
        <w:t>the</w:t>
      </w:r>
      <w:r>
        <w:t xml:space="preserve"> solution </w:t>
      </w:r>
      <w:r w:rsidR="00652090">
        <w:t>to</w:t>
      </w:r>
      <w:r>
        <w:t xml:space="preserve"> this problem can be arranged to obtain the quantity of imports from each origin as a function of the ratio of its price to a certain price index of imports,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>:</w:t>
      </w:r>
    </w:p>
    <w:p w14:paraId="131ED3EF" w14:textId="508B1A69" w:rsidR="000F1C68" w:rsidRPr="00421026" w:rsidRDefault="00176824" w:rsidP="00176824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trd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e>
            </m:d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e>
            </m:d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cif</m:t>
                        </m:r>
                      </m:sup>
                    </m:sSubSup>
                  </m:den>
                </m:f>
              </m:e>
            </m:d>
          </m:e>
          <m:sub/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 xml:space="preserve">  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:i≠j</m:t>
        </m:r>
      </m:oMath>
      <w:r>
        <w:tab/>
        <w:t>(3)</w:t>
      </w:r>
    </w:p>
    <w:p w14:paraId="7F14A80B" w14:textId="6C6D77EC" w:rsidR="00421026" w:rsidRPr="00421026" w:rsidRDefault="00176824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trd</m:t>
                                </m:r>
                              </m:sup>
                            </m:sSub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</m:den>
                        </m:f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  <m:r>
                  <w:rPr>
                    <w:rFonts w:ascii="Cambria Math" w:hAnsi="Cambria Math"/>
                  </w:rPr>
                  <m:t>-1</m:t>
                </m:r>
              </m:den>
            </m:f>
          </m:sup>
        </m:sSup>
      </m:oMath>
      <w:r>
        <w:tab/>
        <w:t>(4)</w:t>
      </w:r>
    </w:p>
    <w:p w14:paraId="222235A6" w14:textId="5B75F796" w:rsidR="00421026" w:rsidRDefault="00176824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≠i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</m:e>
                        </m:d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cif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den>
            </m:f>
          </m:sup>
        </m:sSup>
      </m:oMath>
      <w:r>
        <w:tab/>
        <w:t>(5)</w:t>
      </w:r>
    </w:p>
    <w:p w14:paraId="097785C9" w14:textId="3A28B0FF" w:rsidR="00AD02EF" w:rsidRDefault="007D0C2F" w:rsidP="007D0C2F">
      <w:pPr>
        <w:pStyle w:val="Rubrik2"/>
        <w:rPr>
          <w:rFonts w:eastAsiaTheme="minorEastAsia"/>
        </w:rPr>
      </w:pPr>
      <w:r>
        <w:rPr>
          <w:rFonts w:eastAsiaTheme="minorEastAsia"/>
        </w:rPr>
        <w:lastRenderedPageBreak/>
        <w:t>Supply functions, price linkages and market balances</w:t>
      </w:r>
    </w:p>
    <w:p w14:paraId="2196E5B1" w14:textId="0BD73CE1" w:rsidR="00B0516F" w:rsidRDefault="00B0516F" w:rsidP="00B0516F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 xml:space="preserve">he quantity </w:t>
      </w:r>
      <w:r>
        <w:rPr>
          <w:rFonts w:eastAsiaTheme="minorEastAsia"/>
        </w:rPr>
        <w:t xml:space="preserve">produced,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sup</m:t>
            </m:r>
          </m:sup>
        </m:sSubSup>
      </m:oMath>
      <w:r>
        <w:rPr>
          <w:rFonts w:eastAsiaTheme="minorEastAsia"/>
        </w:rPr>
        <w:t xml:space="preserve">, must </w:t>
      </w:r>
      <w:r>
        <w:rPr>
          <w:rFonts w:eastAsiaTheme="minorEastAsia"/>
        </w:rPr>
        <w:t>equal the sum of domestic demand and exports:</w:t>
      </w:r>
    </w:p>
    <w:p w14:paraId="34F6865A" w14:textId="1FDBC4E4" w:rsidR="00B0516F" w:rsidRPr="00657C75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dom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trd</m:t>
                </m:r>
              </m:sup>
            </m:sSubSup>
          </m:e>
        </m:nary>
      </m:oMath>
      <w:r>
        <w:t xml:space="preserve"> </w:t>
      </w:r>
      <w:r>
        <w:tab/>
        <w:t>(</w:t>
      </w:r>
      <w:r>
        <w:t>6</w:t>
      </w:r>
      <w:r>
        <w:t>)</w:t>
      </w:r>
    </w:p>
    <w:p w14:paraId="461AF34A" w14:textId="111928C2" w:rsidR="007D0C2F" w:rsidRDefault="00CE39B4" w:rsidP="007D0C2F">
      <w:r>
        <w:t xml:space="preserve">The supply quantity is </w:t>
      </w:r>
      <w:r w:rsidR="00B0516F">
        <w:t xml:space="preserve">related to the producer price,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</m:oMath>
      <w:r w:rsidR="00B0516F">
        <w:t xml:space="preserve">, </w:t>
      </w:r>
      <w:r>
        <w:t>by a function exhibiting constant elasticity of supply:</w:t>
      </w:r>
    </w:p>
    <w:p w14:paraId="2E6BDA8A" w14:textId="6F8500CF" w:rsidR="00CE39B4" w:rsidRPr="00CE39B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prod</m:t>
                    </m:r>
                  </m:sup>
                </m:sSubSup>
              </m:e>
            </m:d>
          </m:e>
          <m:sub/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sup</m:t>
                </m:r>
              </m:sup>
            </m:sSubSup>
          </m:sup>
        </m:sSubSup>
      </m:oMath>
      <w:r>
        <w:t xml:space="preserve"> </w:t>
      </w:r>
      <w:r>
        <w:tab/>
        <w:t>(7)</w:t>
      </w:r>
    </w:p>
    <w:p w14:paraId="3B6779ED" w14:textId="6328F023" w:rsidR="00CE39B4" w:rsidRDefault="00CE39B4" w:rsidP="007D0C2F">
      <w:pPr>
        <w:rPr>
          <w:rFonts w:eastAsiaTheme="minorEastAsia"/>
        </w:rPr>
      </w:pPr>
      <w:r>
        <w:rPr>
          <w:rFonts w:eastAsiaTheme="minorEastAsia"/>
        </w:rPr>
        <w:t xml:space="preserve">The producer price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</m:oMath>
      <w:r w:rsidR="00A45C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linked to domestic consumer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>
        <w:rPr>
          <w:rFonts w:eastAsiaTheme="minorEastAsia"/>
        </w:rPr>
        <w:t xml:space="preserve"> and export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fob</m:t>
            </m:r>
          </m:sup>
        </m:sSubSup>
      </m:oMath>
      <w:r>
        <w:rPr>
          <w:rFonts w:eastAsiaTheme="minorEastAsia"/>
        </w:rPr>
        <w:t xml:space="preserve"> with a fixed price mark-up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pmrg</m:t>
            </m:r>
          </m:sup>
        </m:sSubSup>
      </m:oMath>
      <w:r w:rsidR="00A45C44">
        <w:rPr>
          <w:rFonts w:eastAsiaTheme="minorEastAsia"/>
        </w:rPr>
        <w:t>. This implies that producers are indifferent to producing for the home market and the export market in this model:</w:t>
      </w:r>
    </w:p>
    <w:p w14:paraId="324AF6AC" w14:textId="541166BE" w:rsidR="00A45C44" w:rsidRPr="00A45C4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dom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pmrg</m:t>
            </m:r>
          </m:sup>
        </m:sSubSup>
      </m:oMath>
      <w:r>
        <w:tab/>
        <w:t>(</w:t>
      </w:r>
      <w:r w:rsidR="00075A76">
        <w:t>8</w:t>
      </w:r>
      <w:r>
        <w:t>)</w:t>
      </w:r>
    </w:p>
    <w:p w14:paraId="74211D10" w14:textId="4073984B" w:rsidR="00A45C44" w:rsidRPr="00A45C4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fob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pmrg</m:t>
            </m:r>
          </m:sup>
        </m:sSubSup>
      </m:oMath>
      <w:r>
        <w:tab/>
        <w:t>(</w:t>
      </w:r>
      <w:r w:rsidR="00075A76">
        <w:t>9</w:t>
      </w:r>
      <w:r>
        <w:t>)</w:t>
      </w:r>
    </w:p>
    <w:p w14:paraId="44F82B60" w14:textId="5D4DD2F6" w:rsidR="00A45C44" w:rsidRDefault="00DD6611" w:rsidP="007D0C2F">
      <w:pPr>
        <w:rPr>
          <w:rFonts w:eastAsiaTheme="minorEastAsia"/>
        </w:rPr>
      </w:pPr>
      <w:r>
        <w:rPr>
          <w:rFonts w:eastAsiaTheme="minorEastAsia"/>
        </w:rPr>
        <w:t xml:space="preserve">The import price of each origin is linked to the export price in the region of origin via a fixed per-unit trade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:</w:t>
      </w:r>
    </w:p>
    <w:p w14:paraId="0DA31A3C" w14:textId="0491FA46" w:rsidR="00DD6611" w:rsidRPr="00DD6611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cif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fob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:i≠j</m:t>
        </m:r>
      </m:oMath>
      <w:r>
        <w:t xml:space="preserve"> </w:t>
      </w:r>
      <w:r>
        <w:tab/>
        <w:t>(</w:t>
      </w:r>
      <w:r w:rsidR="00075A76">
        <w:t>10</w:t>
      </w:r>
      <w:r>
        <w:t>)</w:t>
      </w:r>
    </w:p>
    <w:p w14:paraId="541D1188" w14:textId="6D8428F9" w:rsidR="00657C75" w:rsidRDefault="00657C75" w:rsidP="007D0C2F"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check that the model contains the same number of variables as there are equations, it is useful to </w:t>
      </w:r>
      <w:r w:rsidR="00821651">
        <w:rPr>
          <w:rFonts w:eastAsiaTheme="minorEastAsia"/>
          <w:i/>
          <w:iCs/>
        </w:rPr>
        <w:t xml:space="preserve">pair </w:t>
      </w:r>
      <w:r w:rsidR="00821651">
        <w:t>each variable with one equation that has the identical number of index positions.</w:t>
      </w:r>
    </w:p>
    <w:p w14:paraId="0224BBBE" w14:textId="60E5D9E2" w:rsidR="00E22B98" w:rsidRDefault="00E22B98" w:rsidP="007D0C2F">
      <w:r>
        <w:t>Table 1: Pairing variables and equations</w:t>
      </w:r>
    </w:p>
    <w:tbl>
      <w:tblPr>
        <w:tblStyle w:val="Oformateradtabell2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22B98" w14:paraId="410B8563" w14:textId="77777777" w:rsidTr="003E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27F1679A" w14:textId="3A6018D5" w:rsidR="00E22B98" w:rsidRDefault="00E22B98" w:rsidP="006E275F">
            <w:pPr>
              <w:jc w:val="center"/>
            </w:pPr>
            <w:r>
              <w:t>Equation</w:t>
            </w:r>
          </w:p>
        </w:tc>
        <w:tc>
          <w:tcPr>
            <w:tcW w:w="2254" w:type="dxa"/>
          </w:tcPr>
          <w:p w14:paraId="73203D6F" w14:textId="53B21294" w:rsidR="00E22B98" w:rsidRDefault="00E22B98" w:rsidP="006E275F">
            <w:pPr>
              <w:jc w:val="center"/>
            </w:pPr>
            <w:r>
              <w:t>Nr of instances</w:t>
            </w:r>
          </w:p>
        </w:tc>
        <w:tc>
          <w:tcPr>
            <w:tcW w:w="2254" w:type="dxa"/>
          </w:tcPr>
          <w:p w14:paraId="36E1B7E5" w14:textId="48F53AA6" w:rsidR="00E22B98" w:rsidRDefault="00E22B98" w:rsidP="006E275F">
            <w:pPr>
              <w:jc w:val="center"/>
            </w:pPr>
            <w:r>
              <w:t>Variable</w:t>
            </w:r>
          </w:p>
        </w:tc>
        <w:tc>
          <w:tcPr>
            <w:tcW w:w="2254" w:type="dxa"/>
          </w:tcPr>
          <w:p w14:paraId="0C58ADAD" w14:textId="2BE73B97" w:rsidR="00E22B98" w:rsidRDefault="00E22B98" w:rsidP="006E275F">
            <w:pPr>
              <w:jc w:val="center"/>
            </w:pPr>
            <w:r>
              <w:t>Nr of instances</w:t>
            </w:r>
          </w:p>
        </w:tc>
      </w:tr>
      <w:tr w:rsidR="00E22B98" w14:paraId="705B228F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72090200" w14:textId="170DC172" w:rsidR="00E22B98" w:rsidRDefault="00E22B98" w:rsidP="003E41F5">
            <w:pPr>
              <w:jc w:val="center"/>
            </w:pPr>
            <w:r>
              <w:t>(1)</w:t>
            </w:r>
          </w:p>
        </w:tc>
        <w:tc>
          <w:tcPr>
            <w:tcW w:w="2254" w:type="dxa"/>
          </w:tcPr>
          <w:p w14:paraId="5E9EAE70" w14:textId="1E411866" w:rsidR="00E22B98" w:rsidRPr="00E22B98" w:rsidRDefault="00E22B98" w:rsidP="003E41F5">
            <w:pPr>
              <w:jc w:val="center"/>
              <w:rPr>
                <w:i/>
                <w:iCs/>
              </w:rPr>
            </w:pPr>
            <w:r w:rsidRPr="00E22B98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0896E305" w14:textId="2AF7814D" w:rsidR="00E22B98" w:rsidRDefault="00E22B98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dom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1F8FF29D" w14:textId="314EDC17" w:rsidR="00E22B98" w:rsidRPr="00E22B98" w:rsidRDefault="00E22B98" w:rsidP="003E41F5">
            <w:pPr>
              <w:jc w:val="center"/>
              <w:rPr>
                <w:i/>
                <w:iCs/>
              </w:rPr>
            </w:pPr>
            <w:r w:rsidRPr="00E22B98">
              <w:rPr>
                <w:i/>
                <w:iCs/>
              </w:rPr>
              <w:t>n</w:t>
            </w:r>
          </w:p>
        </w:tc>
      </w:tr>
      <w:tr w:rsidR="00E22B98" w14:paraId="787D7479" w14:textId="77777777" w:rsidTr="003E41F5">
        <w:tc>
          <w:tcPr>
            <w:tcW w:w="2254" w:type="dxa"/>
          </w:tcPr>
          <w:p w14:paraId="7349CA9F" w14:textId="098B6623" w:rsidR="00E22B98" w:rsidRDefault="00F054F0" w:rsidP="003E41F5">
            <w:pPr>
              <w:jc w:val="center"/>
            </w:pPr>
            <w:r>
              <w:t>(2)</w:t>
            </w:r>
          </w:p>
        </w:tc>
        <w:tc>
          <w:tcPr>
            <w:tcW w:w="2254" w:type="dxa"/>
          </w:tcPr>
          <w:p w14:paraId="70EF2D92" w14:textId="4A22A782" w:rsidR="00E22B98" w:rsidRPr="00E22B98" w:rsidRDefault="00E22B98" w:rsidP="003E41F5">
            <w:pPr>
              <w:jc w:val="center"/>
              <w:rPr>
                <w:i/>
                <w:iCs/>
              </w:rPr>
            </w:pPr>
          </w:p>
        </w:tc>
        <w:tc>
          <w:tcPr>
            <w:tcW w:w="2254" w:type="dxa"/>
          </w:tcPr>
          <w:p w14:paraId="22B424F7" w14:textId="386D09ED" w:rsidR="00E22B98" w:rsidRDefault="00F054F0" w:rsidP="003E41F5">
            <w:pPr>
              <w:jc w:val="center"/>
            </w:pPr>
            <w:r>
              <w:t>(Not used)</w:t>
            </w:r>
          </w:p>
        </w:tc>
        <w:tc>
          <w:tcPr>
            <w:tcW w:w="2254" w:type="dxa"/>
          </w:tcPr>
          <w:p w14:paraId="73FAD2FF" w14:textId="007D3626" w:rsidR="00E22B98" w:rsidRPr="00E22B98" w:rsidRDefault="00E22B98" w:rsidP="003E41F5">
            <w:pPr>
              <w:jc w:val="center"/>
              <w:rPr>
                <w:i/>
                <w:iCs/>
              </w:rPr>
            </w:pPr>
          </w:p>
        </w:tc>
      </w:tr>
      <w:tr w:rsidR="00E22B98" w14:paraId="12376952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7FEA3F43" w14:textId="1EB1B633" w:rsidR="00E22B98" w:rsidRDefault="007B50E7" w:rsidP="003E41F5">
            <w:pPr>
              <w:jc w:val="center"/>
            </w:pPr>
            <w:r>
              <w:t>(3)</w:t>
            </w:r>
          </w:p>
        </w:tc>
        <w:tc>
          <w:tcPr>
            <w:tcW w:w="2254" w:type="dxa"/>
          </w:tcPr>
          <w:p w14:paraId="5889F08A" w14:textId="544E1605" w:rsidR="00E22B98" w:rsidRDefault="007B50E7" w:rsidP="003E41F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2254" w:type="dxa"/>
          </w:tcPr>
          <w:p w14:paraId="3EDDBA12" w14:textId="4ECE3498" w:rsidR="00E22B98" w:rsidRDefault="00A27C32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trd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5B381982" w14:textId="518C9F7F" w:rsidR="00E22B98" w:rsidRDefault="00A27C32" w:rsidP="003E41F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</w:tr>
      <w:tr w:rsidR="00E22B98" w14:paraId="6F636F91" w14:textId="77777777" w:rsidTr="003E41F5">
        <w:tc>
          <w:tcPr>
            <w:tcW w:w="2254" w:type="dxa"/>
          </w:tcPr>
          <w:p w14:paraId="72D02123" w14:textId="5432CCA1" w:rsidR="00E22B98" w:rsidRDefault="00A27C32" w:rsidP="003E41F5">
            <w:pPr>
              <w:jc w:val="center"/>
            </w:pPr>
            <w:r>
              <w:t>(4)</w:t>
            </w:r>
          </w:p>
        </w:tc>
        <w:tc>
          <w:tcPr>
            <w:tcW w:w="2254" w:type="dxa"/>
          </w:tcPr>
          <w:p w14:paraId="35943E51" w14:textId="43DA13AC" w:rsidR="00E22B98" w:rsidRPr="00F054F0" w:rsidRDefault="00F054F0" w:rsidP="003E41F5">
            <w:pPr>
              <w:jc w:val="center"/>
              <w:rPr>
                <w:i/>
                <w:iCs/>
              </w:rPr>
            </w:pPr>
            <w:r w:rsidRPr="00F054F0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132773FC" w14:textId="3AEA897C" w:rsidR="00E22B98" w:rsidRDefault="00F054F0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6B9933C1" w14:textId="203187DA" w:rsidR="00E22B98" w:rsidRPr="00F054F0" w:rsidRDefault="00F054F0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E22B98" w14:paraId="5D1F493E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4BC02A3" w14:textId="7CA0B705" w:rsidR="00E22B98" w:rsidRDefault="00A27C32" w:rsidP="003E41F5">
            <w:pPr>
              <w:jc w:val="center"/>
            </w:pPr>
            <w:r>
              <w:t>(5)</w:t>
            </w:r>
          </w:p>
        </w:tc>
        <w:tc>
          <w:tcPr>
            <w:tcW w:w="2254" w:type="dxa"/>
          </w:tcPr>
          <w:p w14:paraId="4BBE15E2" w14:textId="3C9A3B18" w:rsidR="00E22B98" w:rsidRPr="00A27C32" w:rsidRDefault="00A27C32" w:rsidP="003E41F5">
            <w:pPr>
              <w:jc w:val="center"/>
              <w:rPr>
                <w:i/>
                <w:iCs/>
              </w:rPr>
            </w:pPr>
            <w:r w:rsidRPr="00A27C32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565A63CE" w14:textId="501B0C7E" w:rsidR="00E22B98" w:rsidRDefault="00A27C32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64B3B478" w14:textId="0985DAB0" w:rsidR="00E22B98" w:rsidRPr="00A27C32" w:rsidRDefault="00A27C32" w:rsidP="003E41F5">
            <w:pPr>
              <w:jc w:val="center"/>
              <w:rPr>
                <w:i/>
                <w:iCs/>
              </w:rPr>
            </w:pPr>
            <w:r w:rsidRPr="00A27C32">
              <w:rPr>
                <w:i/>
                <w:iCs/>
              </w:rPr>
              <w:t>n</w:t>
            </w:r>
          </w:p>
        </w:tc>
      </w:tr>
      <w:tr w:rsidR="00E22B98" w14:paraId="662CCA06" w14:textId="77777777" w:rsidTr="003E41F5">
        <w:tc>
          <w:tcPr>
            <w:tcW w:w="2254" w:type="dxa"/>
          </w:tcPr>
          <w:p w14:paraId="1449ADB6" w14:textId="6D62FDC5" w:rsidR="00E22B98" w:rsidRDefault="00B0516F" w:rsidP="003E41F5">
            <w:pPr>
              <w:jc w:val="center"/>
            </w:pPr>
            <w:r>
              <w:t>(6)</w:t>
            </w:r>
          </w:p>
        </w:tc>
        <w:tc>
          <w:tcPr>
            <w:tcW w:w="2254" w:type="dxa"/>
          </w:tcPr>
          <w:p w14:paraId="6999DEF4" w14:textId="09AE50CD" w:rsidR="00E22B98" w:rsidRPr="00075A76" w:rsidRDefault="00B0516F" w:rsidP="003E41F5">
            <w:pPr>
              <w:jc w:val="center"/>
              <w:rPr>
                <w:i/>
                <w:iCs/>
              </w:rPr>
            </w:pPr>
            <w:r w:rsidRPr="00075A76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4F0B2D8D" w14:textId="758D4EDE" w:rsidR="00E22B98" w:rsidRDefault="00B0516F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sup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7ADF5E2C" w14:textId="3102D98C" w:rsidR="00E22B98" w:rsidRPr="00075A76" w:rsidRDefault="00075A76" w:rsidP="003E41F5">
            <w:pPr>
              <w:jc w:val="center"/>
              <w:rPr>
                <w:i/>
                <w:iCs/>
              </w:rPr>
            </w:pPr>
            <w:r w:rsidRPr="00075A76">
              <w:rPr>
                <w:i/>
                <w:iCs/>
              </w:rPr>
              <w:t>n</w:t>
            </w:r>
          </w:p>
        </w:tc>
      </w:tr>
      <w:tr w:rsidR="00075A76" w14:paraId="3241CD8C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618F2FD9" w14:textId="2C874A0F" w:rsidR="00075A76" w:rsidRDefault="00075A76" w:rsidP="003E41F5">
            <w:pPr>
              <w:jc w:val="center"/>
            </w:pPr>
            <w:r>
              <w:t>(7)</w:t>
            </w:r>
          </w:p>
        </w:tc>
        <w:tc>
          <w:tcPr>
            <w:tcW w:w="2254" w:type="dxa"/>
          </w:tcPr>
          <w:p w14:paraId="4D2B86F3" w14:textId="5D30E901" w:rsidR="00075A76" w:rsidRP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19E5006E" w14:textId="2A996390" w:rsidR="00075A76" w:rsidRDefault="00075A76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prod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014E41E0" w14:textId="7D5FFFDD" w:rsidR="00075A76" w:rsidRP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075A76" w14:paraId="6AE48EB5" w14:textId="77777777" w:rsidTr="003E41F5">
        <w:tc>
          <w:tcPr>
            <w:tcW w:w="2254" w:type="dxa"/>
          </w:tcPr>
          <w:p w14:paraId="4915ABDC" w14:textId="6983E0B8" w:rsidR="00075A76" w:rsidRDefault="00075A76" w:rsidP="003E41F5">
            <w:pPr>
              <w:jc w:val="center"/>
            </w:pPr>
            <w:r>
              <w:t>(8)</w:t>
            </w:r>
          </w:p>
        </w:tc>
        <w:tc>
          <w:tcPr>
            <w:tcW w:w="2254" w:type="dxa"/>
          </w:tcPr>
          <w:p w14:paraId="5F6EF375" w14:textId="0350D587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3E7EB5DB" w14:textId="42FBFEAB" w:rsidR="00075A76" w:rsidRDefault="00075A76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dom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1E13710C" w14:textId="2A11B86C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075A76" w14:paraId="7E59A62D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F83E15A" w14:textId="7887498E" w:rsidR="00075A76" w:rsidRDefault="00075A76" w:rsidP="003E41F5">
            <w:pPr>
              <w:jc w:val="center"/>
            </w:pPr>
            <w:r>
              <w:t>(9)</w:t>
            </w:r>
          </w:p>
        </w:tc>
        <w:tc>
          <w:tcPr>
            <w:tcW w:w="2254" w:type="dxa"/>
          </w:tcPr>
          <w:p w14:paraId="6169316E" w14:textId="791DCB83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1B9A2CD8" w14:textId="104320AB" w:rsidR="00075A76" w:rsidRDefault="00AA0573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fob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04B712D2" w14:textId="6B94E0E7" w:rsidR="00075A76" w:rsidRDefault="00AA0573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AA0573" w14:paraId="0998E5B9" w14:textId="77777777" w:rsidTr="003E41F5">
        <w:tc>
          <w:tcPr>
            <w:tcW w:w="2254" w:type="dxa"/>
          </w:tcPr>
          <w:p w14:paraId="0575F4AB" w14:textId="490821E6" w:rsidR="00AA0573" w:rsidRDefault="00AA0573" w:rsidP="003E41F5">
            <w:pPr>
              <w:jc w:val="center"/>
            </w:pPr>
            <w:r>
              <w:t>(10)</w:t>
            </w:r>
          </w:p>
        </w:tc>
        <w:tc>
          <w:tcPr>
            <w:tcW w:w="2254" w:type="dxa"/>
          </w:tcPr>
          <w:p w14:paraId="1937F042" w14:textId="587B20A0" w:rsidR="00AA0573" w:rsidRDefault="00F0648F" w:rsidP="003E41F5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n(n-1)</m:t>
                </m:r>
              </m:oMath>
            </m:oMathPara>
          </w:p>
        </w:tc>
        <w:tc>
          <w:tcPr>
            <w:tcW w:w="2254" w:type="dxa"/>
          </w:tcPr>
          <w:p w14:paraId="1208C6EE" w14:textId="5C01C66F" w:rsidR="00AA0573" w:rsidRDefault="00AA0573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cif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75C45FB7" w14:textId="3ABF67E6" w:rsidR="00AA0573" w:rsidRDefault="00F0648F" w:rsidP="003E41F5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n(n-1)</m:t>
                </m:r>
              </m:oMath>
            </m:oMathPara>
          </w:p>
        </w:tc>
      </w:tr>
    </w:tbl>
    <w:p w14:paraId="36E6B12C" w14:textId="4BDF6F36" w:rsidR="00E22B98" w:rsidRPr="00821651" w:rsidRDefault="00E22B98" w:rsidP="007D0C2F"/>
    <w:sectPr w:rsidR="00E22B98" w:rsidRPr="00821651" w:rsidSect="0035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FD35" w14:textId="77777777" w:rsidR="00325114" w:rsidRDefault="00325114" w:rsidP="00DC304F">
      <w:pPr>
        <w:spacing w:after="0" w:line="240" w:lineRule="auto"/>
      </w:pPr>
      <w:r>
        <w:separator/>
      </w:r>
    </w:p>
  </w:endnote>
  <w:endnote w:type="continuationSeparator" w:id="0">
    <w:p w14:paraId="761A1E2A" w14:textId="77777777" w:rsidR="00325114" w:rsidRDefault="00325114" w:rsidP="00DC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B715F" w14:textId="77777777" w:rsidR="00325114" w:rsidRDefault="00325114" w:rsidP="00DC304F">
      <w:pPr>
        <w:spacing w:after="0" w:line="240" w:lineRule="auto"/>
      </w:pPr>
      <w:r>
        <w:separator/>
      </w:r>
    </w:p>
  </w:footnote>
  <w:footnote w:type="continuationSeparator" w:id="0">
    <w:p w14:paraId="28DFB06B" w14:textId="77777777" w:rsidR="00325114" w:rsidRDefault="00325114" w:rsidP="00DC304F">
      <w:pPr>
        <w:spacing w:after="0" w:line="240" w:lineRule="auto"/>
      </w:pPr>
      <w:r>
        <w:continuationSeparator/>
      </w:r>
    </w:p>
  </w:footnote>
  <w:footnote w:id="1">
    <w:p w14:paraId="5BD3E424" w14:textId="77777777" w:rsidR="007B50E7" w:rsidRPr="006F0FFE" w:rsidRDefault="007B50E7">
      <w:pPr>
        <w:pStyle w:val="Fotnotstext"/>
      </w:pPr>
      <w:r>
        <w:rPr>
          <w:rStyle w:val="Fotnotsreferens"/>
        </w:rPr>
        <w:footnoteRef/>
      </w:r>
      <w:r>
        <w:t xml:space="preserve"> For simplicity of exposition, we assume that there is only one single good. The GAMS models </w:t>
      </w:r>
      <w:proofErr w:type="gramStart"/>
      <w:r>
        <w:t>allows</w:t>
      </w:r>
      <w:proofErr w:type="gramEnd"/>
      <w:r>
        <w:t xml:space="preserve"> for an additional index “comm” containing the set of commodities modelled.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E7"/>
    <w:rsid w:val="0003276D"/>
    <w:rsid w:val="00036691"/>
    <w:rsid w:val="00046642"/>
    <w:rsid w:val="00065DAD"/>
    <w:rsid w:val="00075A76"/>
    <w:rsid w:val="000F1C68"/>
    <w:rsid w:val="00112AB6"/>
    <w:rsid w:val="001158B1"/>
    <w:rsid w:val="0014509D"/>
    <w:rsid w:val="0016701F"/>
    <w:rsid w:val="00176824"/>
    <w:rsid w:val="00191427"/>
    <w:rsid w:val="001E413D"/>
    <w:rsid w:val="001F379C"/>
    <w:rsid w:val="002C421F"/>
    <w:rsid w:val="00325114"/>
    <w:rsid w:val="003252FB"/>
    <w:rsid w:val="00332A01"/>
    <w:rsid w:val="00336036"/>
    <w:rsid w:val="00337169"/>
    <w:rsid w:val="00354DE7"/>
    <w:rsid w:val="003C6B60"/>
    <w:rsid w:val="003E41F5"/>
    <w:rsid w:val="004032B1"/>
    <w:rsid w:val="00421026"/>
    <w:rsid w:val="004E4E77"/>
    <w:rsid w:val="004F3976"/>
    <w:rsid w:val="0060115F"/>
    <w:rsid w:val="00626052"/>
    <w:rsid w:val="00652090"/>
    <w:rsid w:val="00657C75"/>
    <w:rsid w:val="006B0B2E"/>
    <w:rsid w:val="006B616E"/>
    <w:rsid w:val="006D70C6"/>
    <w:rsid w:val="006E275F"/>
    <w:rsid w:val="006E3EC9"/>
    <w:rsid w:val="006E6E4B"/>
    <w:rsid w:val="006F0FFE"/>
    <w:rsid w:val="006F3F57"/>
    <w:rsid w:val="00724365"/>
    <w:rsid w:val="00746987"/>
    <w:rsid w:val="00755316"/>
    <w:rsid w:val="00784437"/>
    <w:rsid w:val="007B50E7"/>
    <w:rsid w:val="007D0C2F"/>
    <w:rsid w:val="007E31FE"/>
    <w:rsid w:val="00821651"/>
    <w:rsid w:val="00890FD3"/>
    <w:rsid w:val="008B38DF"/>
    <w:rsid w:val="008F47A5"/>
    <w:rsid w:val="009C65CA"/>
    <w:rsid w:val="00A27C32"/>
    <w:rsid w:val="00A45C44"/>
    <w:rsid w:val="00AA0573"/>
    <w:rsid w:val="00AB7986"/>
    <w:rsid w:val="00AD02EF"/>
    <w:rsid w:val="00B0516F"/>
    <w:rsid w:val="00B44BB2"/>
    <w:rsid w:val="00B53026"/>
    <w:rsid w:val="00B836AA"/>
    <w:rsid w:val="00CE39B4"/>
    <w:rsid w:val="00DC304F"/>
    <w:rsid w:val="00DD6611"/>
    <w:rsid w:val="00E22B98"/>
    <w:rsid w:val="00E37AC9"/>
    <w:rsid w:val="00F03B85"/>
    <w:rsid w:val="00F054F0"/>
    <w:rsid w:val="00F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53213"/>
  <w15:docId w15:val="{73FEE66C-026C-4960-8677-94805B2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E7"/>
    <w:rPr>
      <w:rFonts w:ascii="Times New Roman" w:hAnsi="Times New Roman"/>
      <w:sz w:val="24"/>
      <w:lang w:val="en-GB"/>
    </w:rPr>
  </w:style>
  <w:style w:type="paragraph" w:styleId="Rubrik1">
    <w:name w:val="heading 1"/>
    <w:basedOn w:val="Rubrik"/>
    <w:next w:val="Normal"/>
    <w:link w:val="Rubrik1Char"/>
    <w:uiPriority w:val="9"/>
    <w:qFormat/>
    <w:rsid w:val="00337169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337169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MathsuperNumber">
    <w:name w:val="Math_superNumber"/>
    <w:basedOn w:val="Standardstycketeckensnitt"/>
    <w:uiPriority w:val="1"/>
    <w:rsid w:val="00626052"/>
    <w:rPr>
      <w:i w:val="0"/>
      <w:noProof/>
      <w:vertAlign w:val="superscript"/>
    </w:rPr>
  </w:style>
  <w:style w:type="character" w:customStyle="1" w:styleId="MathsubNumber">
    <w:name w:val="Math_subNumber"/>
    <w:basedOn w:val="Standardstycketeckensnitt"/>
    <w:uiPriority w:val="1"/>
    <w:rsid w:val="00626052"/>
    <w:rPr>
      <w:i w:val="0"/>
      <w:noProof/>
      <w:vertAlign w:val="subscript"/>
    </w:rPr>
  </w:style>
  <w:style w:type="paragraph" w:styleId="Rubrik">
    <w:name w:val="Title"/>
    <w:basedOn w:val="Normal"/>
    <w:next w:val="Normal"/>
    <w:link w:val="RubrikChar"/>
    <w:uiPriority w:val="10"/>
    <w:qFormat/>
    <w:rsid w:val="00337169"/>
    <w:pP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37169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37169"/>
    <w:rPr>
      <w:rFonts w:ascii="Arial" w:eastAsiaTheme="majorEastAsia" w:hAnsi="Arial" w:cstheme="majorBidi"/>
      <w:b/>
      <w:bCs/>
      <w:spacing w:val="5"/>
      <w:kern w:val="28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37169"/>
    <w:rPr>
      <w:rFonts w:ascii="Arial" w:eastAsiaTheme="majorEastAsia" w:hAnsi="Arial" w:cstheme="majorBidi"/>
      <w:spacing w:val="5"/>
      <w:kern w:val="28"/>
      <w:sz w:val="26"/>
      <w:szCs w:val="26"/>
    </w:rPr>
  </w:style>
  <w:style w:type="paragraph" w:customStyle="1" w:styleId="Titel">
    <w:name w:val="Titel"/>
    <w:basedOn w:val="Rubrik"/>
    <w:qFormat/>
    <w:rsid w:val="00354DE7"/>
  </w:style>
  <w:style w:type="paragraph" w:customStyle="1" w:styleId="Sammanfattningsrubrik">
    <w:name w:val="Sammanfattningsrubrik"/>
    <w:basedOn w:val="Normal"/>
    <w:qFormat/>
    <w:rsid w:val="003252FB"/>
    <w:pPr>
      <w:spacing w:after="0"/>
    </w:pPr>
    <w:rPr>
      <w:b/>
    </w:rPr>
  </w:style>
  <w:style w:type="paragraph" w:customStyle="1" w:styleId="Frfattare">
    <w:name w:val="Författare"/>
    <w:basedOn w:val="Normal"/>
    <w:next w:val="Sammanfattningsrubrik"/>
    <w:qFormat/>
    <w:rsid w:val="003252FB"/>
    <w:rPr>
      <w:i/>
    </w:rPr>
  </w:style>
  <w:style w:type="paragraph" w:customStyle="1" w:styleId="Sammanfattning">
    <w:name w:val="Sammanfattning"/>
    <w:basedOn w:val="Normal"/>
    <w:qFormat/>
    <w:rsid w:val="003252FB"/>
  </w:style>
  <w:style w:type="character" w:styleId="Platshllartext">
    <w:name w:val="Placeholder Text"/>
    <w:basedOn w:val="Standardstycketeckensnitt"/>
    <w:uiPriority w:val="99"/>
    <w:semiHidden/>
    <w:rsid w:val="00DC304F"/>
    <w:rPr>
      <w:color w:val="80808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C304F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DC304F"/>
    <w:rPr>
      <w:rFonts w:ascii="Times New Roman" w:hAnsi="Times New Roman"/>
      <w:sz w:val="20"/>
      <w:szCs w:val="20"/>
      <w:lang w:val="en-GB"/>
    </w:rPr>
  </w:style>
  <w:style w:type="character" w:styleId="Fotnotsreferens">
    <w:name w:val="footnote reference"/>
    <w:basedOn w:val="Standardstycketeckensnitt"/>
    <w:uiPriority w:val="99"/>
    <w:semiHidden/>
    <w:unhideWhenUsed/>
    <w:rsid w:val="00DC304F"/>
    <w:rPr>
      <w:vertAlign w:val="superscript"/>
    </w:rPr>
  </w:style>
  <w:style w:type="paragraph" w:customStyle="1" w:styleId="Equation">
    <w:name w:val="Equation"/>
    <w:basedOn w:val="Normal"/>
    <w:qFormat/>
    <w:rsid w:val="004F3976"/>
    <w:pPr>
      <w:tabs>
        <w:tab w:val="center" w:pos="3969"/>
        <w:tab w:val="right" w:pos="8505"/>
      </w:tabs>
    </w:pPr>
    <w:rPr>
      <w:rFonts w:eastAsiaTheme="minorEastAsia"/>
    </w:rPr>
  </w:style>
  <w:style w:type="table" w:styleId="Tabellrutnt">
    <w:name w:val="Table Grid"/>
    <w:basedOn w:val="Normaltabell"/>
    <w:uiPriority w:val="59"/>
    <w:rsid w:val="00E2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3E41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3E4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kument\mallar\normal_t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AEA9-4CC6-4582-83D3-98B63F06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normal_tj.dotx</Template>
  <TotalTime>395</TotalTime>
  <Pages>3</Pages>
  <Words>910</Words>
  <Characters>4825</Characters>
  <Application>Microsoft Office Word</Application>
  <DocSecurity>0</DocSecurity>
  <Lines>40</Lines>
  <Paragraphs>11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Purpose</vt:lpstr>
      <vt:lpstr>A two-stage CES model</vt:lpstr>
    </vt:vector>
  </TitlesOfParts>
  <Company>SLU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Jansson</dc:creator>
  <cp:keywords/>
  <dc:description>Agrifood Economics Centre / Department of Economics, SLU</dc:description>
  <cp:lastModifiedBy>Torbjörn Jansson</cp:lastModifiedBy>
  <cp:revision>27</cp:revision>
  <dcterms:created xsi:type="dcterms:W3CDTF">2020-10-23T07:44:00Z</dcterms:created>
  <dcterms:modified xsi:type="dcterms:W3CDTF">2020-10-27T11:53:00Z</dcterms:modified>
</cp:coreProperties>
</file>