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SINAL AI SALES OS</w:t>
        <w:br/>
        <w:t>BUILD PACK v1</w:t>
      </w:r>
    </w:p>
    <w:p>
      <w:pPr>
        <w:jc w:val="center"/>
      </w:pPr>
      <w:r>
        <w:t>Pacote de engenharia diretamente programável para o MVP AI-first de SDR enterprise</w:t>
      </w:r>
    </w:p>
    <w:p>
      <w:pPr>
        <w:jc w:val="center"/>
      </w:pPr>
      <w:r>
        <w:t>Derivado do PRD v1.0 • Agosto de 2026</w:t>
      </w:r>
    </w:p>
    <w:p>
      <w:pPr>
        <w:pStyle w:val="Heading1"/>
      </w:pPr>
      <w:r>
        <w:t>1. Objetivo do Build Pack</w:t>
      </w:r>
    </w:p>
    <w:p>
      <w:r>
        <w:t>Este Build Pack transforma o PRD em contratos de engenharia, arquivos de código e especificações executáveis. A intenção é reduzir interpretações durante a construção com Claude Code e permitir desenvolvimento incremental por tickets, com testes e governança de IA desde a primeira versão.</w:t>
      </w:r>
    </w:p>
    <w:p>
      <w:pPr>
        <w:pStyle w:val="Heading1"/>
      </w:pPr>
      <w:r>
        <w:t>2. Inventário entregue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Artefato</w:t>
            </w:r>
          </w:p>
        </w:tc>
        <w:tc>
          <w:tcPr>
            <w:tcW w:type="dxa" w:w="3360"/>
          </w:tcPr>
          <w:p>
            <w:r>
              <w:t>Local</w:t>
            </w:r>
          </w:p>
        </w:tc>
        <w:tc>
          <w:tcPr>
            <w:tcW w:type="dxa" w:w="3360"/>
          </w:tcPr>
          <w:p>
            <w:r>
              <w:t>Função</w:t>
            </w:r>
          </w:p>
        </w:tc>
      </w:tr>
      <w:tr>
        <w:tc>
          <w:tcPr>
            <w:tcW w:type="dxa" w:w="3360"/>
          </w:tcPr>
          <w:p>
            <w:r>
              <w:t>Schema Prisma</w:t>
            </w:r>
          </w:p>
        </w:tc>
        <w:tc>
          <w:tcPr>
            <w:tcW w:type="dxa" w:w="3360"/>
          </w:tcPr>
          <w:p>
            <w:r>
              <w:t>prisma/schema.prisma</w:t>
            </w:r>
          </w:p>
        </w:tc>
        <w:tc>
          <w:tcPr>
            <w:tcW w:type="dxa" w:w="3360"/>
          </w:tcPr>
          <w:p>
            <w:r>
              <w:t>Modelo operacional completo do MVP.</w:t>
            </w:r>
          </w:p>
        </w:tc>
      </w:tr>
      <w:tr>
        <w:tc>
          <w:tcPr>
            <w:tcW w:type="dxa" w:w="3360"/>
          </w:tcPr>
          <w:p>
            <w:r>
              <w:t>OpenAPI</w:t>
            </w:r>
          </w:p>
        </w:tc>
        <w:tc>
          <w:tcPr>
            <w:tcW w:type="dxa" w:w="3360"/>
          </w:tcPr>
          <w:p>
            <w:r>
              <w:t>openapi/openapi.yaml</w:t>
            </w:r>
          </w:p>
        </w:tc>
        <w:tc>
          <w:tcPr>
            <w:tcW w:type="dxa" w:w="3360"/>
          </w:tcPr>
          <w:p>
            <w:r>
              <w:t>Contrato inicial dos endpoints internos.</w:t>
            </w:r>
          </w:p>
        </w:tc>
      </w:tr>
      <w:tr>
        <w:tc>
          <w:tcPr>
            <w:tcW w:type="dxa" w:w="3360"/>
          </w:tcPr>
          <w:p>
            <w:r>
              <w:t>State machines</w:t>
            </w:r>
          </w:p>
        </w:tc>
        <w:tc>
          <w:tcPr>
            <w:tcW w:type="dxa" w:w="3360"/>
          </w:tcPr>
          <w:p>
            <w:r>
              <w:t>packages/domain/src/state-machines.ts</w:t>
            </w:r>
          </w:p>
        </w:tc>
        <w:tc>
          <w:tcPr>
            <w:tcW w:type="dxa" w:w="3360"/>
          </w:tcPr>
          <w:p>
            <w:r>
              <w:t>Transições válidas de account, lead e opportunity.</w:t>
            </w:r>
          </w:p>
        </w:tc>
      </w:tr>
      <w:tr>
        <w:tc>
          <w:tcPr>
            <w:tcW w:type="dxa" w:w="3360"/>
          </w:tcPr>
          <w:p>
            <w:r>
              <w:t>Policy Engine</w:t>
            </w:r>
          </w:p>
        </w:tc>
        <w:tc>
          <w:tcPr>
            <w:tcW w:type="dxa" w:w="3360"/>
          </w:tcPr>
          <w:p>
            <w:r>
              <w:t>packages/policies/src/policy-engine.ts</w:t>
            </w:r>
          </w:p>
        </w:tc>
        <w:tc>
          <w:tcPr>
            <w:tcW w:type="dxa" w:w="3360"/>
          </w:tcPr>
          <w:p>
            <w:r>
              <w:t>Green/Yellow/Red, evidence, confidence, inbound, caps e suppression.</w:t>
            </w:r>
          </w:p>
        </w:tc>
      </w:tr>
      <w:tr>
        <w:tc>
          <w:tcPr>
            <w:tcW w:type="dxa" w:w="3360"/>
          </w:tcPr>
          <w:p>
            <w:r>
              <w:t>Agent contracts</w:t>
            </w:r>
          </w:p>
        </w:tc>
        <w:tc>
          <w:tcPr>
            <w:tcW w:type="dxa" w:w="3360"/>
          </w:tcPr>
          <w:p>
            <w:r>
              <w:t>packages/ai/src/schemas/*.ts</w:t>
            </w:r>
          </w:p>
        </w:tc>
        <w:tc>
          <w:tcPr>
            <w:tcW w:type="dxa" w:w="3360"/>
          </w:tcPr>
          <w:p>
            <w:r>
              <w:t>16 contratos Zod estruturados.</w:t>
            </w:r>
          </w:p>
        </w:tc>
      </w:tr>
      <w:tr>
        <w:tc>
          <w:tcPr>
            <w:tcW w:type="dxa" w:w="3360"/>
          </w:tcPr>
          <w:p>
            <w:r>
              <w:t>Production prompts</w:t>
            </w:r>
          </w:p>
        </w:tc>
        <w:tc>
          <w:tcPr>
            <w:tcW w:type="dxa" w:w="3360"/>
          </w:tcPr>
          <w:p>
            <w:r>
              <w:t>packages/ai/prompts/</w:t>
            </w:r>
          </w:p>
        </w:tc>
        <w:tc>
          <w:tcPr>
            <w:tcW w:type="dxa" w:w="3360"/>
          </w:tcPr>
          <w:p>
            <w:r>
              <w:t>16 prompts v1 com policy global.</w:t>
            </w:r>
          </w:p>
        </w:tc>
      </w:tr>
      <w:tr>
        <w:tc>
          <w:tcPr>
            <w:tcW w:type="dxa" w:w="3360"/>
          </w:tcPr>
          <w:p>
            <w:r>
              <w:t>n8n specs</w:t>
            </w:r>
          </w:p>
        </w:tc>
        <w:tc>
          <w:tcPr>
            <w:tcW w:type="dxa" w:w="3360"/>
          </w:tcPr>
          <w:p>
            <w:r>
              <w:t>n8n/specs/</w:t>
            </w:r>
          </w:p>
        </w:tc>
        <w:tc>
          <w:tcPr>
            <w:tcW w:type="dxa" w:w="3360"/>
          </w:tcPr>
          <w:p>
            <w:r>
              <w:t>16 workflows detalhados individualmente.</w:t>
            </w:r>
          </w:p>
        </w:tc>
      </w:tr>
      <w:tr>
        <w:tc>
          <w:tcPr>
            <w:tcW w:type="dxa" w:w="3360"/>
          </w:tcPr>
          <w:p>
            <w:r>
              <w:t>CLAUDE.md</w:t>
            </w:r>
          </w:p>
        </w:tc>
        <w:tc>
          <w:tcPr>
            <w:tcW w:type="dxa" w:w="3360"/>
          </w:tcPr>
          <w:p>
            <w:r>
              <w:t>CLAUDE.md</w:t>
            </w:r>
          </w:p>
        </w:tc>
        <w:tc>
          <w:tcPr>
            <w:tcW w:type="dxa" w:w="3360"/>
          </w:tcPr>
          <w:p>
            <w:r>
              <w:t>Regras obrigatórias para o agente de engenharia.</w:t>
            </w:r>
          </w:p>
        </w:tc>
      </w:tr>
      <w:tr>
        <w:tc>
          <w:tcPr>
            <w:tcW w:type="dxa" w:w="3360"/>
          </w:tcPr>
          <w:p>
            <w:r>
              <w:t>Backlog</w:t>
            </w:r>
          </w:p>
        </w:tc>
        <w:tc>
          <w:tcPr>
            <w:tcW w:type="dxa" w:w="3360"/>
          </w:tcPr>
          <w:p>
            <w:r>
              <w:t>backlog/</w:t>
            </w:r>
          </w:p>
        </w:tc>
        <w:tc>
          <w:tcPr>
            <w:tcW w:type="dxa" w:w="3360"/>
          </w:tcPr>
          <w:p>
            <w:r>
              <w:t>45 tickets P0/P1 com aceites.</w:t>
            </w:r>
          </w:p>
        </w:tc>
      </w:tr>
      <w:tr>
        <w:tc>
          <w:tcPr>
            <w:tcW w:type="dxa" w:w="3360"/>
          </w:tcPr>
          <w:p>
            <w:r>
              <w:t>AI evals</w:t>
            </w:r>
          </w:p>
        </w:tc>
        <w:tc>
          <w:tcPr>
            <w:tcW w:type="dxa" w:w="3360"/>
          </w:tcPr>
          <w:p>
            <w:r>
              <w:t>tests/evals/dataset.jsonl</w:t>
            </w:r>
          </w:p>
        </w:tc>
        <w:tc>
          <w:tcPr>
            <w:tcW w:type="dxa" w:w="3360"/>
          </w:tcPr>
          <w:p>
            <w:r>
              <w:t>60 casos iniciais, incluindo adversariais.</w:t>
            </w:r>
          </w:p>
        </w:tc>
      </w:tr>
    </w:tbl>
    <w:p>
      <w:pPr>
        <w:pStyle w:val="Heading1"/>
      </w:pPr>
      <w:r>
        <w:t>3. Arquitetura de execução</w:t>
      </w:r>
    </w:p>
    <w:p>
      <w:r>
        <w:t>O backend e os pacotes de domínio são a autoridade de estado e política. O n8n dispara e coordena tarefas, mas não pode liberar side effects por conta própria. O LLM retorna estruturas validadas; o Policy Engine decide ALLOW, REQUIRE_APPROVAL ou BLOCK. HubSpot permanece o System of Record comercial.</w:t>
      </w:r>
    </w:p>
    <w:p>
      <w:pPr>
        <w:pStyle w:val="ListBullet"/>
      </w:pPr>
      <w:r>
        <w:t>Next.js/TypeScript: Command Center, APIs internas e BFF.</w:t>
      </w:r>
    </w:p>
    <w:p>
      <w:pPr>
        <w:pStyle w:val="ListBullet"/>
      </w:pPr>
      <w:r>
        <w:t>PostgreSQL/Prisma: intelligence store, evidências, estados, agent runs, audit e suppressions.</w:t>
      </w:r>
    </w:p>
    <w:p>
      <w:pPr>
        <w:pStyle w:val="ListBullet"/>
      </w:pPr>
      <w:r>
        <w:t>Redis/BullMQ: jobs idempotentes, retries e rate limits.</w:t>
      </w:r>
    </w:p>
    <w:p>
      <w:pPr>
        <w:pStyle w:val="ListBullet"/>
      </w:pPr>
      <w:r>
        <w:t>n8n: orquestração de borda e integrações.</w:t>
      </w:r>
    </w:p>
    <w:p>
      <w:pPr>
        <w:pStyle w:val="ListBullet"/>
      </w:pPr>
      <w:r>
        <w:t>AI Gateway: multi-provider, schema-first, observável.</w:t>
      </w:r>
    </w:p>
    <w:p>
      <w:pPr>
        <w:pStyle w:val="ListBullet"/>
      </w:pPr>
      <w:r>
        <w:t>HubSpot: Company, Contact e Deal oficiais.</w:t>
      </w:r>
    </w:p>
    <w:p>
      <w:pPr>
        <w:pStyle w:val="Heading1"/>
      </w:pPr>
      <w:r>
        <w:t>4. Regra de ouro de autonomia</w:t>
      </w:r>
    </w:p>
    <w:p>
      <w:r>
        <w:t>Nenhuma saída de IA causa efeito externo diretamente. O fluxo obrigatório é: AI output -&gt; validação Zod -&gt; persistência -&gt; Policy Engine -&gt; Approval quando necessário -&gt; revalidação de estado fresco -&gt; idempotency -&gt; provider call -&gt; audit.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Condição</w:t>
            </w:r>
          </w:p>
        </w:tc>
        <w:tc>
          <w:tcPr>
            <w:tcW w:type="dxa" w:w="5040"/>
          </w:tcPr>
          <w:p>
            <w:r>
              <w:t>Decisão</w:t>
            </w:r>
          </w:p>
        </w:tc>
      </w:tr>
      <w:tr>
        <w:tc>
          <w:tcPr>
            <w:tcW w:type="dxa" w:w="5040"/>
          </w:tcPr>
          <w:p>
            <w:r>
              <w:t>Suppression ou opt-out</w:t>
            </w:r>
          </w:p>
        </w:tc>
        <w:tc>
          <w:tcPr>
            <w:tcW w:type="dxa" w:w="5040"/>
          </w:tcPr>
          <w:p>
            <w:r>
              <w:t>BLOCK imediato</w:t>
            </w:r>
          </w:p>
        </w:tc>
      </w:tr>
      <w:tr>
        <w:tc>
          <w:tcPr>
            <w:tcW w:type="dxa" w:w="5040"/>
          </w:tcPr>
          <w:p>
            <w:r>
              <w:t>Inbound pendente</w:t>
            </w:r>
          </w:p>
        </w:tc>
        <w:tc>
          <w:tcPr>
            <w:tcW w:type="dxa" w:w="5040"/>
          </w:tcPr>
          <w:p>
            <w:r>
              <w:t>BLOCK outbound</w:t>
            </w:r>
          </w:p>
        </w:tc>
      </w:tr>
      <w:tr>
        <w:tc>
          <w:tcPr>
            <w:tcW w:type="dxa" w:w="5040"/>
          </w:tcPr>
          <w:p>
            <w:r>
              <w:t>Confidence &lt; 0,75</w:t>
            </w:r>
          </w:p>
        </w:tc>
        <w:tc>
          <w:tcPr>
            <w:tcW w:type="dxa" w:w="5040"/>
          </w:tcPr>
          <w:p>
            <w:r>
              <w:t>BLOCK e enriquecer</w:t>
            </w:r>
          </w:p>
        </w:tc>
      </w:tr>
      <w:tr>
        <w:tc>
          <w:tcPr>
            <w:tcW w:type="dxa" w:w="5040"/>
          </w:tcPr>
          <w:p>
            <w:r>
              <w:t>Primeiro contato</w:t>
            </w:r>
          </w:p>
        </w:tc>
        <w:tc>
          <w:tcPr>
            <w:tcW w:type="dxa" w:w="5040"/>
          </w:tcPr>
          <w:p>
            <w:r>
              <w:t>Yellow / aprovação</w:t>
            </w:r>
          </w:p>
        </w:tc>
      </w:tr>
      <w:tr>
        <w:tc>
          <w:tcPr>
            <w:tcW w:type="dxa" w:w="5040"/>
          </w:tcPr>
          <w:p>
            <w:r>
              <w:t>Green + confidence &gt;=0,90 + evidência + caps + canal verificado</w:t>
            </w:r>
          </w:p>
        </w:tc>
        <w:tc>
          <w:tcPr>
            <w:tcW w:type="dxa" w:w="5040"/>
          </w:tcPr>
          <w:p>
            <w:r>
              <w:t>ALLOW</w:t>
            </w:r>
          </w:p>
        </w:tc>
      </w:tr>
      <w:tr>
        <w:tc>
          <w:tcPr>
            <w:tcW w:type="dxa" w:w="5040"/>
          </w:tcPr>
          <w:p>
            <w:r>
              <w:t>Preço customizado, jurídico, contrato, segurança, demo/negociação</w:t>
            </w:r>
          </w:p>
        </w:tc>
        <w:tc>
          <w:tcPr>
            <w:tcW w:type="dxa" w:w="5040"/>
          </w:tcPr>
          <w:p>
            <w:r>
              <w:t>Red / humano</w:t>
            </w:r>
          </w:p>
        </w:tc>
      </w:tr>
    </w:tbl>
    <w:p>
      <w:pPr>
        <w:pStyle w:val="Heading1"/>
      </w:pPr>
      <w:r>
        <w:t>5. Banco de dados</w:t>
      </w:r>
    </w:p>
    <w:p>
      <w:r>
        <w:t>O schema Prisma inclui Accounts, Signals, Evidence, Contacts/Channels, Scores, Campaigns, Enrollments, Touchpoints, MessageDrafts e vínculos de Evidence/Knowledge, Inbound, State Events, Approvals, Opportunities/Meetings, Knowledge, Agent Runs, Policy Decisions, Suppressions, Idempotency e Integration Events.</w:t>
      </w:r>
    </w:p>
    <w:p>
      <w:r>
        <w:t>Dinheiro é armazenado em centavos; datas em UTC; eventos de estado e auditoria são append-only. `Evidence` separa claim, fonte, confidence e validade. `MessageDraft` guarda evidências e conhecimento utilizados para permitir auditoria factual.</w:t>
      </w:r>
    </w:p>
    <w:p>
      <w:pPr>
        <w:pStyle w:val="Heading1"/>
      </w:pPr>
      <w:r>
        <w:t>6. Agentes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Agente</w:t>
            </w:r>
          </w:p>
        </w:tc>
        <w:tc>
          <w:tcPr>
            <w:tcW w:type="dxa" w:w="3360"/>
          </w:tcPr>
          <w:p>
            <w:r>
              <w:t>Missão</w:t>
            </w:r>
          </w:p>
        </w:tc>
        <w:tc>
          <w:tcPr>
            <w:tcW w:type="dxa" w:w="3360"/>
          </w:tcPr>
          <w:p>
            <w:r>
              <w:t>Artefato</w:t>
            </w:r>
          </w:p>
        </w:tc>
      </w:tr>
      <w:tr>
        <w:tc>
          <w:tcPr>
            <w:tcW w:type="dxa" w:w="3360"/>
          </w:tcPr>
          <w:p>
            <w:r>
              <w:t>Account Hunter</w:t>
            </w:r>
          </w:p>
        </w:tc>
        <w:tc>
          <w:tcPr>
            <w:tcW w:type="dxa" w:w="3360"/>
          </w:tcPr>
          <w:p>
            <w:r>
              <w:t>Descobrir contas alinhadas ao ICP usando somente fontes permitidas.</w:t>
            </w:r>
          </w:p>
        </w:tc>
        <w:tc>
          <w:tcPr>
            <w:tcW w:type="dxa" w:w="3360"/>
          </w:tcPr>
          <w:p>
            <w:r>
              <w:t>Ver prompt 01-account-hunter.md</w:t>
            </w:r>
          </w:p>
        </w:tc>
      </w:tr>
      <w:tr>
        <w:tc>
          <w:tcPr>
            <w:tcW w:type="dxa" w:w="3360"/>
          </w:tcPr>
          <w:p>
            <w:r>
              <w:t>Research Agent</w:t>
            </w:r>
          </w:p>
        </w:tc>
        <w:tc>
          <w:tcPr>
            <w:tcW w:type="dxa" w:w="3360"/>
          </w:tcPr>
          <w:p>
            <w:r>
              <w:t>Construir dossiê factual e evidenciado da conta.</w:t>
            </w:r>
          </w:p>
        </w:tc>
        <w:tc>
          <w:tcPr>
            <w:tcW w:type="dxa" w:w="3360"/>
          </w:tcPr>
          <w:p>
            <w:r>
              <w:t>Ver prompt 02-research-agent.md</w:t>
            </w:r>
          </w:p>
        </w:tc>
      </w:tr>
      <w:tr>
        <w:tc>
          <w:tcPr>
            <w:tcW w:type="dxa" w:w="3360"/>
          </w:tcPr>
          <w:p>
            <w:r>
              <w:t>Accessibility Intelligence</w:t>
            </w:r>
          </w:p>
        </w:tc>
        <w:tc>
          <w:tcPr>
            <w:tcW w:type="dxa" w:w="3360"/>
          </w:tcPr>
          <w:p>
            <w:r>
              <w:t>Identificar sinais de oportunidade de acessibilidade sem declarar compliance.</w:t>
            </w:r>
          </w:p>
        </w:tc>
        <w:tc>
          <w:tcPr>
            <w:tcW w:type="dxa" w:w="3360"/>
          </w:tcPr>
          <w:p>
            <w:r>
              <w:t>Ver prompt 03-accessibility-intelligence.md</w:t>
            </w:r>
          </w:p>
        </w:tc>
      </w:tr>
      <w:tr>
        <w:tc>
          <w:tcPr>
            <w:tcW w:type="dxa" w:w="3360"/>
          </w:tcPr>
          <w:p>
            <w:r>
              <w:t>Buying Committee Mapper</w:t>
            </w:r>
          </w:p>
        </w:tc>
        <w:tc>
          <w:tcPr>
            <w:tcW w:type="dxa" w:w="3360"/>
          </w:tcPr>
          <w:p>
            <w:r>
              <w:t>Mapear pessoas e papéis relevantes para compra enterprise.</w:t>
            </w:r>
          </w:p>
        </w:tc>
        <w:tc>
          <w:tcPr>
            <w:tcW w:type="dxa" w:w="3360"/>
          </w:tcPr>
          <w:p>
            <w:r>
              <w:t>Ver prompt 04-buying-committee.md</w:t>
            </w:r>
          </w:p>
        </w:tc>
      </w:tr>
      <w:tr>
        <w:tc>
          <w:tcPr>
            <w:tcW w:type="dxa" w:w="3360"/>
          </w:tcPr>
          <w:p>
            <w:r>
              <w:t>Scoring Agent</w:t>
            </w:r>
          </w:p>
        </w:tc>
        <w:tc>
          <w:tcPr>
            <w:tcW w:type="dxa" w:w="3360"/>
          </w:tcPr>
          <w:p>
            <w:r>
              <w:t>Explicar features para cálculo determinístico do score.</w:t>
            </w:r>
          </w:p>
        </w:tc>
        <w:tc>
          <w:tcPr>
            <w:tcW w:type="dxa" w:w="3360"/>
          </w:tcPr>
          <w:p>
            <w:r>
              <w:t>Ver prompt 05-scoring-agent.md</w:t>
            </w:r>
          </w:p>
        </w:tc>
      </w:tr>
      <w:tr>
        <w:tc>
          <w:tcPr>
            <w:tcW w:type="dxa" w:w="3360"/>
          </w:tcPr>
          <w:p>
            <w:r>
              <w:t>Message Angle Agent</w:t>
            </w:r>
          </w:p>
        </w:tc>
        <w:tc>
          <w:tcPr>
            <w:tcW w:type="dxa" w:w="3360"/>
          </w:tcPr>
          <w:p>
            <w:r>
              <w:t>Escolher narrativa comercial específica para conta/persona.</w:t>
            </w:r>
          </w:p>
        </w:tc>
        <w:tc>
          <w:tcPr>
            <w:tcW w:type="dxa" w:w="3360"/>
          </w:tcPr>
          <w:p>
            <w:r>
              <w:t>Ver prompt 06-message-angle.md</w:t>
            </w:r>
          </w:p>
        </w:tc>
      </w:tr>
      <w:tr>
        <w:tc>
          <w:tcPr>
            <w:tcW w:type="dxa" w:w="3360"/>
          </w:tcPr>
          <w:p>
            <w:r>
              <w:t>Personalization Writer</w:t>
            </w:r>
          </w:p>
        </w:tc>
        <w:tc>
          <w:tcPr>
            <w:tcW w:type="dxa" w:w="3360"/>
          </w:tcPr>
          <w:p>
            <w:r>
              <w:t>Produzir mensagem curta e humana baseada em evidência.</w:t>
            </w:r>
          </w:p>
        </w:tc>
        <w:tc>
          <w:tcPr>
            <w:tcW w:type="dxa" w:w="3360"/>
          </w:tcPr>
          <w:p>
            <w:r>
              <w:t>Ver prompt 07-personalization-writer.md</w:t>
            </w:r>
          </w:p>
        </w:tc>
      </w:tr>
      <w:tr>
        <w:tc>
          <w:tcPr>
            <w:tcW w:type="dxa" w:w="3360"/>
          </w:tcPr>
          <w:p>
            <w:r>
              <w:t>Outreach Scheduler</w:t>
            </w:r>
          </w:p>
        </w:tc>
        <w:tc>
          <w:tcPr>
            <w:tcW w:type="dxa" w:w="3360"/>
          </w:tcPr>
          <w:p>
            <w:r>
              <w:t>Recomendar próxima ação da cadência respeitando estado e guardrails.</w:t>
            </w:r>
          </w:p>
        </w:tc>
        <w:tc>
          <w:tcPr>
            <w:tcW w:type="dxa" w:w="3360"/>
          </w:tcPr>
          <w:p>
            <w:r>
              <w:t>Ver prompt 08-outreach-scheduler.md</w:t>
            </w:r>
          </w:p>
        </w:tc>
      </w:tr>
      <w:tr>
        <w:tc>
          <w:tcPr>
            <w:tcW w:type="dxa" w:w="3360"/>
          </w:tcPr>
          <w:p>
            <w:r>
              <w:t>Reply Classifier</w:t>
            </w:r>
          </w:p>
        </w:tc>
        <w:tc>
          <w:tcPr>
            <w:tcW w:type="dxa" w:w="3360"/>
          </w:tcPr>
          <w:p>
            <w:r>
              <w:t>Classificar intenção, sentimento, objeção e necessidade de humano.</w:t>
            </w:r>
          </w:p>
        </w:tc>
        <w:tc>
          <w:tcPr>
            <w:tcW w:type="dxa" w:w="3360"/>
          </w:tcPr>
          <w:p>
            <w:r>
              <w:t>Ver prompt 09-reply-classifier.md</w:t>
            </w:r>
          </w:p>
        </w:tc>
      </w:tr>
      <w:tr>
        <w:tc>
          <w:tcPr>
            <w:tcW w:type="dxa" w:w="3360"/>
          </w:tcPr>
          <w:p>
            <w:r>
              <w:t>Reply Composer</w:t>
            </w:r>
          </w:p>
        </w:tc>
        <w:tc>
          <w:tcPr>
            <w:tcW w:type="dxa" w:w="3360"/>
          </w:tcPr>
          <w:p>
            <w:r>
              <w:t>Redigir somente respostas permitidas e escalar o restante.</w:t>
            </w:r>
          </w:p>
        </w:tc>
        <w:tc>
          <w:tcPr>
            <w:tcW w:type="dxa" w:w="3360"/>
          </w:tcPr>
          <w:p>
            <w:r>
              <w:t>Ver prompt 10-reply-composer.md</w:t>
            </w:r>
          </w:p>
        </w:tc>
      </w:tr>
      <w:tr>
        <w:tc>
          <w:tcPr>
            <w:tcW w:type="dxa" w:w="3360"/>
          </w:tcPr>
          <w:p>
            <w:r>
              <w:t>Qualification Agent</w:t>
            </w:r>
          </w:p>
        </w:tc>
        <w:tc>
          <w:tcPr>
            <w:tcW w:type="dxa" w:w="3360"/>
          </w:tcPr>
          <w:p>
            <w:r>
              <w:t>Determinar se o lead atende critério SQL e qual informação falta.</w:t>
            </w:r>
          </w:p>
        </w:tc>
        <w:tc>
          <w:tcPr>
            <w:tcW w:type="dxa" w:w="3360"/>
          </w:tcPr>
          <w:p>
            <w:r>
              <w:t>Ver prompt 11-qualification-agent.md</w:t>
            </w:r>
          </w:p>
        </w:tc>
      </w:tr>
      <w:tr>
        <w:tc>
          <w:tcPr>
            <w:tcW w:type="dxa" w:w="3360"/>
          </w:tcPr>
          <w:p>
            <w:r>
              <w:t>Meeting Coordinator</w:t>
            </w:r>
          </w:p>
        </w:tc>
        <w:tc>
          <w:tcPr>
            <w:tcW w:type="dxa" w:w="3360"/>
          </w:tcPr>
          <w:p>
            <w:r>
              <w:t>Propor/agendar reunião dentro de políticas.</w:t>
            </w:r>
          </w:p>
        </w:tc>
        <w:tc>
          <w:tcPr>
            <w:tcW w:type="dxa" w:w="3360"/>
          </w:tcPr>
          <w:p>
            <w:r>
              <w:t>Ver prompt 12-meeting-coordinator.md</w:t>
            </w:r>
          </w:p>
        </w:tc>
      </w:tr>
      <w:tr>
        <w:tc>
          <w:tcPr>
            <w:tcW w:type="dxa" w:w="3360"/>
          </w:tcPr>
          <w:p>
            <w:r>
              <w:t>Meeting Prep Agent</w:t>
            </w:r>
          </w:p>
        </w:tc>
        <w:tc>
          <w:tcPr>
            <w:tcW w:type="dxa" w:w="3360"/>
          </w:tcPr>
          <w:p>
            <w:r>
              <w:t>Criar brief executivo de uma página para closer.</w:t>
            </w:r>
          </w:p>
        </w:tc>
        <w:tc>
          <w:tcPr>
            <w:tcW w:type="dxa" w:w="3360"/>
          </w:tcPr>
          <w:p>
            <w:r>
              <w:t>Ver prompt 13-meeting-prep.md</w:t>
            </w:r>
          </w:p>
        </w:tc>
      </w:tr>
      <w:tr>
        <w:tc>
          <w:tcPr>
            <w:tcW w:type="dxa" w:w="3360"/>
          </w:tcPr>
          <w:p>
            <w:r>
              <w:t>CRM Sync Agent</w:t>
            </w:r>
          </w:p>
        </w:tc>
        <w:tc>
          <w:tcPr>
            <w:tcW w:type="dxa" w:w="3360"/>
          </w:tcPr>
          <w:p>
            <w:r>
              <w:t>Propor upserts e reconciliar com HubSpot.</w:t>
            </w:r>
          </w:p>
        </w:tc>
        <w:tc>
          <w:tcPr>
            <w:tcW w:type="dxa" w:w="3360"/>
          </w:tcPr>
          <w:p>
            <w:r>
              <w:t>Ver prompt 14-crm-sync.md</w:t>
            </w:r>
          </w:p>
        </w:tc>
      </w:tr>
      <w:tr>
        <w:tc>
          <w:tcPr>
            <w:tcW w:type="dxa" w:w="3360"/>
          </w:tcPr>
          <w:p>
            <w:r>
              <w:t>AI Supervisor</w:t>
            </w:r>
          </w:p>
        </w:tc>
        <w:tc>
          <w:tcPr>
            <w:tcW w:type="dxa" w:w="3360"/>
          </w:tcPr>
          <w:p>
            <w:r>
              <w:t>Fiscalizar factualidade, genericidade, personalização e política.</w:t>
            </w:r>
          </w:p>
        </w:tc>
        <w:tc>
          <w:tcPr>
            <w:tcW w:type="dxa" w:w="3360"/>
          </w:tcPr>
          <w:p>
            <w:r>
              <w:t>Ver prompt 15-ai-supervisor.md</w:t>
            </w:r>
          </w:p>
        </w:tc>
      </w:tr>
      <w:tr>
        <w:tc>
          <w:tcPr>
            <w:tcW w:type="dxa" w:w="3360"/>
          </w:tcPr>
          <w:p>
            <w:r>
              <w:t>Learning Analyst</w:t>
            </w:r>
          </w:p>
        </w:tc>
        <w:tc>
          <w:tcPr>
            <w:tcW w:type="dxa" w:w="3360"/>
          </w:tcPr>
          <w:p>
            <w:r>
              <w:t>Analisar feedback/outcomes e propor melhorias sem alterar produção.</w:t>
            </w:r>
          </w:p>
        </w:tc>
        <w:tc>
          <w:tcPr>
            <w:tcW w:type="dxa" w:w="3360"/>
          </w:tcPr>
          <w:p>
            <w:r>
              <w:t>Ver prompt 16-learning-analyst.md</w:t>
            </w:r>
          </w:p>
        </w:tc>
      </w:tr>
    </w:tbl>
    <w:p>
      <w:pPr>
        <w:pStyle w:val="Heading1"/>
      </w:pPr>
      <w:r>
        <w:t>7. Workflows n8n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ID</w:t>
            </w:r>
          </w:p>
        </w:tc>
        <w:tc>
          <w:tcPr>
            <w:tcW w:type="dxa" w:w="2520"/>
          </w:tcPr>
          <w:p>
            <w:r>
              <w:t>Workflow</w:t>
            </w:r>
          </w:p>
        </w:tc>
        <w:tc>
          <w:tcPr>
            <w:tcW w:type="dxa" w:w="2520"/>
          </w:tcPr>
          <w:p>
            <w:r>
              <w:t>Trigger</w:t>
            </w:r>
          </w:p>
        </w:tc>
        <w:tc>
          <w:tcPr>
            <w:tcW w:type="dxa" w:w="2520"/>
          </w:tcPr>
          <w:p>
            <w:r>
              <w:t>Output principal</w:t>
            </w:r>
          </w:p>
        </w:tc>
      </w:tr>
      <w:tr>
        <w:tc>
          <w:tcPr>
            <w:tcW w:type="dxa" w:w="2520"/>
          </w:tcPr>
          <w:p>
            <w:r>
              <w:t>WF-01</w:t>
            </w:r>
          </w:p>
        </w:tc>
        <w:tc>
          <w:tcPr>
            <w:tcW w:type="dxa" w:w="2520"/>
          </w:tcPr>
          <w:p>
            <w:r>
              <w:t>Account Discovery</w:t>
            </w:r>
          </w:p>
        </w:tc>
        <w:tc>
          <w:tcPr>
            <w:tcW w:type="dxa" w:w="2520"/>
          </w:tcPr>
          <w:p>
            <w:r>
              <w:t>schedule/manual</w:t>
            </w:r>
          </w:p>
        </w:tc>
        <w:tc>
          <w:tcPr>
            <w:tcW w:type="dxa" w:w="2520"/>
          </w:tcPr>
          <w:p>
            <w:r>
              <w:t>accounts created/updated; jobs queued</w:t>
            </w:r>
          </w:p>
        </w:tc>
      </w:tr>
      <w:tr>
        <w:tc>
          <w:tcPr>
            <w:tcW w:type="dxa" w:w="2520"/>
          </w:tcPr>
          <w:p>
            <w:r>
              <w:t>WF-02</w:t>
            </w:r>
          </w:p>
        </w:tc>
        <w:tc>
          <w:tcPr>
            <w:tcW w:type="dxa" w:w="2520"/>
          </w:tcPr>
          <w:p>
            <w:r>
              <w:t>Account Research</w:t>
            </w:r>
          </w:p>
        </w:tc>
        <w:tc>
          <w:tcPr>
            <w:tcW w:type="dxa" w:w="2520"/>
          </w:tcPr>
          <w:p>
            <w:r>
              <w:t>queue event</w:t>
            </w:r>
          </w:p>
        </w:tc>
        <w:tc>
          <w:tcPr>
            <w:tcW w:type="dxa" w:w="2520"/>
          </w:tcPr>
          <w:p>
            <w:r>
              <w:t>evidenceIds, research status</w:t>
            </w:r>
          </w:p>
        </w:tc>
      </w:tr>
      <w:tr>
        <w:tc>
          <w:tcPr>
            <w:tcW w:type="dxa" w:w="2520"/>
          </w:tcPr>
          <w:p>
            <w:r>
              <w:t>WF-03</w:t>
            </w:r>
          </w:p>
        </w:tc>
        <w:tc>
          <w:tcPr>
            <w:tcW w:type="dxa" w:w="2520"/>
          </w:tcPr>
          <w:p>
            <w:r>
              <w:t>Accessibility Signal Scan</w:t>
            </w:r>
          </w:p>
        </w:tc>
        <w:tc>
          <w:tcPr>
            <w:tcW w:type="dxa" w:w="2520"/>
          </w:tcPr>
          <w:p>
            <w:r>
              <w:t>after research</w:t>
            </w:r>
          </w:p>
        </w:tc>
        <w:tc>
          <w:tcPr>
            <w:tcW w:type="dxa" w:w="2520"/>
          </w:tcPr>
          <w:p>
            <w:r>
              <w:t>signals + score feature</w:t>
            </w:r>
          </w:p>
        </w:tc>
      </w:tr>
      <w:tr>
        <w:tc>
          <w:tcPr>
            <w:tcW w:type="dxa" w:w="2520"/>
          </w:tcPr>
          <w:p>
            <w:r>
              <w:t>WF-04</w:t>
            </w:r>
          </w:p>
        </w:tc>
        <w:tc>
          <w:tcPr>
            <w:tcW w:type="dxa" w:w="2520"/>
          </w:tcPr>
          <w:p>
            <w:r>
              <w:t>Buying Committee</w:t>
            </w:r>
          </w:p>
        </w:tc>
        <w:tc>
          <w:tcPr>
            <w:tcW w:type="dxa" w:w="2520"/>
          </w:tcPr>
          <w:p>
            <w:r>
              <w:t>qualified account</w:t>
            </w:r>
          </w:p>
        </w:tc>
        <w:tc>
          <w:tcPr>
            <w:tcW w:type="dxa" w:w="2520"/>
          </w:tcPr>
          <w:p>
            <w:r>
              <w:t>contacts + confidence</w:t>
            </w:r>
          </w:p>
        </w:tc>
      </w:tr>
      <w:tr>
        <w:tc>
          <w:tcPr>
            <w:tcW w:type="dxa" w:w="2520"/>
          </w:tcPr>
          <w:p>
            <w:r>
              <w:t>WF-05</w:t>
            </w:r>
          </w:p>
        </w:tc>
        <w:tc>
          <w:tcPr>
            <w:tcW w:type="dxa" w:w="2520"/>
          </w:tcPr>
          <w:p>
            <w:r>
              <w:t>Scoring</w:t>
            </w:r>
          </w:p>
        </w:tc>
        <w:tc>
          <w:tcPr>
            <w:tcW w:type="dxa" w:w="2520"/>
          </w:tcPr>
          <w:p>
            <w:r>
              <w:t>signal/contact change</w:t>
            </w:r>
          </w:p>
        </w:tc>
        <w:tc>
          <w:tcPr>
            <w:tcW w:type="dxa" w:w="2520"/>
          </w:tcPr>
          <w:p>
            <w:r>
              <w:t>score version + priority</w:t>
            </w:r>
          </w:p>
        </w:tc>
      </w:tr>
      <w:tr>
        <w:tc>
          <w:tcPr>
            <w:tcW w:type="dxa" w:w="2520"/>
          </w:tcPr>
          <w:p>
            <w:r>
              <w:t>WF-06</w:t>
            </w:r>
          </w:p>
        </w:tc>
        <w:tc>
          <w:tcPr>
            <w:tcW w:type="dxa" w:w="2520"/>
          </w:tcPr>
          <w:p>
            <w:r>
              <w:t>Draft First Touch</w:t>
            </w:r>
          </w:p>
        </w:tc>
        <w:tc>
          <w:tcPr>
            <w:tcW w:type="dxa" w:w="2520"/>
          </w:tcPr>
          <w:p>
            <w:r>
              <w:t>lead READY_FOR_OUTREACH</w:t>
            </w:r>
          </w:p>
        </w:tc>
        <w:tc>
          <w:tcPr>
            <w:tcW w:type="dxa" w:w="2520"/>
          </w:tcPr>
          <w:p>
            <w:r>
              <w:t>messageDraftId + approvalId</w:t>
            </w:r>
          </w:p>
        </w:tc>
      </w:tr>
      <w:tr>
        <w:tc>
          <w:tcPr>
            <w:tcW w:type="dxa" w:w="2520"/>
          </w:tcPr>
          <w:p>
            <w:r>
              <w:t>WF-07</w:t>
            </w:r>
          </w:p>
        </w:tc>
        <w:tc>
          <w:tcPr>
            <w:tcW w:type="dxa" w:w="2520"/>
          </w:tcPr>
          <w:p>
            <w:r>
              <w:t>Send Approved</w:t>
            </w:r>
          </w:p>
        </w:tc>
        <w:tc>
          <w:tcPr>
            <w:tcW w:type="dxa" w:w="2520"/>
          </w:tcPr>
          <w:p>
            <w:r>
              <w:t>approval approved</w:t>
            </w:r>
          </w:p>
        </w:tc>
        <w:tc>
          <w:tcPr>
            <w:tcW w:type="dxa" w:w="2520"/>
          </w:tcPr>
          <w:p>
            <w:r>
              <w:t>providerId + touchpointId</w:t>
            </w:r>
          </w:p>
        </w:tc>
      </w:tr>
      <w:tr>
        <w:tc>
          <w:tcPr>
            <w:tcW w:type="dxa" w:w="2520"/>
          </w:tcPr>
          <w:p>
            <w:r>
              <w:t>WF-08</w:t>
            </w:r>
          </w:p>
        </w:tc>
        <w:tc>
          <w:tcPr>
            <w:tcW w:type="dxa" w:w="2520"/>
          </w:tcPr>
          <w:p>
            <w:r>
              <w:t>Sequence Scheduler</w:t>
            </w:r>
          </w:p>
        </w:tc>
        <w:tc>
          <w:tcPr>
            <w:tcW w:type="dxa" w:w="2520"/>
          </w:tcPr>
          <w:p>
            <w:r>
              <w:t>hourly</w:t>
            </w:r>
          </w:p>
        </w:tc>
        <w:tc>
          <w:tcPr>
            <w:tcW w:type="dxa" w:w="2520"/>
          </w:tcPr>
          <w:p>
            <w:r>
              <w:t>per-enrollment outcome</w:t>
            </w:r>
          </w:p>
        </w:tc>
      </w:tr>
      <w:tr>
        <w:tc>
          <w:tcPr>
            <w:tcW w:type="dxa" w:w="2520"/>
          </w:tcPr>
          <w:p>
            <w:r>
              <w:t>WF-09</w:t>
            </w:r>
          </w:p>
        </w:tc>
        <w:tc>
          <w:tcPr>
            <w:tcW w:type="dxa" w:w="2520"/>
          </w:tcPr>
          <w:p>
            <w:r>
              <w:t>Inbound Reply</w:t>
            </w:r>
          </w:p>
        </w:tc>
        <w:tc>
          <w:tcPr>
            <w:tcW w:type="dxa" w:w="2520"/>
          </w:tcPr>
          <w:p>
            <w:r>
              <w:t>provider webhook/poll</w:t>
            </w:r>
          </w:p>
        </w:tc>
        <w:tc>
          <w:tcPr>
            <w:tcW w:type="dxa" w:w="2520"/>
          </w:tcPr>
          <w:p>
            <w:r>
              <w:t>intent, state, next action</w:t>
            </w:r>
          </w:p>
        </w:tc>
      </w:tr>
      <w:tr>
        <w:tc>
          <w:tcPr>
            <w:tcW w:type="dxa" w:w="2520"/>
          </w:tcPr>
          <w:p>
            <w:r>
              <w:t>WF-10</w:t>
            </w:r>
          </w:p>
        </w:tc>
        <w:tc>
          <w:tcPr>
            <w:tcW w:type="dxa" w:w="2520"/>
          </w:tcPr>
          <w:p>
            <w:r>
              <w:t>Qualification</w:t>
            </w:r>
          </w:p>
        </w:tc>
        <w:tc>
          <w:tcPr>
            <w:tcW w:type="dxa" w:w="2520"/>
          </w:tcPr>
          <w:p>
            <w:r>
              <w:t>positive reply</w:t>
            </w:r>
          </w:p>
        </w:tc>
        <w:tc>
          <w:tcPr>
            <w:tcW w:type="dxa" w:w="2520"/>
          </w:tcPr>
          <w:p>
            <w:r>
              <w:t>qualification + SQL boolean</w:t>
            </w:r>
          </w:p>
        </w:tc>
      </w:tr>
      <w:tr>
        <w:tc>
          <w:tcPr>
            <w:tcW w:type="dxa" w:w="2520"/>
          </w:tcPr>
          <w:p>
            <w:r>
              <w:t>WF-11</w:t>
            </w:r>
          </w:p>
        </w:tc>
        <w:tc>
          <w:tcPr>
            <w:tcW w:type="dxa" w:w="2520"/>
          </w:tcPr>
          <w:p>
            <w:r>
              <w:t>Meeting Booking</w:t>
            </w:r>
          </w:p>
        </w:tc>
        <w:tc>
          <w:tcPr>
            <w:tcW w:type="dxa" w:w="2520"/>
          </w:tcPr>
          <w:p>
            <w:r>
              <w:t>SQL/meeting request</w:t>
            </w:r>
          </w:p>
        </w:tc>
        <w:tc>
          <w:tcPr>
            <w:tcW w:type="dxa" w:w="2520"/>
          </w:tcPr>
          <w:p>
            <w:r>
              <w:t>meetingId + calendar event id</w:t>
            </w:r>
          </w:p>
        </w:tc>
      </w:tr>
      <w:tr>
        <w:tc>
          <w:tcPr>
            <w:tcW w:type="dxa" w:w="2520"/>
          </w:tcPr>
          <w:p>
            <w:r>
              <w:t>WF-12</w:t>
            </w:r>
          </w:p>
        </w:tc>
        <w:tc>
          <w:tcPr>
            <w:tcW w:type="dxa" w:w="2520"/>
          </w:tcPr>
          <w:p>
            <w:r>
              <w:t>Meeting Brief</w:t>
            </w:r>
          </w:p>
        </w:tc>
        <w:tc>
          <w:tcPr>
            <w:tcW w:type="dxa" w:w="2520"/>
          </w:tcPr>
          <w:p>
            <w:r>
              <w:t>T-24h/T-2h</w:t>
            </w:r>
          </w:p>
        </w:tc>
        <w:tc>
          <w:tcPr>
            <w:tcW w:type="dxa" w:w="2520"/>
          </w:tcPr>
          <w:p>
            <w:r>
              <w:t>meetingBriefId</w:t>
            </w:r>
          </w:p>
        </w:tc>
      </w:tr>
      <w:tr>
        <w:tc>
          <w:tcPr>
            <w:tcW w:type="dxa" w:w="2520"/>
          </w:tcPr>
          <w:p>
            <w:r>
              <w:t>WF-13</w:t>
            </w:r>
          </w:p>
        </w:tc>
        <w:tc>
          <w:tcPr>
            <w:tcW w:type="dxa" w:w="2520"/>
          </w:tcPr>
          <w:p>
            <w:r>
              <w:t>CRM Reconciliation</w:t>
            </w:r>
          </w:p>
        </w:tc>
        <w:tc>
          <w:tcPr>
            <w:tcW w:type="dxa" w:w="2520"/>
          </w:tcPr>
          <w:p>
            <w:r>
              <w:t>hourly/daily</w:t>
            </w:r>
          </w:p>
        </w:tc>
        <w:tc>
          <w:tcPr>
            <w:tcW w:type="dxa" w:w="2520"/>
          </w:tcPr>
          <w:p>
            <w:r>
              <w:t>sync counts/conflicts</w:t>
            </w:r>
          </w:p>
        </w:tc>
      </w:tr>
      <w:tr>
        <w:tc>
          <w:tcPr>
            <w:tcW w:type="dxa" w:w="2520"/>
          </w:tcPr>
          <w:p>
            <w:r>
              <w:t>WF-14</w:t>
            </w:r>
          </w:p>
        </w:tc>
        <w:tc>
          <w:tcPr>
            <w:tcW w:type="dxa" w:w="2520"/>
          </w:tcPr>
          <w:p>
            <w:r>
              <w:t>Suppression</w:t>
            </w:r>
          </w:p>
        </w:tc>
        <w:tc>
          <w:tcPr>
            <w:tcW w:type="dxa" w:w="2520"/>
          </w:tcPr>
          <w:p>
            <w:r>
              <w:t>opt-out/bounce/admin</w:t>
            </w:r>
          </w:p>
        </w:tc>
        <w:tc>
          <w:tcPr>
            <w:tcW w:type="dxa" w:w="2520"/>
          </w:tcPr>
          <w:p>
            <w:r>
              <w:t>suppressionId + affected enrollments</w:t>
            </w:r>
          </w:p>
        </w:tc>
      </w:tr>
      <w:tr>
        <w:tc>
          <w:tcPr>
            <w:tcW w:type="dxa" w:w="2520"/>
          </w:tcPr>
          <w:p>
            <w:r>
              <w:t>WF-15</w:t>
            </w:r>
          </w:p>
        </w:tc>
        <w:tc>
          <w:tcPr>
            <w:tcW w:type="dxa" w:w="2520"/>
          </w:tcPr>
          <w:p>
            <w:r>
              <w:t>Daily Supervisor Digest</w:t>
            </w:r>
          </w:p>
        </w:tc>
        <w:tc>
          <w:tcPr>
            <w:tcW w:type="dxa" w:w="2520"/>
          </w:tcPr>
          <w:p>
            <w:r>
              <w:t>daily</w:t>
            </w:r>
          </w:p>
        </w:tc>
        <w:tc>
          <w:tcPr>
            <w:tcW w:type="dxa" w:w="2520"/>
          </w:tcPr>
          <w:p>
            <w:r>
              <w:t>digestId</w:t>
            </w:r>
          </w:p>
        </w:tc>
      </w:tr>
      <w:tr>
        <w:tc>
          <w:tcPr>
            <w:tcW w:type="dxa" w:w="2520"/>
          </w:tcPr>
          <w:p>
            <w:r>
              <w:t>WF-16</w:t>
            </w:r>
          </w:p>
        </w:tc>
        <w:tc>
          <w:tcPr>
            <w:tcW w:type="dxa" w:w="2520"/>
          </w:tcPr>
          <w:p>
            <w:r>
              <w:t>Learning Loop</w:t>
            </w:r>
          </w:p>
        </w:tc>
        <w:tc>
          <w:tcPr>
            <w:tcW w:type="dxa" w:w="2520"/>
          </w:tcPr>
          <w:p>
            <w:r>
              <w:t>weekly</w:t>
            </w:r>
          </w:p>
        </w:tc>
        <w:tc>
          <w:tcPr>
            <w:tcW w:type="dxa" w:w="2520"/>
          </w:tcPr>
          <w:p>
            <w:r>
              <w:t>change proposals</w:t>
            </w:r>
          </w:p>
        </w:tc>
      </w:tr>
    </w:tbl>
    <w:p>
      <w:pPr>
        <w:pStyle w:val="Heading1"/>
      </w:pPr>
      <w:r>
        <w:t>8. Backlog e ordem de construção</w:t>
      </w:r>
    </w:p>
    <w:p>
      <w:r>
        <w:t>O backlog contém 45 tickets. Os P0 devem ser executados na ordem de dependência: fundação -&gt; domínio/policy -&gt; inteligência de contas -&gt; mensagens/aprovações -&gt; envio/inbound -&gt; qualificação/CRM -&gt; meeting -&gt; UI/observabilidade/evals/security. Não iniciar automação externa antes de BP-008, BP-012, BP-020, BP-021, BP-024 e BP-026 estarem funcionalmente cobertos.</w:t>
      </w:r>
    </w:p>
    <w:p>
      <w:pPr>
        <w:pStyle w:val="Heading1"/>
      </w:pPr>
      <w:r>
        <w:t>9. Dataset de avaliações</w:t>
      </w:r>
    </w:p>
    <w:p>
      <w:r>
        <w:t>O dataset inicial contém 60 casos. Ele cobre classificação de replies, factualidade e supervisão, SQL, escrita baseada em evidência, prompt injection e policy decisions. Casos críticos devem atingir 100% antes de qualquer promoção de autonomia.</w:t>
      </w:r>
    </w:p>
    <w:p>
      <w:pPr>
        <w:pStyle w:val="Heading1"/>
      </w:pPr>
      <w:r>
        <w:t>10. Como iniciar com Claude Code</w:t>
      </w:r>
    </w:p>
    <w:p>
      <w:pPr>
        <w:pStyle w:val="ListBullet"/>
      </w:pPr>
      <w:r>
        <w:t>Criar o monorepo e copiar CLAUDE.md para a raiz.</w:t>
      </w:r>
    </w:p>
    <w:p>
      <w:pPr>
        <w:pStyle w:val="ListBullet"/>
      </w:pPr>
      <w:r>
        <w:t>Importar o schema Prisma e gerar a primeira migration.</w:t>
      </w:r>
    </w:p>
    <w:p>
      <w:pPr>
        <w:pStyle w:val="ListBullet"/>
      </w:pPr>
      <w:r>
        <w:t>Implementar state machines e Policy Engine com testes antes de integrações.</w:t>
      </w:r>
    </w:p>
    <w:p>
      <w:pPr>
        <w:pStyle w:val="ListBullet"/>
      </w:pPr>
      <w:r>
        <w:t>Implementar o AI Gateway e validar todos os outputs com Zod.</w:t>
      </w:r>
    </w:p>
    <w:p>
      <w:pPr>
        <w:pStyle w:val="ListBullet"/>
      </w:pPr>
      <w:r>
        <w:t>Construir WF-01 a WF-06 usando stubs antes de conectar provedores reais.</w:t>
      </w:r>
    </w:p>
    <w:p>
      <w:pPr>
        <w:pStyle w:val="ListBullet"/>
      </w:pPr>
      <w:r>
        <w:t>Liberar envio somente após Approval Center, suppression, inbound pause e idempotency estarem testados.</w:t>
      </w:r>
    </w:p>
    <w:p>
      <w:pPr>
        <w:pStyle w:val="ListBullet"/>
      </w:pPr>
      <w:r>
        <w:t>Executar dataset de evals em CI para toda mudança de prompt/modelo.</w:t>
      </w:r>
    </w:p>
    <w:p>
      <w:pPr>
        <w:pStyle w:val="Heading1"/>
      </w:pPr>
      <w:r>
        <w:t>11. Critério de início de piloto</w:t>
      </w:r>
    </w:p>
    <w:p>
      <w:pPr>
        <w:pStyle w:val="ListBullet"/>
      </w:pPr>
      <w:r>
        <w:t>Ambiente staging separado de produção.</w:t>
      </w:r>
    </w:p>
    <w:p>
      <w:pPr>
        <w:pStyle w:val="ListBullet"/>
      </w:pPr>
      <w:r>
        <w:t>Conta de e-mail de teste/sandbox e limites baixos.</w:t>
      </w:r>
    </w:p>
    <w:p>
      <w:pPr>
        <w:pStyle w:val="ListBullet"/>
      </w:pPr>
      <w:r>
        <w:t>HubSpot sandbox ou objetos/campos de teste mapeados.</w:t>
      </w:r>
    </w:p>
    <w:p>
      <w:pPr>
        <w:pStyle w:val="ListBullet"/>
      </w:pPr>
      <w:r>
        <w:t>Todos os casos críticos de eval aprovados.</w:t>
      </w:r>
    </w:p>
    <w:p>
      <w:pPr>
        <w:pStyle w:val="ListBullet"/>
      </w:pPr>
      <w:r>
        <w:t>E2E discover -&gt; reply -&gt; SQL -&gt; meeting funcionando com providers stub/sandbox.</w:t>
      </w:r>
    </w:p>
    <w:p>
      <w:pPr>
        <w:pStyle w:val="ListBullet"/>
      </w:pPr>
      <w:r>
        <w:t>Opt-out e inbound race test comprovados.</w:t>
      </w:r>
    </w:p>
    <w:p>
      <w:pPr>
        <w:pStyle w:val="ListBullet"/>
      </w:pPr>
      <w:r>
        <w:t>Logs e rollback disponíveis.</w:t>
      </w:r>
    </w:p>
    <w:p>
      <w:pPr>
        <w:pStyle w:val="Heading1"/>
      </w:pPr>
      <w:r>
        <w:t>12. Próximo marco</w:t>
      </w:r>
    </w:p>
    <w:p>
      <w:r>
        <w:t>Com este pack, o MVP pode iniciar efetivamente por BP-001. A primeira entrega funcional recomendada é um vertical slice interno: cadastrar campanha/ICP, descobrir 10 contas, pesquisar com evidências, pontuar, mapear um contato, gerar primeiro contato e exibi-lo no Approval Center — ainda sem envio real. Esse slice valida toda a inteligência central antes de ativar canais externos.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