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27" w:name="history-of-extraction-methods"/>
    <w:p>
      <w:pPr>
        <w:pStyle w:val="berschrift1"/>
      </w:pPr>
      <w:r>
        <w:t xml:space="preserve">History of Extraction Methods</w:t>
      </w:r>
    </w:p>
    <w:bookmarkStart w:id="21" w:name="importance-of-erps"/>
    <w:p>
      <w:pPr>
        <w:pStyle w:val="berschrift2"/>
      </w:pPr>
      <w:r>
        <w:t xml:space="preserve">Importance of ERPs</w:t>
      </w:r>
    </w:p>
    <w:p>
      <w:pPr>
        <w:pStyle w:val="FirstParagraph"/>
      </w:pPr>
      <w:r>
        <w:t xml:space="preserve">In cognitive neuroscience, the accurate extraction of latencies of event-related potentials (ERPs) stands as a crucial step in understanding the timing of neural processes underlying cognitive functions [REFs mental chronometry, usecases]. In studies focusing on individual differences it is paramount to objectively, reliably and efficiently extract ERP latencies. Algorithms allow efficient and objective approaches to latency extraction, but often prove difficult due to ERPs with low signal-to-noise ratios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2robust">
        <w:r>
          <w:rPr>
            <w:rStyle w:val="Hyperlink"/>
            <w:bCs/>
            <w:b/>
          </w:rPr>
          <w:t xml:space="preserve">schubert2022robust?</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often fraught with subjectivity. This paper introduces a novel algorithm for the automatic extraction of ERP latencies using template matching. We aim to show that our algorithm improves on existing approaches and enables more efficient, objective, reliable and valid extraction of ERP latencies.</w:t>
      </w:r>
    </w:p>
    <w:bookmarkEnd w:id="21"/>
    <w:bookmarkStart w:id="25" w:name="prior-algorithms"/>
    <w:p>
      <w:pPr>
        <w:pStyle w:val="berschrift2"/>
      </w:pPr>
      <w:r>
        <w:t xml:space="preserve">Prior Algorithms</w:t>
      </w:r>
    </w:p>
    <w:bookmarkStart w:id="22" w:name="peak-latency"/>
    <w:p>
      <w:pPr>
        <w:pStyle w:val="berschrift3"/>
      </w:pPr>
      <w:r>
        <w:t xml:space="preserve">Peak Latency.</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[REF]. The peak latency approach involves finding the point in time within a set measurement window that displays the largest voltage deflection in the appropriate direction. This approach remains the most commonly used way of latency extraction to-date [REFS], partially due to the ease of its implementation and low computational requirements.</w:t>
      </w:r>
      <w:r>
        <w:t xml:space="preserve"> </w:t>
      </w:r>
      <w:r>
        <w:rPr>
          <w:bCs/>
          <w:b/>
        </w:rPr>
        <w:t xml:space="preserve">something about historical ease of use</w:t>
      </w:r>
      <w:r>
        <w:t xml:space="preserve"> </w:t>
      </w:r>
      <w:r>
        <w:rPr>
          <w:bCs/>
          <w:b/>
        </w:rPr>
        <w:t xml:space="preserve">Luck, 2014, p. 286 cites Donchin &amp; Heffley, 1978 as historical example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[REF; Luck 2014 mentions this I think] have modified the simple</w:t>
      </w:r>
      <w:r>
        <w:t xml:space="preserve"> </w:t>
      </w:r>
      <w:r>
        <w:rPr>
          <w:iCs/>
          <w:i/>
        </w:rPr>
        <w:t xml:space="preserve">peak latency</w:t>
      </w:r>
      <w:r>
        <w:t xml:space="preserve"> </w:t>
      </w:r>
      <w:r>
        <w:t xml:space="preserve">algorithm to only consider maxima inside the measurement window which are also larger than the surrounding data-points.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
    <w:p>
      <w:pPr>
        <w:pStyle w:val="berschrift3"/>
      </w:pPr>
      <w:r>
        <w:t xml:space="preserve">Fractional Area Latency.</w:t>
      </w:r>
    </w:p>
    <w:p>
      <w:pPr>
        <w:pStyle w:val="FirstParagraph"/>
      </w:pPr>
      <w:r>
        <w:rPr>
          <w:iCs/>
          <w:i/>
        </w:rPr>
        <w:t xml:space="preserve">Fractional Area Latency</w:t>
      </w:r>
      <w:r>
        <w:t xml:space="preserve"> </w:t>
      </w:r>
      <w:r>
        <w:t xml:space="preserve">approaches hope to remedy some of the problems associated with peak latency algorithms [REFs to Luck, original FAL approach?]. This technique revolves around the area under the ERP signal in a given measurement window. The goal is to find the point in time that divides that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 [MORE REFS]</w:t>
      </w:r>
      <w:r>
        <w:t xml:space="preserve"> </w:t>
      </w:r>
      <w:r>
        <w:t xml:space="preserve">(</w:t>
      </w:r>
      <w:hyperlink w:anchor="ref-liesefeld2018estimating">
        <w:r>
          <w:rPr>
            <w:rStyle w:val="Hyperlink"/>
          </w:rPr>
          <w:t xml:space="preserve">Liesefeld, 2018</w:t>
        </w:r>
      </w:hyperlink>
      <w:r>
        <w:t xml:space="preserve">)</w:t>
      </w:r>
      <w:r>
        <w:t xml:space="preserve">.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w:t>
      </w:r>
      <w:r>
        <w:t xml:space="preserve"> </w:t>
      </w:r>
      <w:r>
        <w:rPr>
          <w:iCs/>
          <w:i/>
        </w:rPr>
        <w:t xml:space="preserve">Fractional Area</w:t>
      </w:r>
      <w:r>
        <w:t xml:space="preserve"> </w:t>
      </w:r>
      <w:r>
        <w:t xml:space="preserve">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3"/>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4"/>
    <w:bookmarkEnd w:id="25"/>
    <w:bookmarkStart w:id="26"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Kiesel et al. (</w:t>
      </w:r>
      <w:hyperlink w:anchor="ref-kiesel2008measurement">
        <w:r>
          <w:rPr>
            <w:rStyle w:val="Hyperlink"/>
          </w:rPr>
          <w:t xml:space="preserve">2008</w:t>
        </w:r>
      </w:hyperlink>
      <w:r>
        <w:t xml:space="preserve">)</w:t>
      </w:r>
      <w:r>
        <w:t xml:space="preserve"> </w:t>
      </w:r>
      <w:r>
        <w:t xml:space="preserve">were concerned with extracting condition differences in ERP research. While this is important, techniques applied in individual differences research have to extract latencies from subject-level ERPs and produce both reliable and valid estimates.</w:t>
      </w:r>
      <w:r>
        <w:t xml:space="preserve"> </w:t>
      </w:r>
      <w:r>
        <w:t xml:space="preserve">Kiesel et al. (</w:t>
      </w:r>
      <w:hyperlink w:anchor="ref-kiesel2008measurement">
        <w:r>
          <w:rPr>
            <w:rStyle w:val="Hyperlink"/>
          </w:rPr>
          <w:t xml:space="preserve">2008</w:t>
        </w:r>
      </w:hyperlink>
      <w:r>
        <w:t xml:space="preserve">)</w:t>
      </w:r>
      <w:r>
        <w:t xml:space="preserve"> </w:t>
      </w:r>
      <w:r>
        <w:t xml:space="preserve">did not assess psychometric properties of latency estimates. Addressing this gap in research,</w:t>
      </w:r>
      <w:r>
        <w:t xml:space="preserve"> </w:t>
      </w:r>
      <w:r>
        <w:t xml:space="preserve">Sadus et al. (</w:t>
      </w:r>
      <w:hyperlink w:anchor="ref-sadus2023multiverse">
        <w:r>
          <w:rPr>
            <w:rStyle w:val="Hyperlink"/>
          </w:rPr>
          <w:t xml:space="preserve">2023</w:t>
        </w:r>
      </w:hyperlink>
      <w:r>
        <w:t xml:space="preserve">)</w:t>
      </w:r>
      <w:r>
        <w:t xml:space="preserve"> </w:t>
      </w:r>
      <w:r>
        <w:t xml:space="preserve">investigated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6"/>
    <w:bookmarkEnd w:id="27"/>
    <w:bookmarkStart w:id="42" w:name="our-algorithm"/>
    <w:p>
      <w:pPr>
        <w:pStyle w:val="berschrift1"/>
      </w:pPr>
      <w:r>
        <w:t xml:space="preserve">Our algorithm</w:t>
      </w:r>
    </w:p>
    <w:bookmarkStart w:id="28" w:name="motivation"/>
    <w:p>
      <w:pPr>
        <w:pStyle w:val="berschrift2"/>
      </w:pPr>
      <w:r>
        <w:t xml:space="preserve">Motivation</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w:t>
      </w:r>
    </w:p>
    <w:bookmarkEnd w:id="28"/>
    <w:bookmarkStart w:id="32" w:name="template-matching"/>
    <w:p>
      <w:pPr>
        <w:pStyle w:val="berschrift2"/>
      </w:pPr>
      <w:r>
        <w:t xml:space="preserve">template matching</w:t>
      </w:r>
    </w:p>
    <w:bookmarkStart w:id="29" w:name="introduction"/>
    <w:p>
      <w:pPr>
        <w:pStyle w:val="berschrift3"/>
      </w:pPr>
      <w:r>
        <w:t xml:space="preserve">Introduction.</w:t>
      </w:r>
    </w:p>
    <w:p>
      <w:pPr>
        <w:pStyle w:val="FirstParagraph"/>
      </w:pPr>
      <w:r>
        <w:t xml:space="preserve">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End w:id="29"/>
    <w:bookmarkStart w:id="30"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correlational approach in order to gauge the efficacy of these approaches when applied to our field of research. We call the algorithm based on minimization of the squared difference</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30"/>
    <w:bookmarkStart w:id="31" w:name="template-generation"/>
    <w:p>
      <w:pPr>
        <w:pStyle w:val="berschrift3"/>
      </w:pPr>
      <w:r>
        <w:t xml:space="preserve">Template generation.</w:t>
      </w:r>
    </w:p>
    <w:p>
      <w:pPr>
        <w:pStyle w:val="FirstParagraph"/>
      </w:pPr>
      <w:r>
        <w:t xml:space="preserve">Finding an appropriate template is sometimes more challenging. Depending on the field,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31"/>
    <w:bookmarkEnd w:id="32"/>
    <w:bookmarkStart w:id="33" w:name="prior-attempts"/>
    <w:p>
      <w:pPr>
        <w:pStyle w:val="berschrift2"/>
      </w:pPr>
      <w:r>
        <w:t xml:space="preserve">Prior attempts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 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 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w:t>
      </w:r>
    </w:p>
    <w:bookmarkEnd w:id="33"/>
    <w:bookmarkStart w:id="35" w:name="our-solution"/>
    <w:p>
      <w:pPr>
        <w:pStyle w:val="berschrift2"/>
      </w:pPr>
      <w:r>
        <w:t xml:space="preserve">our solution</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This would neglect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lends itself as a template because it has a higher signal-to-noise ratio than any individual subject-level ERP while still being influenced by experiment-specific changes in component morphology. It is by definition the mean of all subject-level ERPs and thus minimizes the sum of squared deviations between each subject-level ERP and itself. Thus, across all subjects, it is the best approximation for each subject-level ERP.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bookmarkStart w:id="34" w:name="X560155b469de4bd5892e430bd09df7abf28b37d"/>
    <w:p>
      <w:pPr>
        <w:pStyle w:val="berschrift3"/>
      </w:pPr>
      <w:r>
        <w:t xml:space="preserve">Differences to other template matching studies.</w:t>
      </w:r>
    </w:p>
    <w:p>
      <w:pPr>
        <w:pStyle w:val="FirstParagraph"/>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34"/>
    <w:bookmarkEnd w:id="35"/>
    <w:bookmarkStart w:id="39" w:name="Xde0ef912aa166360ab9ad976d46d0dad420edc1"/>
    <w:p>
      <w:pPr>
        <w:pStyle w:val="berschrift2"/>
      </w:pPr>
      <w:r>
        <w:t xml:space="preserve">Subject-level transformations as the goal</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5969000" cy="4722425"/>
            <wp:effectExtent b="0" l="0" r="0" t="0"/>
            <wp:docPr descr="Figure 1.  Scaling Templates Horizontally" title="" id="37" name="Picture"/>
            <a:graphic>
              <a:graphicData uri="http://schemas.openxmlformats.org/drawingml/2006/picture">
                <pic:pic>
                  <pic:nvPicPr>
                    <pic:cNvPr descr="images/b_scale.png" id="38" name="Picture"/>
                    <pic:cNvPicPr>
                      <a:picLocks noChangeArrowheads="1" noChangeAspect="1"/>
                    </pic:cNvPicPr>
                  </pic:nvPicPr>
                  <pic:blipFill>
                    <a:blip r:embed="rId36"/>
                    <a:stretch>
                      <a:fillRect/>
                    </a:stretch>
                  </pic:blipFill>
                  <pic:spPr bwMode="auto">
                    <a:xfrm>
                      <a:off x="0" y="0"/>
                      <a:ext cx="5969000" cy="4722425"/>
                    </a:xfrm>
                    <a:prstGeom prst="rect">
                      <a:avLst/>
                    </a:prstGeom>
                    <a:noFill/>
                    <a:ln w="9525">
                      <a:noFill/>
                      <a:headEnd/>
                      <a:tailEnd/>
                    </a:ln>
                  </pic:spPr>
                </pic:pic>
              </a:graphicData>
            </a:graphic>
          </wp:inline>
        </w:drawing>
      </w:r>
    </w:p>
    <w:p>
      <w:pPr>
        <w:pStyle w:val="ImageCaption"/>
      </w:pPr>
      <w:r>
        <w:t xml:space="preserve">Figure 1: Scaling Templates Horizontally</w:t>
      </w:r>
    </w:p>
    <w:bookmarkEnd w:id="39"/>
    <w:bookmarkStart w:id="40"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40"/>
    <w:bookmarkStart w:id="41"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[REFS] associated with [Processes]. A number of studies have demonstrated a large effect of age on the latency of the P3 across a number of tasks [REFs] with older participants displaying systematically later P3 peaks than their younger counterparts.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Nonetheless, we will restrict our analysis to extracting P3 latencies. The P3 usually has a broad and isolated structure with comparatively low influence of surrounding components [REF].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41"/>
    <w:bookmarkEnd w:id="42"/>
    <w:bookmarkStart w:id="50" w:name="algorithm"/>
    <w:p>
      <w:pPr>
        <w:pStyle w:val="berschrift1"/>
      </w:pPr>
      <w:r>
        <w:t xml:space="preserve">Algorithm</w:t>
      </w:r>
    </w:p>
    <w:bookmarkStart w:id="45" w:name="implementation-in-matlab-with-details"/>
    <w:p>
      <w:pPr>
        <w:pStyle w:val="berschrift2"/>
      </w:pPr>
      <w:r>
        <w:t xml:space="preserve">Implementation in Matlab with details</w:t>
      </w:r>
    </w:p>
    <w:p>
      <w:pPr>
        <w:pStyle w:val="FirstParagraph"/>
      </w:pPr>
      <w:r>
        <w:t xml:space="preserve">We implemented the algorithm in MATLAB [VERSION, CITATION]. The researcher specifies the name and polarity of the component of interest as well as the measurement window. This window is used to extract the template. In order to transform the template, we use MATLABs Curve Fitting Toolbox [Citation] 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3" w:name="minsq"/>
    <w:p>
      <w:pPr>
        <w:pStyle w:val="berschrift3"/>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3"/>
    <w:bookmarkStart w:id="44" w:name="corr"/>
    <w:p>
      <w:pPr>
        <w:pStyle w:val="berschrift3"/>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Both algorithms then return the transformation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result in optimal similarity of transformed template and signal.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44"/>
    <w:bookmarkEnd w:id="45"/>
    <w:bookmarkStart w:id="49"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5969000" cy="3538705"/>
            <wp:effectExtent b="0" l="0" r="0" t="0"/>
            <wp:docPr descr="Figure 2.  User Interface for Manual Review Process" title="" id="47" name="Picture"/>
            <a:graphic>
              <a:graphicData uri="http://schemas.openxmlformats.org/drawingml/2006/picture">
                <pic:pic>
                  <pic:nvPicPr>
                    <pic:cNvPr descr="images/review_gui_example.png" id="48" name="Picture"/>
                    <pic:cNvPicPr>
                      <a:picLocks noChangeArrowheads="1" noChangeAspect="1"/>
                    </pic:cNvPicPr>
                  </pic:nvPicPr>
                  <pic:blipFill>
                    <a:blip r:embed="rId46"/>
                    <a:stretch>
                      <a:fillRect/>
                    </a:stretch>
                  </pic:blipFill>
                  <pic:spPr bwMode="auto">
                    <a:xfrm>
                      <a:off x="0" y="0"/>
                      <a:ext cx="5969000" cy="3538705"/>
                    </a:xfrm>
                    <a:prstGeom prst="rect">
                      <a:avLst/>
                    </a:prstGeom>
                    <a:noFill/>
                    <a:ln w="9525">
                      <a:noFill/>
                      <a:headEnd/>
                      <a:tailEnd/>
                    </a:ln>
                  </pic:spPr>
                </pic:pic>
              </a:graphicData>
            </a:graphic>
          </wp:inline>
        </w:drawing>
      </w:r>
    </w:p>
    <w:p>
      <w:pPr>
        <w:pStyle w:val="ImageCaption"/>
      </w:pPr>
      <w:r>
        <w:t xml:space="preserve">Figure 2: User Interface for Manual Review Process</w:t>
      </w:r>
    </w:p>
    <w:bookmarkEnd w:id="49"/>
    <w:bookmarkEnd w:id="50"/>
    <w:bookmarkStart w:id="60" w:name="data"/>
    <w:p>
      <w:pPr>
        <w:pStyle w:val="berschrift1"/>
      </w:pPr>
      <w:r>
        <w:t xml:space="preserve">Data</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51"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This sample was part of a larger study</w:t>
      </w:r>
      <w:r>
        <w:t xml:space="preserve"> </w:t>
      </w:r>
      <w:r>
        <w:t xml:space="preserve">(</w:t>
      </w:r>
      <w:hyperlink w:anchor="ref-loffler2022common">
        <w:r>
          <w:rPr>
            <w:rStyle w:val="Hyperlink"/>
          </w:rPr>
          <w:t xml:space="preserve">Löffler et al., 2022</w:t>
        </w:r>
      </w:hyperlink>
      <w:r>
        <w:t xml:space="preserve">)</w:t>
      </w:r>
      <w:r>
        <w:t xml:space="preserve"> </w:t>
      </w:r>
      <w:r>
        <w:t xml:space="preserve">of which the 30 youngest and 30 oldest participants were selected.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r>
        <w:t xml:space="preserve"> </w:t>
      </w:r>
      <w:r>
        <w:rPr>
          <w:bCs/>
          <w:b/>
        </w:rPr>
        <w:t xml:space="preserve">ethics stuff?</w:t>
      </w:r>
    </w:p>
    <w:bookmarkEnd w:id="51"/>
    <w:bookmarkStart w:id="55"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 [REF] using the software package Psychtoolbox [version 3-0.13, REF]. Stimuli were presented centrally on a black background. We instructed participants to respond as quickly and accurately as possible.</w:t>
      </w:r>
    </w:p>
    <w:bookmarkStart w:id="52"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52"/>
    <w:bookmarkStart w:id="53"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53"/>
    <w:bookmarkStart w:id="54"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4"/>
    <w:bookmarkEnd w:id="55"/>
    <w:bookmarkStart w:id="56"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6"/>
    <w:bookmarkStart w:id="57" w:name="eeg-recording-and-processing"/>
    <w:p>
      <w:pPr>
        <w:pStyle w:val="berschrift2"/>
      </w:pPr>
      <w:r>
        <w:t xml:space="preserve">EEG recording and processing</w:t>
      </w:r>
    </w:p>
    <w:p>
      <w:pPr>
        <w:pStyle w:val="FirstParagraph"/>
      </w:pPr>
      <w:r>
        <w:t xml:space="preserve">EEG was recorded using 32 Ag/AgCl scalp electrodes placed in the 10-20 system [yes, this the system we use?]. Additional electrooculogram (EOG) measures were taken by two electrode placed above and below the left eye to correct for ocular artifacts. All impedances were kept below 5 kΩ. The signal was recorded with a sampling rate of 1000 Hz (band-pass 0.1 Hz - 100 Hz) and online-referenced to Cz. Following data acquisition, the raw data was down-sampled to 250 Hz. To remove artifacts we conducted an ICA on a cloned version of the dataset down-sampled to 100 Hz and passed through an additional high-pass filter of 1 Hz. Both the original down-sampled data as well as the ICA-dataset were cleaned by removing channels with unusually long flatlines, artifact-rates or line-noise. Channels removed were interpolated following this procedure and the data was re-referenced to the average across electrodes.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bCs/>
            <w:b/>
          </w:rPr>
          <w:t xml:space="preserve">pion2019iclabel?</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7"/>
    <w:bookmarkStart w:id="59" w:name="erp-analysis"/>
    <w:p>
      <w:pPr>
        <w:pStyle w:val="berschrift2"/>
      </w:pPr>
      <w:r>
        <w:t xml:space="preserve">ERP analysis</w:t>
      </w:r>
    </w:p>
    <w:p>
      <w:pPr>
        <w:pStyle w:val="FirstParagraph"/>
      </w:pPr>
      <w:r>
        <w:t xml:space="preserve">Analyses were conducted in MATLAB [Version, citation]. We only included correct trials into analysis. We investigated the ERPs containing the P3 at the electrode Pz, similar to previous literature [REFS].</w:t>
      </w:r>
    </w:p>
    <w:bookmarkStart w:id="58"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We applied our algorithms using both the distance-based (MINSQ) and correlation-based (CORR) similarity measures to the data and obtained transformation parameters and fit values. Subject-level latencies were recovered from the respective grand average latency and the subject-specific transformation parameters.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area latency algorithm.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8"/>
    <w:bookmarkEnd w:id="59"/>
    <w:bookmarkEnd w:id="60"/>
    <w:bookmarkStart w:id="66" w:name="validation-techniques"/>
    <w:p>
      <w:pPr>
        <w:pStyle w:val="berschrift1"/>
      </w:pPr>
      <w:r>
        <w:t xml:space="preserve">Validation Techniques</w:t>
      </w:r>
    </w:p>
    <w:p>
      <w:pPr>
        <w:pStyle w:val="FirstParagraph"/>
      </w:pPr>
      <w:r>
        <w:t xml:space="preserve">We investigated the impact of latency extraction method on several psychometric properties as well as the effect size of the age effect. We also compared the methods in their correlation with manually extracted latencies, which can be seen as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bookmarkStart w:id="61" w:name="reliability"/>
    <w:p>
      <w:pPr>
        <w:pStyle w:val="berschrift2"/>
      </w:pPr>
      <w:r>
        <w:t xml:space="preserve">Reliability</w:t>
      </w:r>
    </w:p>
    <w:p>
      <w:pPr>
        <w:pStyle w:val="FirstParagraph"/>
      </w:pPr>
      <w:r>
        <w:t xml:space="preserve">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w:t>
      </w:r>
    </w:p>
    <w:bookmarkEnd w:id="61"/>
    <w:bookmarkStart w:id="62" w:name="homogeneity"/>
    <w:p>
      <w:pPr>
        <w:pStyle w:val="berschrift2"/>
      </w:pPr>
      <w:r>
        <w:t xml:space="preserve">Homogeneity</w:t>
      </w:r>
    </w:p>
    <w:p>
      <w:pPr>
        <w:pStyle w:val="FirstParagraph"/>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p>
    <w:bookmarkEnd w:id="62"/>
    <w:bookmarkStart w:id="63" w:name="effect-size"/>
    <w:p>
      <w:pPr>
        <w:pStyle w:val="berschrift2"/>
      </w:pPr>
      <w:r>
        <w:t xml:space="preserve">Effect size?</w:t>
      </w:r>
    </w:p>
    <w:p>
      <w:pPr>
        <w:pStyle w:val="FirstParagraph"/>
      </w:pPr>
      <w:r>
        <w:t xml:space="preserve">To investigate the effect of age on P3 latencies, we ran a repeated measures ANOVA with the between factor age (young vs. old) and the within factor task (Flanker, Nback, Switching).</w:t>
      </w:r>
    </w:p>
    <w:bookmarkEnd w:id="63"/>
    <w:bookmarkStart w:id="64" w:name="correlation-with-manual-extraction"/>
    <w:p>
      <w:pPr>
        <w:pStyle w:val="berschrift2"/>
      </w:pPr>
      <w:r>
        <w:t xml:space="preserve">Correlation with manual extraction</w:t>
      </w:r>
    </w:p>
    <w:p>
      <w:pPr>
        <w:pStyle w:val="FirstParagraph"/>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bookmarkEnd w:id="64"/>
    <w:bookmarkStart w:id="65" w:name="impact-of-filters-measurement-window"/>
    <w:p>
      <w:pPr>
        <w:pStyle w:val="berschrift2"/>
      </w:pPr>
      <w:r>
        <w:t xml:space="preserve">Impact of Filters / Measurement Window</w:t>
      </w:r>
    </w:p>
    <w:p>
      <w:pPr>
        <w:pStyle w:val="FirstParagraph"/>
      </w:pPr>
      <w:r>
        <w:t xml:space="preserve">We also quantified the impact preprocessing steps and the choice of measurement window have on the reliability and validity of extraction methods. We ran a repeated measures ANOVA with the dependent variable being either the estimated reliability of a method or its correlation with manually extracted data and the between factor filter (8 Hz vs. 16 Hz vs. 32 Hz) and the within factor measurement window (narrow vs. medium vs. wide).</w:t>
      </w:r>
    </w:p>
    <w:bookmarkEnd w:id="65"/>
    <w:bookmarkEnd w:id="66"/>
    <w:bookmarkStart w:id="73" w:name="results"/>
    <w:p>
      <w:pPr>
        <w:pStyle w:val="berschrift1"/>
      </w:pPr>
      <w:r>
        <w:t xml:space="preserve">Results</w:t>
      </w:r>
    </w:p>
    <w:p>
      <w:pPr>
        <w:pStyle w:val="FirstParagraph"/>
      </w:pPr>
      <w:r>
        <w:t xml:space="preserve">All data wrangling and statistical analyses were using .</w:t>
      </w:r>
    </w:p>
    <w:bookmarkStart w:id="67"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67"/>
    <w:bookmarkStart w:id="68" w:name="reliability-1"/>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8"/>
    <w:bookmarkStart w:id="69" w:name="homogeneity-1"/>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69"/>
    <w:bookmarkStart w:id="70" w:name="effect-size-1"/>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70"/>
    <w:bookmarkStart w:id="71"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 [Sadus 2023] 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71"/>
    <w:bookmarkStart w:id="72"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 Consult [TABLE] for a full overview.</w:t>
      </w:r>
    </w:p>
    <w:bookmarkEnd w:id="72"/>
    <w:bookmarkEnd w:id="73"/>
    <w:bookmarkStart w:id="88" w:name="discussion"/>
    <w:p>
      <w:pPr>
        <w:pStyle w:val="berschrift1"/>
      </w:pPr>
      <w:r>
        <w:t xml:space="preserve">Discussion</w:t>
      </w:r>
    </w:p>
    <w:bookmarkStart w:id="80" w:name="what-we-found"/>
    <w:p>
      <w:pPr>
        <w:pStyle w:val="berschrift2"/>
      </w:pPr>
      <w:r>
        <w:t xml:space="preserve">What we found</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bookmarkStart w:id="74" w:name="reliability-2"/>
    <w:p>
      <w:pPr>
        <w:pStyle w:val="berschrift3"/>
      </w:pPr>
      <w:r>
        <w:t xml:space="preserve">Reliability.</w:t>
      </w:r>
    </w:p>
    <w:p>
      <w:pPr>
        <w:pStyle w:val="FirstParagraph"/>
      </w:pPr>
      <w:r>
        <w:t xml:space="preserve">A key comparison to evaluate the effectiveness of our algorithm was to test if it is better than already established, simpler algorithms.</w:t>
      </w:r>
    </w:p>
    <w:p>
      <w:pPr>
        <w:pStyle w:val="Textkrper"/>
      </w:pPr>
      <w:r>
        <w:t xml:space="preserve">Regarding the reliability of extracted latencies across tasks and preprocessing steps, our algorithms did not prove superior to the area latency approach. Both the MINSQ and CORR approaches had slightly lower Spearman-Brown corrected split-half correlations. However, the differences in reliability are quite small and only carry low practical implications. If the researcher uses latent-variable approaches in their analysis of ERP latencies, for example, slightly lower reliabilites don’t influence the quality of results much [REF].</w:t>
      </w:r>
    </w:p>
    <w:bookmarkEnd w:id="74"/>
    <w:bookmarkStart w:id="75" w:name="homogeneity-2"/>
    <w:p>
      <w:pPr>
        <w:pStyle w:val="berschrift3"/>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bookmarkEnd w:id="75"/>
    <w:bookmarkStart w:id="76" w:name="validity"/>
    <w:p>
      <w:pPr>
        <w:pStyle w:val="berschrift3"/>
      </w:pPr>
      <w:r>
        <w:t xml:space="preserve">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bookmarkEnd w:id="76"/>
    <w:bookmarkStart w:id="77" w:name="robustness-of-method"/>
    <w:p>
      <w:pPr>
        <w:pStyle w:val="berschrift3"/>
      </w:pPr>
      <w:r>
        <w:t xml:space="preserve">Robustness of method.</w:t>
      </w:r>
    </w:p>
    <w:p>
      <w:pPr>
        <w:pStyle w:val="FirstParagraph"/>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bookmarkEnd w:id="77"/>
    <w:bookmarkStart w:id="78" w:name="objectivity"/>
    <w:p>
      <w:pPr>
        <w:pStyle w:val="berschrift3"/>
      </w:pPr>
      <w:r>
        <w:t xml:space="preserve">Objectivity.</w:t>
      </w:r>
    </w:p>
    <w:p>
      <w:pPr>
        <w:pStyle w:val="FirstParagraph"/>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bookmarkEnd w:id="78"/>
    <w:bookmarkStart w:id="79" w:name="efficiency"/>
    <w:p>
      <w:pPr>
        <w:pStyle w:val="berschrift3"/>
      </w:pPr>
      <w:r>
        <w:t xml:space="preserve">Efficiency.</w:t>
      </w:r>
    </w:p>
    <w:p>
      <w:pPr>
        <w:pStyle w:val="FirstParagraph"/>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79"/>
    <w:bookmarkEnd w:id="80"/>
    <w:bookmarkStart w:id="83" w:name="differences-minsq---corr"/>
    <w:p>
      <w:pPr>
        <w:pStyle w:val="berschrift2"/>
      </w:pPr>
      <w:r>
        <w:t xml:space="preserve">Differences MINSQ -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bookmarkStart w:id="81" w:name="procedurally"/>
    <w:p>
      <w:pPr>
        <w:pStyle w:val="berschrift3"/>
      </w:pPr>
      <w:r>
        <w:t xml:space="preserve">Procedurally.</w:t>
      </w:r>
    </w:p>
    <w:p>
      <w:pPr>
        <w:pStyle w:val="FirstParagraph"/>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some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portion of these cases may be considered</w:t>
      </w:r>
      <w:r>
        <w:t xml:space="preserve"> </w:t>
      </w:r>
      <w:r>
        <w:rPr>
          <w:iCs/>
          <w:i/>
        </w:rPr>
        <w:t xml:space="preserve">unindentifiable</w:t>
      </w:r>
      <w:r>
        <w:t xml:space="preserve"> </w:t>
      </w:r>
      <w:r>
        <w:t xml:space="preserve">even by an expert researcher due to particularly low signal-to-noise ratios. However, some cases where the component can be identified by a human researcher or the CORR algorithm may be classified as missing by the MINSQ algorithm. We will try to implement some additional measures aiming to reduce the number of cases where the MINSQ algorithm fails to converge on a valid solution in future work.</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bookmarkEnd w:id="81"/>
    <w:bookmarkStart w:id="82" w:name="results-1"/>
    <w:p>
      <w:pPr>
        <w:pStyle w:val="berschrift3"/>
      </w:pPr>
      <w:r>
        <w:t xml:space="preserve">Results.</w:t>
      </w:r>
    </w:p>
    <w:p>
      <w:pPr>
        <w:pStyle w:val="FirstParagraph"/>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82"/>
    <w:bookmarkEnd w:id="83"/>
    <w:bookmarkStart w:id="84"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chose</w:t>
      </w:r>
      <w:r>
        <w:t xml:space="preserve"> </w:t>
      </w:r>
      <m:oMath>
        <m:sSub>
          <m:e>
            <m:r>
              <m:t>r</m:t>
            </m:r>
          </m:e>
          <m:sub>
            <m:r>
              <m:t>s</m:t>
            </m:r>
            <m:r>
              <m:t>t</m:t>
            </m:r>
          </m:sub>
        </m:sSub>
        <m:r>
          <m:rPr>
            <m:sty m:val="p"/>
          </m:rPr>
          <m:t>≤</m:t>
        </m:r>
        <m:r>
          <m:t>.60</m:t>
        </m:r>
      </m:oMath>
      <w:r>
        <w:t xml:space="preserve"> </w:t>
      </w:r>
      <w:r>
        <w:t xml:space="preserve">as our cut-off as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bookmarkEnd w:id="84"/>
    <w:bookmarkStart w:id="86"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also observed issues the template matching algorithms face for certain ERP-morphologies during manual inspection. They struggle especially with classifying subject-level ERPs containing two distinct peaks [See figure]. Both algorithms will return a match that may even fit quite well, but minor differences in the size of the two peaks can lead to inconsistencies across conditions. The algorithm may choose the first peak in one and the second peak in the other condition. This problem is not unique to our algorithm, other algorithms face the same challenge. Human researchers can inspect all different ERPs belonging to the same subject and introduce some stability into the extraction method. Algorithms don’t typically allow for the use of information of a previous ERP in the extraction procedure of the current ERP. During manual inspection of the choices of our algorithm, this can be compensated for by the human researcher.</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bookmarkStart w:id="85" w:name="the-present-study-1"/>
    <w:p>
      <w:pPr>
        <w:pStyle w:val="berschrift3"/>
      </w:pPr>
      <w:r>
        <w:t xml:space="preserve">The present study.</w:t>
      </w:r>
    </w:p>
    <w:p>
      <w:pPr>
        <w:pStyle w:val="FirstParagraph"/>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benefits of our new algorithm will increase in earlier components.</w:t>
      </w:r>
    </w:p>
    <w:bookmarkEnd w:id="85"/>
    <w:bookmarkEnd w:id="86"/>
    <w:bookmarkStart w:id="87"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peak latency algorithms. Future research should investigate using a linear transformation like a weighted average. This enables the use of, for example, the top 0.1% of optimal transformations.</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bCs/>
            <w:b/>
          </w:rPr>
          <w:t xml:space="preserve">lopez2014erplab?</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87"/>
    <w:bookmarkEnd w:id="88"/>
    <w:bookmarkStart w:id="89"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superios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89"/>
    <w:bookmarkStart w:id="120" w:name="references"/>
    <w:p>
      <w:pPr>
        <w:pStyle w:val="berschrift1"/>
      </w:pPr>
      <w:r>
        <w:t xml:space="preserve">References</w:t>
      </w:r>
    </w:p>
    <w:bookmarkStart w:id="119" w:name="refs"/>
    <w:bookmarkStart w:id="90"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0"/>
    <w:bookmarkStart w:id="91"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1"/>
    <w:bookmarkStart w:id="92"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92"/>
    <w:bookmarkStart w:id="93"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93"/>
    <w:bookmarkStart w:id="94"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94"/>
    <w:bookmarkStart w:id="96"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95">
        <w:r>
          <w:rPr>
            <w:rStyle w:val="Hyperlink"/>
          </w:rPr>
          <w:t xml:space="preserve">https://doi.org/10.1111/psyp.12001</w:t>
        </w:r>
      </w:hyperlink>
    </w:p>
    <w:bookmarkEnd w:id="96"/>
    <w:bookmarkStart w:id="98"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7">
        <w:r>
          <w:rPr>
            <w:rStyle w:val="Hyperlink"/>
          </w:rPr>
          <w:t xml:space="preserve">https://doi.org/10.3758/BF03203267</w:t>
        </w:r>
      </w:hyperlink>
    </w:p>
    <w:bookmarkEnd w:id="98"/>
    <w:bookmarkStart w:id="99"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9"/>
    <w:bookmarkStart w:id="100"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00"/>
    <w:bookmarkStart w:id="101"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1"/>
    <w:bookmarkStart w:id="102"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2"/>
    <w:bookmarkStart w:id="103"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3"/>
    <w:bookmarkStart w:id="104"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4"/>
    <w:bookmarkStart w:id="105"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5"/>
    <w:bookmarkStart w:id="106"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6"/>
    <w:bookmarkStart w:id="107"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7"/>
    <w:bookmarkStart w:id="109"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08">
        <w:r>
          <w:rPr>
            <w:rStyle w:val="Hyperlink"/>
          </w:rPr>
          <w:t xml:space="preserve">https://doi.org/10.1111/1469-8986.3510099</w:t>
        </w:r>
      </w:hyperlink>
    </w:p>
    <w:bookmarkEnd w:id="109"/>
    <w:bookmarkStart w:id="110"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0"/>
    <w:bookmarkStart w:id="111"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11"/>
    <w:bookmarkStart w:id="113"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12">
        <w:r>
          <w:rPr>
            <w:rStyle w:val="Hyperlink"/>
          </w:rPr>
          <w:t xml:space="preserve">https://doi.org/10.1111/psyp.12500</w:t>
        </w:r>
      </w:hyperlink>
    </w:p>
    <w:bookmarkEnd w:id="113"/>
    <w:bookmarkStart w:id="114"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14"/>
    <w:bookmarkStart w:id="116"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15">
        <w:r>
          <w:rPr>
            <w:rStyle w:val="Hyperlink"/>
          </w:rPr>
          <w:t xml:space="preserve">https://doi.org/10.1111/j.1469-8986.2009.00934.x</w:t>
        </w:r>
      </w:hyperlink>
    </w:p>
    <w:bookmarkEnd w:id="116"/>
    <w:bookmarkStart w:id="117"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17"/>
    <w:bookmarkStart w:id="118"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18"/>
    <w:bookmarkEnd w:id="119"/>
    <w:p>
      <w:r>
        <w:br w:type="page"/>
      </w:r>
    </w:p>
    <w:bookmarkEnd w:id="120"/>
    <w:bookmarkStart w:id="121" w:name="appendix"/>
    <w:p>
      <w:pPr>
        <w:pStyle w:val="berschrift1"/>
      </w:pPr>
      <w:r>
        <w:t xml:space="preserve">Appendix</w:t>
      </w:r>
    </w:p>
    <w:bookmarkEnd w:id="121"/>
    <w:bookmarkStart w:id="122"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122"/>
    <w:bookmarkStart w:id="123" w:name="another-section"/>
    <w:p>
      <w:pPr>
        <w:pStyle w:val="berschrift1"/>
      </w:pPr>
      <w:r>
        <w:t xml:space="preserve">Another section</w:t>
      </w:r>
    </w:p>
    <w:p>
      <w:pPr>
        <w:pStyle w:val="FirstParagraph"/>
      </w:pPr>
      <w:r>
        <w:t xml:space="preserve">this creates another appendix section</w:t>
      </w:r>
    </w:p>
    <w:bookmarkEnd w:id="12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hyperlink" Id="rId108" Target="https://doi.org/10.1111/1469-8986.3510099" TargetMode="External" /><Relationship Type="http://schemas.openxmlformats.org/officeDocument/2006/relationships/hyperlink" Id="rId115" Target="https://doi.org/10.1111/j.1469-8986.2009.00934.x" TargetMode="External" /><Relationship Type="http://schemas.openxmlformats.org/officeDocument/2006/relationships/hyperlink" Id="rId95" Target="https://doi.org/10.1111/psyp.12001" TargetMode="External" /><Relationship Type="http://schemas.openxmlformats.org/officeDocument/2006/relationships/hyperlink" Id="rId112" Target="https://doi.org/10.1111/psyp.12500" TargetMode="External" /><Relationship Type="http://schemas.openxmlformats.org/officeDocument/2006/relationships/hyperlink" Id="rId97" Target="https://doi.org/10.3758/BF03203267"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08" Target="https://doi.org/10.1111/1469-8986.3510099" TargetMode="External" /><Relationship Type="http://schemas.openxmlformats.org/officeDocument/2006/relationships/hyperlink" Id="rId115" Target="https://doi.org/10.1111/j.1469-8986.2009.00934.x" TargetMode="External" /><Relationship Type="http://schemas.openxmlformats.org/officeDocument/2006/relationships/hyperlink" Id="rId95" Target="https://doi.org/10.1111/psyp.12001" TargetMode="External" /><Relationship Type="http://schemas.openxmlformats.org/officeDocument/2006/relationships/hyperlink" Id="rId112" Target="https://doi.org/10.1111/psyp.12500" TargetMode="External" /><Relationship Type="http://schemas.openxmlformats.org/officeDocument/2006/relationships/hyperlink" Id="rId97" Target="https://doi.org/10.3758/BF03203267"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2023-11-27T15:00:11Z</dcterms:created>
  <dcterms:modified xsi:type="dcterms:W3CDTF">2023-11-27T15:00:11Z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