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6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36"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Low objectivity endangers replicability, it is therefore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We aim to show that our algorithm improves on existing approaches and enables more efficient, objective, reliable and valid extraction of ERP latencies.</w:t>
      </w:r>
    </w:p>
    <w:bookmarkStart w:id="21"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set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its ease of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of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extended to only consider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1"/>
    <w:bookmarkStart w:id="22"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2"/>
    <w:bookmarkStart w:id="23"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3"/>
    <w:bookmarkStart w:id="24"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w:t>
      </w:r>
    </w:p>
    <w:p>
      <w:pPr>
        <w:pStyle w:val="Textkrper"/>
      </w:pPr>
      <w:r>
        <w:t xml:space="preserve">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wascher2022">
        <w:r>
          <w:rPr>
            <w:rStyle w:val="Hyperlink"/>
            <w:bCs/>
            <w:b/>
          </w:rPr>
          <w:t xml:space="preserve">wascher2022?</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4"/>
    <w:bookmarkStart w:id="27" w:name="template-matching"/>
    <w:p>
      <w:pPr>
        <w:pStyle w:val="berschrift2"/>
      </w:pPr>
      <w:r>
        <w:t xml:space="preserve">Template Matching</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 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Start w:id="25"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We have chosen to implement algorithms based one of each of the two of the possible types, one minimizing the sum of squared differences and one maximizing the correlation between the template and the signal. We wanted to implement both a similarity measure following a traditional distance-minimization approach and a correlation-based approach in order to gauge the efficacy of these approaches when applied to our field of research. We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CORR</w:t>
      </w:r>
      <w:r>
        <w:t xml:space="preserve">.</w:t>
      </w:r>
    </w:p>
    <w:bookmarkEnd w:id="25"/>
    <w:bookmarkStart w:id="26"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that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6"/>
    <w:bookmarkEnd w:id="27"/>
    <w:bookmarkStart w:id="28"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w:t>
      </w:r>
      <w:r>
        <w:t xml:space="preserve"> </w:t>
      </w:r>
      <w:r>
        <w:t xml:space="preserve">“</w:t>
      </w:r>
      <w:r>
        <w:t xml:space="preserve">bump</w:t>
      </w:r>
      <w:r>
        <w:t xml:space="preserve">”</w:t>
      </w:r>
      <w:r>
        <w:t xml:space="preserve"> </w:t>
      </w:r>
      <w:r>
        <w:t xml:space="preserve">in the signal of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8"/>
    <w:bookmarkStart w:id="29"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take the grand average and use the specific window in which the component of interest occurs to generate a template. The grand average has a higher signal-to-noise ratio than any individual subject-level ERP while still being influenced by experiment-specific changes in component morphology.</w:t>
      </w:r>
    </w:p>
    <w:p>
      <w:pPr>
        <w:pStyle w:val="Textkrper"/>
      </w:pPr>
      <w:r>
        <w:t xml:space="preserve">The grand average is a prime candidate for an experiment-specific template. It is by definition the average of all subject-level ERPs and thus minimizes the sum of squared deviations between each subject-level ERP and itself. Thus, across all subjects, it is the best approximation for each subject-level ERP. Using the grand average to gain insight into subject-level ERPs is not uncommon, researchers often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w:t>
      </w:r>
      <w:hyperlink w:anchor="ref-luck2014introduction">
        <w:r>
          <w:rPr>
            <w:rStyle w:val="Hyperlink"/>
          </w:rPr>
          <w:t xml:space="preserve">Luck, 2014</w:t>
        </w:r>
      </w:hyperlink>
      <w:r>
        <w:t xml:space="preserve">)</w:t>
      </w:r>
      <w:r>
        <w:t xml:space="preserve">.</w:t>
      </w:r>
    </w:p>
    <w:p>
      <w:pPr>
        <w:pStyle w:val="Textkrper"/>
      </w:pPr>
      <w:r>
        <w:t xml:space="preserve">Importantly, 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This variability is introduced through (linear) transformations of the template and generates versions of the grand average as a template with different amplitudes and locations of the component of interest. Crudely, each version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bookmarkEnd w:id="29"/>
    <w:bookmarkStart w:id="33" w:name="mapping-individual-differences"/>
    <w:p>
      <w:pPr>
        <w:pStyle w:val="berschrift2"/>
      </w:pPr>
      <w:r>
        <w:t xml:space="preserve">Mapping individual differences</w:t>
      </w:r>
    </w:p>
    <w:p>
      <w:pPr>
        <w:pStyle w:val="FirstParagraph"/>
      </w:pPr>
      <w:r>
        <w:t xml:space="preserve">We use transformations of our template to investigate individual differences in the overall amplitude of the signal and the latency of ERP components. Variability in amplitude is controlled by the transformation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w:t>
      </w:r>
      <w:r>
        <w:t xml:space="preserve"> </w:t>
      </w:r>
      <w:r>
        <w:t xml:space="preserve">1</w:t>
      </w:r>
      <w:r>
        <w:t xml:space="preserv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Whereas the matching procedure is based on the entire template, we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pPr>
        <w:pStyle w:val="CaptionedFigure"/>
      </w:pPr>
      <w:r>
        <w:drawing>
          <wp:inline>
            <wp:extent cx="4476750" cy="3541818"/>
            <wp:effectExtent b="0" l="0" r="0" t="0"/>
            <wp:docPr descr="Figure 1.  Scaling Templates Horizontally" title="" id="31" name="Picture"/>
            <a:graphic>
              <a:graphicData uri="http://schemas.openxmlformats.org/drawingml/2006/picture">
                <pic:pic>
                  <pic:nvPicPr>
                    <pic:cNvPr descr="images/b_scale.png" id="32" name="Picture"/>
                    <pic:cNvPicPr>
                      <a:picLocks noChangeArrowheads="1" noChangeAspect="1"/>
                    </pic:cNvPicPr>
                  </pic:nvPicPr>
                  <pic:blipFill>
                    <a:blip r:embed="rId30"/>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r>
        <w:t xml:space="preserve">Figure 1: Scaling Templates Horizontally</w:t>
      </w:r>
    </w:p>
    <w:bookmarkEnd w:id="33"/>
    <w:bookmarkStart w:id="34"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34"/>
    <w:bookmarkStart w:id="35"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often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also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For the present work, we will restrict our analysis to extracting P3 latencies, as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it one of the easier components to extract using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bookmarkEnd w:id="35"/>
    <w:bookmarkEnd w:id="36"/>
    <w:bookmarkStart w:id="44" w:name="implementation"/>
    <w:p>
      <w:pPr>
        <w:pStyle w:val="berschrift1"/>
      </w:pPr>
      <w:r>
        <w:t xml:space="preserve">Implementation</w:t>
      </w:r>
    </w:p>
    <w:p>
      <w:pPr>
        <w:pStyle w:val="FirstParagraph"/>
      </w:pPr>
      <w:r>
        <w:t xml:space="preserve">We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user of the algorithm needs to specify the name and polarity of the component of interest and importantly, the measurement window. This window is used to extract the template. In order to transform the template, we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37"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37"/>
    <w:bookmarkStart w:id="39" w:name="corr"/>
    <w:p>
      <w:pPr>
        <w:pStyle w:val="berschrift2"/>
      </w:pPr>
      <w:r>
        <w:t xml:space="preserve">CORR</w:t>
      </w:r>
    </w:p>
    <w:p>
      <w:pPr>
        <w:pStyle w:val="FirstParagraph"/>
      </w:pPr>
      <w:r>
        <w:t xml:space="preserve">The CORR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We therefore just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Because we only need to optimize one parameter, we can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correlation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we do not need to initialize a number of different starting points here.</w:t>
      </w:r>
    </w:p>
    <w:bookmarkStart w:id="38" w:name="recovering-subject-level-latencies"/>
    <w:p>
      <w:pPr>
        <w:pStyle w:val="berschrift3"/>
      </w:pPr>
      <w:r>
        <w:t xml:space="preserve">Recovering subject-level latencies.</w:t>
      </w:r>
    </w:p>
    <w:p>
      <w:pPr>
        <w:pStyle w:val="FirstParagraph"/>
      </w:pPr>
      <w:r>
        <w:t xml:space="preserve">For both algorithms,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38"/>
    <w:bookmarkEnd w:id="39"/>
    <w:bookmarkStart w:id="43"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algorithms, we used the correlation between transformed template and signal as a fit-index. We chose to use the correlation as our final fit-index as it is scale-invariant and provides an intuitive understanding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1" name="Picture"/>
            <a:graphic>
              <a:graphicData uri="http://schemas.openxmlformats.org/drawingml/2006/picture">
                <pic:pic>
                  <pic:nvPicPr>
                    <pic:cNvPr descr="images/review_gui_example.png" id="42" name="Picture"/>
                    <pic:cNvPicPr>
                      <a:picLocks noChangeArrowheads="1" noChangeAspect="1"/>
                    </pic:cNvPicPr>
                  </pic:nvPicPr>
                  <pic:blipFill>
                    <a:blip r:embed="rId40"/>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r>
        <w:t xml:space="preserve">Figure 2: User Interface for Manual Review Process</w:t>
      </w:r>
    </w:p>
    <w:bookmarkEnd w:id="43"/>
    <w:bookmarkEnd w:id="44"/>
    <w:bookmarkStart w:id="55" w:name="method"/>
    <w:p>
      <w:pPr>
        <w:pStyle w:val="berschrift1"/>
      </w:pPr>
      <w:r>
        <w:t xml:space="preserve">Method</w:t>
      </w:r>
    </w:p>
    <w:p>
      <w:pPr>
        <w:pStyle w:val="FirstParagraph"/>
      </w:pPr>
      <w:r>
        <w:t xml:space="preserve">The data used here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5"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5"/>
    <w:bookmarkStart w:id="49"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We instructed participants to respond as quickly and accurately as possible.</w:t>
      </w:r>
    </w:p>
    <w:bookmarkStart w:id="46" w:name="flanker-task"/>
    <w:p>
      <w:pPr>
        <w:pStyle w:val="berschrift3"/>
      </w:pPr>
      <w:r>
        <w:t xml:space="preserve">Flanker Task.</w:t>
      </w:r>
    </w:p>
    <w:p>
      <w:pPr>
        <w:pStyle w:val="FirstParagraph"/>
      </w:pPr>
      <w:r>
        <w:t xml:space="preserve">We 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46"/>
    <w:bookmarkStart w:id="47" w:name="nback-task"/>
    <w:p>
      <w:pPr>
        <w:pStyle w:val="berschrift3"/>
      </w:pPr>
      <w:r>
        <w:t xml:space="preserve">Nback Task.</w:t>
      </w:r>
    </w:p>
    <w:p>
      <w:pPr>
        <w:pStyle w:val="FirstParagraph"/>
      </w:pPr>
      <w:r>
        <w:t xml:space="preserve">We 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We excluded this condition from our analysis as it did not produce clear ERPs. Participants completed a set of practice trials and a total of 96 trials per condition.</w:t>
      </w:r>
    </w:p>
    <w:bookmarkEnd w:id="47"/>
    <w:bookmarkStart w:id="48"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48"/>
    <w:bookmarkEnd w:id="49"/>
    <w:bookmarkStart w:id="50" w:name="procedure"/>
    <w:p>
      <w:pPr>
        <w:pStyle w:val="berschrift2"/>
      </w:pPr>
      <w:r>
        <w:t xml:space="preserve">Procedure</w:t>
      </w:r>
    </w:p>
    <w:p>
      <w:pPr>
        <w:pStyle w:val="FirstParagraph"/>
      </w:pPr>
      <w:r>
        <w:t xml:space="preserve">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0"/>
    <w:bookmarkStart w:id="51"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we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We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We set</w:t>
      </w:r>
      <w:r>
        <w:t xml:space="preserve"> </w:t>
      </w:r>
      <m:oMath>
        <m:r>
          <m:t>1000</m:t>
        </m:r>
        <m:r>
          <m:t> </m:t>
        </m:r>
        <m:r>
          <m:t>μ</m:t>
        </m:r>
        <m:r>
          <m:t>V</m:t>
        </m:r>
      </m:oMath>
      <w:r>
        <w:t xml:space="preserve"> </w:t>
      </w:r>
      <w:r>
        <w:t xml:space="preserve">as the threshold for large fluctuations and data had to be more than 5 SDs from the mean to exceed our probability threshold. Based on these settings, we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1"/>
    <w:bookmarkStart w:id="53"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We only included correct trials into analysis. We investigated the P3 at the electrode Pz, following existing literature</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2"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in the template matching algorithms. We applied our algorithms using both the distance-based (MINSQ) and correlation-based (CORR) similarity measures to the data and obtained transformation parameters and fit values.</w:t>
      </w:r>
    </w:p>
    <w:p>
      <w:pPr>
        <w:pStyle w:val="Textkrper"/>
      </w:pP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using our interface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50% area latency algorithm. For the area latency algorithm, we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2"/>
    <w:bookmarkEnd w:id="53"/>
    <w:bookmarkStart w:id="54" w:name="validation-techniques"/>
    <w:p>
      <w:pPr>
        <w:pStyle w:val="berschrift2"/>
      </w:pPr>
      <w:r>
        <w:t xml:space="preserve">Validation Techniques</w:t>
      </w:r>
    </w:p>
    <w:p>
      <w:pPr>
        <w:pStyle w:val="FirstParagraph"/>
      </w:pPr>
      <w:r>
        <w:t xml:space="preserve">We investigated the impact of latency extraction method on several measures of psychometric quality. 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We assessed the validity of our algorithm through measures of homogeneity, the effect sizes of the age effect and the correlation of latencies extracted by our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we ran a repeated measures ANOVA with the between factor age (young vs. old) and the within factor task (Flanker, Nback, Switching).</w:t>
      </w:r>
    </w:p>
    <w:p>
      <w:pPr>
        <w:pStyle w:val="Textkrper"/>
      </w:pPr>
      <w:r>
        <w:t xml:space="preserve">We quantified the extent to which an extraction method is able to replicate the benchmark of manual extraction by correlating the latencies extracted by a particular method with those extracted by an expert researcher in the same task and filter condition.</w:t>
      </w:r>
    </w:p>
    <w:p>
      <w:pPr>
        <w:pStyle w:val="Textkrper"/>
      </w:pPr>
      <w:r>
        <w:t xml:space="preserve">We also quantified the impact preprocessing steps and the choice of measurement window have on the reliability and validity of extraction methods. We ran a repeated measures ANOVA with the dependent variable being either the estimated reliability of latency values generated by a method or the correlation with manually extracted data. We used the between factor filter (8 Hz vs. 16 Hz vs. 32 Hz) and the within factor measurement window (narrow vs. medium vs. wide).</w:t>
      </w:r>
    </w:p>
    <w:bookmarkEnd w:id="54"/>
    <w:bookmarkEnd w:id="55"/>
    <w:bookmarkStart w:id="63" w:name="results"/>
    <w:p>
      <w:pPr>
        <w:pStyle w:val="berschrift1"/>
      </w:pPr>
      <w:r>
        <w:t xml:space="preserve">Results</w:t>
      </w:r>
    </w:p>
    <w:p>
      <w:pPr>
        <w:pStyle w:val="FirstParagraph"/>
      </w:pPr>
      <w:r>
        <w:t xml:space="preserve">All data wrangling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56"/>
      </w:r>
      <w:r>
        <w:t xml:space="preserve">.</w:t>
      </w:r>
    </w:p>
    <w:bookmarkStart w:id="57"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57"/>
    <w:bookmarkStart w:id="58" w:name="reliability"/>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Area latency measures presented mean split-half correlations of</w:t>
      </w:r>
      <w:r>
        <w:t xml:space="preserve"> </w:t>
      </w:r>
      <m:oMath>
        <m:bar>
          <m:barPr>
            <m:pos m:val="top"/>
          </m:barPr>
          <m:e>
            <m:sSub>
              <m:e>
                <m:r>
                  <m:t>r</m:t>
                </m:r>
              </m:e>
              <m:sub>
                <m:r>
                  <m:t>t</m:t>
                </m:r>
                <m:r>
                  <m:t>t</m:t>
                </m:r>
              </m:sub>
            </m:sSub>
          </m:e>
        </m:bar>
        <m:r>
          <m:rPr>
            <m:sty m:val="p"/>
          </m:rPr>
          <m:t>=</m:t>
        </m:r>
      </m:oMath>
      <w:r>
        <w:t xml:space="preserve"> </w:t>
      </w:r>
      <w:r>
        <w:t xml:space="preserve">.92. Peak latency measures had mean split-half correlations of</w:t>
      </w:r>
      <w:r>
        <w:t xml:space="preserve"> </w:t>
      </w:r>
      <m:oMath>
        <m:bar>
          <m:barPr>
            <m:pos m:val="top"/>
          </m:barPr>
          <m:e>
            <m:sSub>
              <m:e>
                <m:r>
                  <m:t>r</m:t>
                </m:r>
              </m:e>
              <m:sub>
                <m:r>
                  <m:t>t</m:t>
                </m:r>
                <m:r>
                  <m:t>t</m:t>
                </m:r>
              </m:sub>
            </m:sSub>
          </m:e>
        </m:bar>
        <m:r>
          <m:rPr>
            <m:sty m:val="p"/>
          </m:rPr>
          <m:t>=</m:t>
        </m:r>
      </m:oMath>
      <w:r>
        <w:t xml:space="preserve"> </w:t>
      </w:r>
      <w:r>
        <w:t xml:space="preserve">.81.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58"/>
    <w:bookmarkStart w:id="59"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and</w:t>
      </w:r>
      <w:r>
        <w:t xml:space="preserve"> </w:t>
      </w:r>
      <m:oMath>
        <m:bar>
          <m:barPr>
            <m:pos m:val="top"/>
          </m:barPr>
          <m:e>
            <m:sSub>
              <m:e>
                <m:r>
                  <m:t>r</m:t>
                </m:r>
              </m:e>
              <m:sub>
                <m:r>
                  <m:t>h</m:t>
                </m:r>
              </m:sub>
            </m:sSub>
          </m:e>
        </m:bar>
        <m:r>
          <m:rPr>
            <m:sty m:val="p"/>
          </m:rPr>
          <m:t>=</m:t>
        </m:r>
      </m:oMath>
      <w:r>
        <w:t xml:space="preserve"> </w:t>
      </w:r>
      <w:r>
        <w:t xml:space="preserve">.71 for peak latency measures.</w:t>
      </w:r>
    </w:p>
    <w:bookmarkEnd w:id="59"/>
    <w:bookmarkStart w:id="60"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.14, peak latency measures</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0"/>
    <w:bookmarkStart w:id="61"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Area latency measures had a mean correlation of</w:t>
      </w:r>
      <w:r>
        <w:t xml:space="preserve"> </w:t>
      </w:r>
      <m:oMath>
        <m:bar>
          <m:barPr>
            <m:pos m:val="top"/>
          </m:barPr>
          <m:e>
            <m:r>
              <m:t>r</m:t>
            </m:r>
          </m:e>
        </m:bar>
        <m:r>
          <m:rPr>
            <m:sty m:val="p"/>
          </m:rPr>
          <m:t>=</m:t>
        </m:r>
      </m:oMath>
      <w:r>
        <w:t xml:space="preserve"> </w:t>
      </w:r>
      <w:r>
        <w:t xml:space="preserve">.85, peak latency measures</w:t>
      </w:r>
      <w:r>
        <w:t xml:space="preserve"> </w:t>
      </w:r>
      <m:oMath>
        <m:bar>
          <m:barPr>
            <m:pos m:val="top"/>
          </m:barPr>
          <m:e>
            <m:r>
              <m:t>r</m:t>
            </m:r>
          </m:e>
        </m:bar>
        <m:r>
          <m:rPr>
            <m:sty m:val="p"/>
          </m:rPr>
          <m:t>=</m:t>
        </m:r>
      </m:oMath>
      <w:r>
        <w:t xml:space="preserve"> </w:t>
      </w:r>
      <w:r>
        <w:t xml:space="preserve">.82.</w:t>
      </w:r>
    </w:p>
    <w:bookmarkEnd w:id="61"/>
    <w:bookmarkStart w:id="62"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no effect,</w:t>
      </w:r>
      <w:r>
        <w:t xml:space="preserve"> </w:t>
      </w:r>
      <m:oMath>
        <m:sSup>
          <m:e>
            <m:r>
              <m:t>ω</m:t>
            </m:r>
          </m:e>
          <m:sup>
            <m:r>
              <m:t>2</m:t>
            </m:r>
          </m:sup>
        </m:sSup>
        <m:r>
          <m:rPr>
            <m:sty m:val="p"/>
          </m:rPr>
          <m:t>=</m:t>
        </m:r>
      </m:oMath>
      <w:r>
        <w:t xml:space="preserve"> </w:t>
      </w:r>
      <w:r>
        <w:t xml:space="preserve">.00, for area latency measures and no effect,</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.31 for area latency measures and</w:t>
      </w:r>
      <w:r>
        <w:t xml:space="preserve"> </w:t>
      </w:r>
      <m:oMath>
        <m:sSup>
          <m:e>
            <m:r>
              <m:t>ω</m:t>
            </m:r>
          </m:e>
          <m:sup>
            <m:r>
              <m:t>2</m:t>
            </m:r>
          </m:sup>
        </m:sSup>
        <m:r>
          <m:rPr>
            <m:sty m:val="p"/>
          </m:rPr>
          <m:t>=</m:t>
        </m:r>
      </m:oMath>
      <w:r>
        <w:t xml:space="preserve"> </w:t>
      </w:r>
      <w:r>
        <w:t xml:space="preserve">.66 for peak latency measures.</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w:t>
      </w:r>
      <w:r>
        <w:t xml:space="preserve"> </w:t>
      </w:r>
      <m:oMath>
        <m:sSup>
          <m:e>
            <m:r>
              <m:t>ω</m:t>
            </m:r>
          </m:e>
          <m:sup>
            <m:r>
              <m:t>2</m:t>
            </m:r>
          </m:sup>
        </m:sSup>
        <m:r>
          <m:rPr>
            <m:sty m:val="p"/>
          </m:rPr>
          <m:t>=</m:t>
        </m:r>
      </m:oMath>
      <w:r>
        <w:t xml:space="preserve"> </w:t>
      </w:r>
      <w:r>
        <w:t xml:space="preserve">.00 for area latency measures and</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w:t>
      </w:r>
      <w:r>
        <w:t xml:space="preserve"> </w:t>
      </w:r>
      <m:oMath>
        <m:sSup>
          <m:e>
            <m:r>
              <m:t>ω</m:t>
            </m:r>
          </m:e>
          <m:sup>
            <m:r>
              <m:t>2</m:t>
            </m:r>
          </m:sup>
        </m:sSup>
        <m:r>
          <m:rPr>
            <m:sty m:val="p"/>
          </m:rPr>
          <m:t>=</m:t>
        </m:r>
      </m:oMath>
      <w:r>
        <w:t xml:space="preserve"> </w:t>
      </w:r>
      <w:r>
        <w:t xml:space="preserve">.70 for area latency measures and</w:t>
      </w:r>
      <w:r>
        <w:t xml:space="preserve"> </w:t>
      </w:r>
      <m:oMath>
        <m:sSup>
          <m:e>
            <m:r>
              <m:t>ω</m:t>
            </m:r>
          </m:e>
          <m:sup>
            <m:r>
              <m:t>2</m:t>
            </m:r>
          </m:sup>
        </m:sSup>
        <m:r>
          <m:rPr>
            <m:sty m:val="p"/>
          </m:rPr>
          <m:t>=</m:t>
        </m:r>
      </m:oMath>
      <w:r>
        <w:t xml:space="preserve"> </w:t>
      </w:r>
      <w:r>
        <w:t xml:space="preserve">.70 for peak latency measures.</w:t>
      </w:r>
    </w:p>
    <w:bookmarkEnd w:id="62"/>
    <w:bookmarkEnd w:id="63"/>
    <w:bookmarkStart w:id="71" w:name="discussion"/>
    <w:p>
      <w:pPr>
        <w:pStyle w:val="berschrift1"/>
      </w:pPr>
      <w:r>
        <w:t xml:space="preserve">Discussion</w:t>
      </w:r>
    </w:p>
    <w:p>
      <w:pPr>
        <w:pStyle w:val="FirstParagraph"/>
      </w:pPr>
      <w:r>
        <w:t xml:space="preserve">Our newly proposed template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.91 with manually extracted ERP latencies across tasks and preprocessing steps. This indicates that our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p>
      <w:pPr>
        <w:pStyle w:val="Textkrper"/>
      </w:pPr>
      <w:r>
        <w:t xml:space="preserve">Because previous algorithms have been proposed, a key comparison was evaluate the effectiveness of our algorithm against already established, potentially simpler algorithms.</w:t>
      </w:r>
    </w:p>
    <w:p>
      <w:pPr>
        <w:pStyle w:val="Textkrper"/>
      </w:pPr>
      <w:r>
        <w:t xml:space="preserve">Regarding the reliability of extracted latencies across tasks and preprocessing steps, our algorithms did not prove superior to the area latency approach. Both the MINSQ and CORR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for example, slightly lower reliabilites don’t influence the quality of results much [REF].</w:t>
      </w:r>
    </w:p>
    <w:p>
      <w:pPr>
        <w:pStyle w:val="Textkrper"/>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CORR algorithm also proved superior to previously established extraction methods.</w:t>
      </w:r>
    </w:p>
    <w:p>
      <w:pPr>
        <w:pStyle w:val="Textkrper"/>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 researcher was therefore of high importance to us.</w:t>
      </w:r>
      <w:r>
        <w:t xml:space="preserve"> </w:t>
      </w:r>
      <w:r>
        <w:t xml:space="preserve">Again, our algorithms proved to have a superior ability to replicate human behavior compared to previous approaches. The MINSQ algorithm, after manual inspection, had a mean correlation of</w:t>
      </w:r>
      <w:r>
        <w:t xml:space="preserve"> </w:t>
      </w:r>
      <m:oMath>
        <m:bar>
          <m:barPr>
            <m:pos m:val="top"/>
          </m:barPr>
          <m:e>
            <m:r>
              <m:t>r</m:t>
            </m:r>
          </m:e>
        </m:bar>
        <m:r>
          <m:rPr>
            <m:sty m:val="p"/>
          </m:rPr>
          <m:t>=</m:t>
        </m:r>
      </m:oMath>
      <w:r>
        <w:t xml:space="preserve"> </w:t>
      </w:r>
      <w:r>
        <w:t xml:space="preserve">.91 with manually extracted latencies across tasks and preprocessing steps. Considering the reliabilites of the two algorithms,</w:t>
      </w:r>
      <w:r>
        <w:t xml:space="preserve"> </w:t>
      </w:r>
      <m:oMath>
        <m:sSub>
          <m:e>
            <m:r>
              <m:t>r</m:t>
            </m:r>
          </m:e>
          <m:sub>
            <m:r>
              <m:t>t</m:t>
            </m:r>
            <m:r>
              <m:t>t</m:t>
            </m:r>
            <m:r>
              <m:rPr>
                <m:sty m:val="p"/>
              </m:rPr>
              <m:t>|</m:t>
            </m:r>
            <m:r>
              <m:t>m</m:t>
            </m:r>
            <m:r>
              <m:t>i</m:t>
            </m:r>
            <m:r>
              <m:t>n</m:t>
            </m:r>
            <m:r>
              <m:t>s</m:t>
            </m:r>
            <m:r>
              <m:t>q</m:t>
            </m:r>
          </m:sub>
        </m:sSub>
        <m:r>
          <m:rPr>
            <m:sty m:val="p"/>
          </m:rPr>
          <m:t>=</m:t>
        </m:r>
      </m:oMath>
      <w:r>
        <w:t xml:space="preserve"> </w:t>
      </w:r>
      <w:r>
        <w:t xml:space="preserve">.9044 and</w:t>
      </w:r>
      <w:r>
        <w:t xml:space="preserve"> </w:t>
      </w:r>
      <m:oMath>
        <m:sSub>
          <m:e>
            <m:r>
              <m:t>r</m:t>
            </m:r>
          </m:e>
          <m:sub>
            <m:r>
              <m:t>t</m:t>
            </m:r>
            <m:r>
              <m:t>t</m:t>
            </m:r>
            <m:r>
              <m:rPr>
                <m:sty m:val="p"/>
              </m:rPr>
              <m:t>|</m:t>
            </m:r>
            <m:r>
              <m:t>m</m:t>
            </m:r>
            <m:r>
              <m:t>a</m:t>
            </m:r>
            <m:r>
              <m:t>n</m:t>
            </m:r>
            <m:r>
              <m:t>u</m:t>
            </m:r>
            <m:r>
              <m:t>a</m:t>
            </m:r>
            <m:r>
              <m:t>l</m:t>
            </m:r>
          </m:sub>
        </m:sSub>
        <m:r>
          <m:rPr>
            <m:sty m:val="p"/>
          </m:rPr>
          <m:t>=</m:t>
        </m:r>
        <m:r>
          <m:t>.93</m:t>
        </m:r>
      </m:oMath>
      <w:r>
        <w:t xml:space="preserve">, this correlation exceeds the theoretically maximal correlation between their true-score values $r_{max} =</w:t>
      </w:r>
      <w:r>
        <w:t xml:space="preserve"> </w:t>
      </w:r>
      <w:r>
        <w:t xml:space="preserve"> </w:t>
      </w:r>
      <w:r>
        <w:t xml:space="preserve">= $ 0.92 [REF].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.89). Area latency measures also correlate highly with manually extracted data (</w:t>
      </w:r>
      <m:oMath>
        <m:bar>
          <m:barPr>
            <m:pos m:val="top"/>
          </m:barPr>
          <m:e>
            <m:r>
              <m:t>r</m:t>
            </m:r>
          </m:e>
        </m:bar>
        <m:r>
          <m:rPr>
            <m:sty m:val="p"/>
          </m:rPr>
          <m:t>=</m:t>
        </m:r>
      </m:oMath>
      <w:r>
        <w:t xml:space="preserve"> </w:t>
      </w:r>
      <w:r>
        <w:t xml:space="preserve">.85) but failed to match the performance of our new algorithms.</w:t>
      </w:r>
    </w:p>
    <w:p>
      <w:pPr>
        <w:pStyle w:val="Textkrper"/>
      </w:pPr>
      <w:r>
        <w:t xml:space="preserve">Importantly, even the fully automated pipelines of our algorithms that rejected those matches with fits</w:t>
      </w:r>
      <w:r>
        <w:t xml:space="preserve"> </w:t>
      </w:r>
      <m:oMath>
        <m:sSub>
          <m:e>
            <m:r>
              <m:t>r</m:t>
            </m:r>
          </m:e>
          <m:sub>
            <m:r>
              <m:t>s</m:t>
            </m:r>
            <m:r>
              <m:t>t</m:t>
            </m:r>
          </m:sub>
        </m:sSub>
        <m:r>
          <m:rPr>
            <m:sty m:val="p"/>
          </m:rPr>
          <m:t>≤</m:t>
        </m:r>
        <m:r>
          <m:t>.20</m:t>
        </m:r>
      </m:oMath>
      <w:r>
        <w:t xml:space="preserve"> </w:t>
      </w:r>
      <w:r>
        <w:t xml:space="preserve">led to mean correlations of</w:t>
      </w:r>
      <w:r>
        <w:t xml:space="preserve"> </w:t>
      </w:r>
      <m:oMath>
        <m:bar>
          <m:barPr>
            <m:pos m:val="top"/>
          </m:barPr>
          <m:e>
            <m:r>
              <m:t>r</m:t>
            </m:r>
          </m:e>
        </m:bar>
        <m:r>
          <m:rPr>
            <m:sty m:val="p"/>
          </m:rPr>
          <m:t>=</m:t>
        </m:r>
      </m:oMath>
      <w:r>
        <w:t xml:space="preserve"> </w:t>
      </w:r>
      <w:r>
        <w:t xml:space="preserve">.91 for the MINSQ algorithm and</w:t>
      </w:r>
      <w:r>
        <w:t xml:space="preserve"> </w:t>
      </w:r>
      <m:oMath>
        <m:bar>
          <m:barPr>
            <m:pos m:val="top"/>
          </m:barPr>
          <m:e>
            <m:r>
              <m:t>r</m:t>
            </m:r>
          </m:e>
        </m:bar>
        <m:r>
          <m:rPr>
            <m:sty m:val="p"/>
          </m:rPr>
          <m:t>=</m:t>
        </m:r>
      </m:oMath>
      <w:r>
        <w:t xml:space="preserve"> </w:t>
      </w:r>
      <w:r>
        <w:t xml:space="preserve">.88 for the CORR algorithm. This indicates that our algorithm may be applied fully autonomously, eliminating the need for human intervention and increasing replicability and efficiency.</w:t>
      </w:r>
    </w:p>
    <w:p>
      <w:pPr>
        <w:pStyle w:val="Textkrper"/>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p>
      <w:pPr>
        <w:pStyle w:val="Textkrper"/>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p>
      <w:pPr>
        <w:pStyle w:val="Textkrper"/>
      </w:pPr>
      <w:r>
        <w:t xml:space="preserve">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Start w:id="67" w:name="comparing-minsq-and-corr"/>
    <w:p>
      <w:pPr>
        <w:pStyle w:val="berschrift2"/>
      </w:pPr>
      <w:r>
        <w:t xml:space="preserve">Comparing MINSQ and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a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proportion of these cases may be considered unidentifiable even by an expert researcher due to particularly low signal-to-noise ratios. However, few cases where the component can be identified by a human researcher or the CORR algorithm may be classified as missing by the MINSQ algorithm. We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65" name="Picture"/>
            <a:graphic>
              <a:graphicData uri="http://schemas.openxmlformats.org/drawingml/2006/picture">
                <pic:pic>
                  <pic:nvPicPr>
                    <pic:cNvPr descr="images/only_negative_signal_example.png" id="66" name="Picture"/>
                    <pic:cNvPicPr>
                      <a:picLocks noChangeArrowheads="1" noChangeAspect="1"/>
                    </pic:cNvPicPr>
                  </pic:nvPicPr>
                  <pic:blipFill>
                    <a:blip r:embed="rId64"/>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r>
        <w:t xml:space="preserve">Figure 3: Subject ERP with no positive-going signal</w:t>
      </w:r>
    </w:p>
    <w:p>
      <w:pPr>
        <w:pStyle w:val="Textkrper"/>
      </w:pPr>
      <w:r>
        <w:t xml:space="preserve">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bookmarkEnd w:id="67"/>
    <w:bookmarkStart w:id="68" w:name="the-impact-of-manual-inspection"/>
    <w:p>
      <w:pPr>
        <w:pStyle w:val="berschrift2"/>
      </w:pPr>
      <w:r>
        <w:t xml:space="preserve">The impact of manual inspection</w:t>
      </w:r>
    </w:p>
    <w:p>
      <w:pPr>
        <w:pStyle w:val="FirstParagraph"/>
      </w:pPr>
      <w:r>
        <w:t xml:space="preserve">In order to choose a cut-off value for the fit statistic we tested different cut-off values and checked whether a large enough proportion of them proved problematic enough to merit manual inspection. We set</w:t>
      </w:r>
      <w:r>
        <w:t xml:space="preserve"> </w:t>
      </w:r>
      <m:oMath>
        <m:sSub>
          <m:e>
            <m:r>
              <m:t>r</m:t>
            </m:r>
          </m:e>
          <m:sub>
            <m:r>
              <m:t>s</m:t>
            </m:r>
            <m:r>
              <m:t>t</m:t>
            </m:r>
          </m:sub>
        </m:sSub>
        <m:r>
          <m:rPr>
            <m:sty m:val="p"/>
          </m:rPr>
          <m:t>≤</m:t>
        </m:r>
        <m:r>
          <m:t>.60</m:t>
        </m:r>
      </m:oMath>
      <w:r>
        <w:t xml:space="preserve"> </w:t>
      </w:r>
      <w:r>
        <w:t xml:space="preserve">as our cut-off because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should be conducted, one can adjust the cut-off value to increase or decrease the percentage of ERPs to be manually inspected.</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.88 for the CORR and</w:t>
      </w:r>
      <w:r>
        <w:t xml:space="preserve"> </w:t>
      </w:r>
      <m:oMath>
        <m:bar>
          <m:barPr>
            <m:pos m:val="top"/>
          </m:barPr>
          <m:e>
            <m:r>
              <m:t>r</m:t>
            </m:r>
          </m:e>
        </m:bar>
        <m:r>
          <m:rPr>
            <m:sty m:val="p"/>
          </m:rPr>
          <m:t>=</m:t>
        </m:r>
      </m:oMath>
      <w:r>
        <w:t xml:space="preserve"> </w:t>
      </w:r>
      <w:r>
        <w:t xml:space="preserve">.91 for the MINSQ algorithm.</w:t>
      </w:r>
    </w:p>
    <w:p>
      <w:pPr>
        <w:pStyle w:val="Textkrper"/>
      </w:pPr>
      <w:r>
        <w:t xml:space="preserve">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 generated</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our review process.</w:t>
      </w:r>
    </w:p>
    <w:bookmarkEnd w:id="68"/>
    <w:bookmarkStart w:id="69" w:name="limitations"/>
    <w:p>
      <w:pPr>
        <w:pStyle w:val="berschrift2"/>
      </w:pPr>
      <w:r>
        <w:t xml:space="preserve">Limitations</w:t>
      </w:r>
    </w:p>
    <w:p>
      <w:pPr>
        <w:pStyle w:val="FirstParagraph"/>
      </w:pPr>
      <w:r>
        <w:t xml:space="preserve">Our template matching algorithm is limited by the type of transformation we employ to introduce variability mapping individual differences. For example, 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w:t>
      </w:r>
    </w:p>
    <w:p>
      <w:pPr>
        <w:pStyle w:val="Textkrper"/>
      </w:pPr>
      <w:r>
        <w:t xml:space="preserve">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our findings is limited by the data we analyzed here. We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We therefore expect that the benefits of our new algorithm relative to established algorithms will increase in earlier components.</w:t>
      </w:r>
    </w:p>
    <w:bookmarkEnd w:id="69"/>
    <w:bookmarkStart w:id="70"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to be able to quantify the algorithm’s ability to recover the true latency of a component. This present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pPr>
        <w:pStyle w:val="Textkrper"/>
      </w:pPr>
      <w:r>
        <w:t xml:space="preserve">Currently, the algorithms aim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using a linear transformation like a weighted average.</w:t>
      </w:r>
    </w:p>
    <w:p>
      <w:pPr>
        <w:pStyle w:val="Textkrper"/>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bookmarkEnd w:id="70"/>
    <w:bookmarkEnd w:id="71"/>
    <w:bookmarkStart w:id="72"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our two similarity measures, the MINSQ algorithm displays better qualities than the CORR algorithm. However, it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r>
        <w:br w:type="page"/>
      </w:r>
    </w:p>
    <w:bookmarkEnd w:id="72"/>
    <w:bookmarkStart w:id="151" w:name="references"/>
    <w:p>
      <w:pPr>
        <w:pStyle w:val="berschrift1"/>
      </w:pPr>
      <w:r>
        <w:t xml:space="preserve">References</w:t>
      </w:r>
    </w:p>
    <w:bookmarkStart w:id="150" w:name="refs"/>
    <w:bookmarkStart w:id="73"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73"/>
    <w:bookmarkStart w:id="75"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74">
        <w:r>
          <w:rPr>
            <w:rStyle w:val="Hyperlink"/>
          </w:rPr>
          <w:t xml:space="preserve">https://github.com/crsh/papaja</w:t>
        </w:r>
      </w:hyperlink>
    </w:p>
    <w:bookmarkEnd w:id="75"/>
    <w:bookmarkStart w:id="76"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76"/>
    <w:bookmarkStart w:id="77"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77"/>
    <w:bookmarkStart w:id="78"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78"/>
    <w:bookmarkStart w:id="79"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79"/>
    <w:bookmarkStart w:id="80"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80"/>
    <w:bookmarkStart w:id="82"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1">
        <w:r>
          <w:rPr>
            <w:rStyle w:val="Hyperlink"/>
          </w:rPr>
          <w:t xml:space="preserve">https://doi.org/10.1111/psyp.12001</w:t>
        </w:r>
      </w:hyperlink>
    </w:p>
    <w:bookmarkEnd w:id="82"/>
    <w:bookmarkStart w:id="84"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83">
        <w:r>
          <w:rPr>
            <w:rStyle w:val="Hyperlink"/>
          </w:rPr>
          <w:t xml:space="preserve">https://doi.org/10.7717/peerj-cs.108</w:t>
        </w:r>
      </w:hyperlink>
    </w:p>
    <w:bookmarkEnd w:id="84"/>
    <w:bookmarkStart w:id="85"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85"/>
    <w:bookmarkStart w:id="86"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86"/>
    <w:bookmarkStart w:id="87"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87"/>
    <w:bookmarkStart w:id="89"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88">
        <w:r>
          <w:rPr>
            <w:rStyle w:val="Hyperlink"/>
          </w:rPr>
          <w:t xml:space="preserve">https://doi.org/10.3758/BF03203267</w:t>
        </w:r>
      </w:hyperlink>
    </w:p>
    <w:bookmarkEnd w:id="89"/>
    <w:bookmarkStart w:id="91"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90">
        <w:r>
          <w:rPr>
            <w:rStyle w:val="Hyperlink"/>
          </w:rPr>
          <w:t xml:space="preserve">https://doi.org/10.1093/oxfordhb/9780195374148.013.0243</w:t>
        </w:r>
      </w:hyperlink>
    </w:p>
    <w:bookmarkEnd w:id="91"/>
    <w:bookmarkStart w:id="93"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92">
        <w:r>
          <w:rPr>
            <w:rStyle w:val="Hyperlink"/>
          </w:rPr>
          <w:t xml:space="preserve">https://CRAN.R-project.org/package=flextable</w:t>
        </w:r>
      </w:hyperlink>
    </w:p>
    <w:bookmarkEnd w:id="93"/>
    <w:bookmarkStart w:id="94"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4"/>
    <w:bookmarkStart w:id="95"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95"/>
    <w:bookmarkStart w:id="96" w:name="ref-kleiner2007psychtoolbox"/>
    <w:p>
      <w:pPr>
        <w:pStyle w:val="Literaturverzeichnis"/>
      </w:pPr>
      <w:r>
        <w:t xml:space="preserve">Kleiner, M., Brainard, D., &amp; Pelli, D. (2007).</w:t>
      </w:r>
      <w:r>
        <w:t xml:space="preserve"> </w:t>
      </w:r>
      <w:r>
        <w:rPr>
          <w:iCs/>
          <w:i/>
        </w:rPr>
        <w:t xml:space="preserve">What’s new in psychtoolbox-3?</w:t>
      </w:r>
    </w:p>
    <w:bookmarkEnd w:id="96"/>
    <w:bookmarkStart w:id="97"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97"/>
    <w:bookmarkStart w:id="99"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98">
        <w:r>
          <w:rPr>
            <w:rStyle w:val="Hyperlink"/>
          </w:rPr>
          <w:t xml:space="preserve">https://CRAN.R-project.org/package=emmeans</w:t>
        </w:r>
      </w:hyperlink>
    </w:p>
    <w:bookmarkEnd w:id="99"/>
    <w:bookmarkStart w:id="100"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00"/>
    <w:bookmarkStart w:id="101"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01"/>
    <w:bookmarkStart w:id="102"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02"/>
    <w:bookmarkStart w:id="103"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03"/>
    <w:bookmarkStart w:id="104"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04"/>
    <w:bookmarkStart w:id="105"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05"/>
    <w:bookmarkStart w:id="106"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06"/>
    <w:bookmarkStart w:id="108"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07">
        <w:r>
          <w:rPr>
            <w:rStyle w:val="Hyperlink"/>
          </w:rPr>
          <w:t xml:space="preserve">https://doi.org/10.1111/psyp.13793</w:t>
        </w:r>
      </w:hyperlink>
    </w:p>
    <w:bookmarkEnd w:id="108"/>
    <w:bookmarkStart w:id="109"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09"/>
    <w:bookmarkStart w:id="110"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10"/>
    <w:bookmarkStart w:id="112"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11">
        <w:r>
          <w:rPr>
            <w:rStyle w:val="Hyperlink"/>
          </w:rPr>
          <w:t xml:space="preserve">https://doi.org/10.1016/0301-0511(88)90013-0</w:t>
        </w:r>
      </w:hyperlink>
    </w:p>
    <w:bookmarkEnd w:id="112"/>
    <w:bookmarkStart w:id="114"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13">
        <w:r>
          <w:rPr>
            <w:rStyle w:val="Hyperlink"/>
          </w:rPr>
          <w:t xml:space="preserve">https://doi.org/10.1111/1469-8986.3510099</w:t>
        </w:r>
      </w:hyperlink>
    </w:p>
    <w:bookmarkEnd w:id="114"/>
    <w:bookmarkStart w:id="115"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15"/>
    <w:bookmarkStart w:id="116"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16"/>
    <w:bookmarkStart w:id="117"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17"/>
    <w:bookmarkStart w:id="118"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18"/>
    <w:bookmarkStart w:id="119"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19"/>
    <w:bookmarkStart w:id="120"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20"/>
    <w:bookmarkStart w:id="122"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21">
        <w:r>
          <w:rPr>
            <w:rStyle w:val="Hyperlink"/>
          </w:rPr>
          <w:t xml:space="preserve">https://doi.org/10.1371/journal.pbio.0030051</w:t>
        </w:r>
      </w:hyperlink>
    </w:p>
    <w:bookmarkEnd w:id="122"/>
    <w:bookmarkStart w:id="124"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23">
        <w:r>
          <w:rPr>
            <w:rStyle w:val="Hyperlink"/>
          </w:rPr>
          <w:t xml:space="preserve">https://www.R-project.org/</w:t>
        </w:r>
      </w:hyperlink>
    </w:p>
    <w:bookmarkEnd w:id="124"/>
    <w:bookmarkStart w:id="125"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25"/>
    <w:bookmarkStart w:id="126"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26"/>
    <w:bookmarkStart w:id="128"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27">
        <w:r>
          <w:rPr>
            <w:rStyle w:val="Hyperlink"/>
          </w:rPr>
          <w:t xml:space="preserve">https://doi.org/10.1111/psyp.12500</w:t>
        </w:r>
      </w:hyperlink>
    </w:p>
    <w:bookmarkEnd w:id="128"/>
    <w:bookmarkStart w:id="129"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29"/>
    <w:bookmarkStart w:id="130"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30"/>
    <w:bookmarkStart w:id="132"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31">
        <w:r>
          <w:rPr>
            <w:rStyle w:val="Hyperlink"/>
          </w:rPr>
          <w:t xml:space="preserve">https://CRAN.R-project.org/package=afex</w:t>
        </w:r>
      </w:hyperlink>
    </w:p>
    <w:bookmarkEnd w:id="132"/>
    <w:bookmarkStart w:id="134"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33">
        <w:r>
          <w:rPr>
            <w:rStyle w:val="Hyperlink"/>
          </w:rPr>
          <w:t xml:space="preserve">https://doi.org/10.1111/j.1469-8986.2009.00934.x</w:t>
        </w:r>
      </w:hyperlink>
    </w:p>
    <w:bookmarkEnd w:id="134"/>
    <w:bookmarkStart w:id="136"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35">
        <w:r>
          <w:rPr>
            <w:rStyle w:val="Hyperlink"/>
          </w:rPr>
          <w:t xml:space="preserve">https://www.mathworks.com</w:t>
        </w:r>
      </w:hyperlink>
    </w:p>
    <w:bookmarkEnd w:id="136"/>
    <w:bookmarkStart w:id="137"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37"/>
    <w:bookmarkStart w:id="138"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38"/>
    <w:bookmarkStart w:id="140"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39">
        <w:r>
          <w:rPr>
            <w:rStyle w:val="Hyperlink"/>
          </w:rPr>
          <w:t xml:space="preserve">https://doi.org/10.1371/journal.pone.0268916</w:t>
        </w:r>
      </w:hyperlink>
    </w:p>
    <w:bookmarkEnd w:id="140"/>
    <w:bookmarkStart w:id="142"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41">
        <w:r>
          <w:rPr>
            <w:rStyle w:val="Hyperlink"/>
          </w:rPr>
          <w:t xml:space="preserve">https://doi.org/10.21105/joss.01686</w:t>
        </w:r>
      </w:hyperlink>
    </w:p>
    <w:bookmarkEnd w:id="142"/>
    <w:bookmarkStart w:id="143"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43"/>
    <w:bookmarkStart w:id="145"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44">
        <w:r>
          <w:rPr>
            <w:rStyle w:val="Hyperlink"/>
          </w:rPr>
          <w:t xml:space="preserve">https://yihui.org/knitr/</w:t>
        </w:r>
      </w:hyperlink>
    </w:p>
    <w:bookmarkEnd w:id="145"/>
    <w:bookmarkStart w:id="147"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46">
        <w:r>
          <w:rPr>
            <w:rStyle w:val="Hyperlink"/>
          </w:rPr>
          <w:t xml:space="preserve">https://bookdown.org/yihui/rmarkdown</w:t>
        </w:r>
      </w:hyperlink>
    </w:p>
    <w:bookmarkEnd w:id="147"/>
    <w:bookmarkStart w:id="149"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48">
        <w:r>
          <w:rPr>
            <w:rStyle w:val="Hyperlink"/>
          </w:rPr>
          <w:t xml:space="preserve">https://bookdown.org/yihui/rmarkdown-cookbook</w:t>
        </w:r>
      </w:hyperlink>
    </w:p>
    <w:bookmarkEnd w:id="149"/>
    <w:bookmarkEnd w:id="150"/>
    <w:p>
      <w:r>
        <w:br w:type="page"/>
      </w:r>
    </w:p>
    <w:bookmarkEnd w:id="151"/>
    <w:bookmarkStart w:id="152" w:name="appendix"/>
    <w:p>
      <w:pPr>
        <w:pStyle w:val="berschrift1"/>
      </w:pPr>
      <w:r>
        <w:t xml:space="preserve">Appendix</w:t>
      </w:r>
    </w:p>
    <w:bookmarkEnd w:id="152"/>
    <w:bookmarkStart w:id="153" w:name="algorithm-quality"/>
    <w:p>
      <w:pPr>
        <w:pStyle w:val="berschrift1"/>
      </w:pPr>
      <w:r>
        <w:t xml:space="preserve">Algorithm Quality</w:t>
      </w:r>
    </w:p>
    <w:p>
      <w:pPr>
        <w:pStyle w:val="TableCaption"/>
      </w:pPr>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7:</w:t>
      </w:r>
      <w:r>
        <w:t xml:space="preserve"> </w:t>
      </w:r>
      <w:r>
        <w:t xml:space="preserve">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8:</w:t>
      </w:r>
      <w:r>
        <w:t xml:space="preserve"> </w:t>
      </w:r>
      <w:r>
        <w:t xml:space="preserve">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9:</w:t>
      </w:r>
      <w:r>
        <w:t xml:space="preserve"> </w:t>
      </w:r>
      <w:r>
        <w:t xml:space="preserve">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10:</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11:</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12:</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15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1.8.5;</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1.41;</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2.20;</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1.3.2;</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64" Target="media/rId64.png" /><Relationship Type="http://schemas.openxmlformats.org/officeDocument/2006/relationships/image" Id="rId40" Target="media/rId40.png" /><Relationship Type="http://schemas.openxmlformats.org/officeDocument/2006/relationships/hyperlink" Id="rId131" Target="https://CRAN.R-project.org/package=afex" TargetMode="External" /><Relationship Type="http://schemas.openxmlformats.org/officeDocument/2006/relationships/hyperlink" Id="rId98" Target="https://CRAN.R-project.org/package=emmeans" TargetMode="External" /><Relationship Type="http://schemas.openxmlformats.org/officeDocument/2006/relationships/hyperlink" Id="rId92" Target="https://CRAN.R-project.org/package=flextable" TargetMode="External" /><Relationship Type="http://schemas.openxmlformats.org/officeDocument/2006/relationships/hyperlink" Id="rId146" Target="https://bookdown.org/yihui/rmarkdown" TargetMode="External" /><Relationship Type="http://schemas.openxmlformats.org/officeDocument/2006/relationships/hyperlink" Id="rId148" Target="https://bookdown.org/yihui/rmarkdown-cookbook" TargetMode="External" /><Relationship Type="http://schemas.openxmlformats.org/officeDocument/2006/relationships/hyperlink" Id="rId111" Target="https://doi.org/10.1016/0301-0511(88)90013-0" TargetMode="External" /><Relationship Type="http://schemas.openxmlformats.org/officeDocument/2006/relationships/hyperlink" Id="rId90" Target="https://doi.org/10.1093/oxfordhb/9780195374148.013.0243" TargetMode="External" /><Relationship Type="http://schemas.openxmlformats.org/officeDocument/2006/relationships/hyperlink" Id="rId113" Target="https://doi.org/10.1111/1469-8986.3510099" TargetMode="External" /><Relationship Type="http://schemas.openxmlformats.org/officeDocument/2006/relationships/hyperlink" Id="rId133" Target="https://doi.org/10.1111/j.1469-8986.2009.00934.x" TargetMode="External" /><Relationship Type="http://schemas.openxmlformats.org/officeDocument/2006/relationships/hyperlink" Id="rId81" Target="https://doi.org/10.1111/psyp.12001" TargetMode="External" /><Relationship Type="http://schemas.openxmlformats.org/officeDocument/2006/relationships/hyperlink" Id="rId127" Target="https://doi.org/10.1111/psyp.12500" TargetMode="External" /><Relationship Type="http://schemas.openxmlformats.org/officeDocument/2006/relationships/hyperlink" Id="rId107" Target="https://doi.org/10.1111/psyp.13793" TargetMode="External" /><Relationship Type="http://schemas.openxmlformats.org/officeDocument/2006/relationships/hyperlink" Id="rId121" Target="https://doi.org/10.1371/journal.pbio.0030051" TargetMode="External" /><Relationship Type="http://schemas.openxmlformats.org/officeDocument/2006/relationships/hyperlink" Id="rId139" Target="https://doi.org/10.1371/journal.pone.0268916" TargetMode="External" /><Relationship Type="http://schemas.openxmlformats.org/officeDocument/2006/relationships/hyperlink" Id="rId141" Target="https://doi.org/10.21105/joss.01686" TargetMode="External" /><Relationship Type="http://schemas.openxmlformats.org/officeDocument/2006/relationships/hyperlink" Id="rId88" Target="https://doi.org/10.3758/BF03203267" TargetMode="External" /><Relationship Type="http://schemas.openxmlformats.org/officeDocument/2006/relationships/hyperlink" Id="rId83" Target="https://doi.org/10.7717/peerj-cs.108" TargetMode="External" /><Relationship Type="http://schemas.openxmlformats.org/officeDocument/2006/relationships/hyperlink" Id="rId74" Target="https://github.com/crsh/papaja" TargetMode="External" /><Relationship Type="http://schemas.openxmlformats.org/officeDocument/2006/relationships/hyperlink" Id="rId123" Target="https://www.R-project.org/" TargetMode="External" /><Relationship Type="http://schemas.openxmlformats.org/officeDocument/2006/relationships/hyperlink" Id="rId135" Target="https://www.mathworks.com" TargetMode="External" /><Relationship Type="http://schemas.openxmlformats.org/officeDocument/2006/relationships/hyperlink" Id="rId144" Target="https://yihui.org/knitr/"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31" Target="https://CRAN.R-project.org/package=afex" TargetMode="External" /><Relationship Type="http://schemas.openxmlformats.org/officeDocument/2006/relationships/hyperlink" Id="rId98" Target="https://CRAN.R-project.org/package=emmeans" TargetMode="External" /><Relationship Type="http://schemas.openxmlformats.org/officeDocument/2006/relationships/hyperlink" Id="rId92" Target="https://CRAN.R-project.org/package=flextable" TargetMode="External" /><Relationship Type="http://schemas.openxmlformats.org/officeDocument/2006/relationships/hyperlink" Id="rId146" Target="https://bookdown.org/yihui/rmarkdown" TargetMode="External" /><Relationship Type="http://schemas.openxmlformats.org/officeDocument/2006/relationships/hyperlink" Id="rId148" Target="https://bookdown.org/yihui/rmarkdown-cookbook" TargetMode="External" /><Relationship Type="http://schemas.openxmlformats.org/officeDocument/2006/relationships/hyperlink" Id="rId111" Target="https://doi.org/10.1016/0301-0511(88)90013-0" TargetMode="External" /><Relationship Type="http://schemas.openxmlformats.org/officeDocument/2006/relationships/hyperlink" Id="rId90" Target="https://doi.org/10.1093/oxfordhb/9780195374148.013.0243" TargetMode="External" /><Relationship Type="http://schemas.openxmlformats.org/officeDocument/2006/relationships/hyperlink" Id="rId113" Target="https://doi.org/10.1111/1469-8986.3510099" TargetMode="External" /><Relationship Type="http://schemas.openxmlformats.org/officeDocument/2006/relationships/hyperlink" Id="rId133" Target="https://doi.org/10.1111/j.1469-8986.2009.00934.x" TargetMode="External" /><Relationship Type="http://schemas.openxmlformats.org/officeDocument/2006/relationships/hyperlink" Id="rId81" Target="https://doi.org/10.1111/psyp.12001" TargetMode="External" /><Relationship Type="http://schemas.openxmlformats.org/officeDocument/2006/relationships/hyperlink" Id="rId127" Target="https://doi.org/10.1111/psyp.12500" TargetMode="External" /><Relationship Type="http://schemas.openxmlformats.org/officeDocument/2006/relationships/hyperlink" Id="rId107" Target="https://doi.org/10.1111/psyp.13793" TargetMode="External" /><Relationship Type="http://schemas.openxmlformats.org/officeDocument/2006/relationships/hyperlink" Id="rId121" Target="https://doi.org/10.1371/journal.pbio.0030051" TargetMode="External" /><Relationship Type="http://schemas.openxmlformats.org/officeDocument/2006/relationships/hyperlink" Id="rId139" Target="https://doi.org/10.1371/journal.pone.0268916" TargetMode="External" /><Relationship Type="http://schemas.openxmlformats.org/officeDocument/2006/relationships/hyperlink" Id="rId141" Target="https://doi.org/10.21105/joss.01686" TargetMode="External" /><Relationship Type="http://schemas.openxmlformats.org/officeDocument/2006/relationships/hyperlink" Id="rId88" Target="https://doi.org/10.3758/BF03203267" TargetMode="External" /><Relationship Type="http://schemas.openxmlformats.org/officeDocument/2006/relationships/hyperlink" Id="rId83" Target="https://doi.org/10.7717/peerj-cs.108" TargetMode="External" /><Relationship Type="http://schemas.openxmlformats.org/officeDocument/2006/relationships/hyperlink" Id="rId74" Target="https://github.com/crsh/papaja" TargetMode="External" /><Relationship Type="http://schemas.openxmlformats.org/officeDocument/2006/relationships/hyperlink" Id="rId123" Target="https://www.R-project.org/" TargetMode="External" /><Relationship Type="http://schemas.openxmlformats.org/officeDocument/2006/relationships/hyperlink" Id="rId135" Target="https://www.mathworks.com" TargetMode="External" /><Relationship Type="http://schemas.openxmlformats.org/officeDocument/2006/relationships/hyperlink" Id="rId144" Target="https://yihui.org/knitr/"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2023-12-05T10:53:34Z</dcterms:created>
  <dcterms:modified xsi:type="dcterms:W3CDTF">2023-12-05T10:53:34Z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