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8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Dynamic</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work represents the author’s master-thesis. It was completed in R-Markdown with the code for data preparation, analysis, and communication integrated into the scripts. All code needed to replicate this work can be found at:</w:t>
      </w:r>
      <w:r>
        <w:t xml:space="preserve"> </w:t>
      </w:r>
      <w:hyperlink r:id="rId20">
        <w:r>
          <w:rPr>
            <w:rStyle w:val="Hyperlink"/>
          </w:rPr>
          <w:t xml:space="preserve">https://github.com/SLesche/master</w:t>
        </w:r>
      </w:hyperlink>
      <w:r>
        <w:t xml:space="preserve">.</w:t>
      </w:r>
    </w:p>
    <w:p>
      <w:pPr>
        <w:pStyle w:val="Textkrper"/>
      </w:pPr>
      <w:r>
        <w:t xml:space="preserve">Correspondence concerning this article should be addressed to Sven Lesche, Im Neuenheimer Feld 695, 69120 Heidelberg. E-mail:</w:t>
      </w:r>
      <w:r>
        <w:t xml:space="preserve"> </w:t>
      </w:r>
      <w:hyperlink r:id="rId21">
        <w:r>
          <w:rPr>
            <w:rStyle w:val="Hyperlink"/>
          </w:rPr>
          <w:t xml:space="preserve">sven.lesche@psychologie.uni-heidelberg.de</w:t>
        </w:r>
      </w:hyperlink>
    </w:p>
    <w:p>
      <w:pPr>
        <w:pStyle w:val="h1-pagebreak"/>
      </w:pPr>
      <w:r>
        <w:t xml:space="preserve">Abstract</w:t>
      </w:r>
    </w:p>
    <w:p>
      <w:pPr>
        <w:pStyle w:val="Textkrper"/>
      </w:pPr>
      <w:r>
        <w:t xml:space="preserve">Investigating the latency of event-related potentials (ERPs) in EEG data allows insight into the timing of cognitive processes.</w:t>
      </w:r>
      <w:r>
        <w:t xml:space="preserve"> </w:t>
      </w:r>
      <w:r>
        <w:t xml:space="preserve">This work introduces a novel algorithm for latency extraction based on template matching. The algorithm uses the grand average to generate an experiment-specific template of the component of interest and then matches transformations of that template to subject-level ERPs. These transformations allow quantification of individual differences in latency.</w:t>
      </w:r>
      <w:r>
        <w:t xml:space="preserve"> </w:t>
      </w:r>
      <w:r>
        <w:t xml:space="preserve">I compared the new algorithm to peak latency and area latency algorithms by extracting P3 latencies from the same data as Sadus et al. (2023).</w:t>
      </w:r>
      <w:r>
        <w:t xml:space="preserve"> </w:t>
      </w:r>
      <w:r>
        <w:t xml:space="preserve">The new algorithm displayed superior psychometric properties and correlated highly with latency values extracted manually by an expert ERP researcher. The algorithm provides a fit statistic for each subject-level ERP, indicating the degree of certainty the algorithm has in its decision. This allows researchers to automatically discard or manually review choices the algorithm has made based on an informative fit statistic.</w:t>
      </w:r>
      <w:r>
        <w:t xml:space="preserve"> </w:t>
      </w:r>
      <w:r>
        <w:t xml:space="preserve">While manual review slightly improved the results, the algorithm was able to generate reliable latency values that correlate highly with decisions made manually by an expert even when the algorithm is applied in a fully automatic fashion.</w:t>
      </w:r>
      <w:r>
        <w:t xml:space="preserve"> </w:t>
      </w:r>
      <w:r>
        <w:t xml:space="preserve">Overall, application of this template matching algorithm improves psychometric qualities and provides a more objective, efficient, and robust way to extract latencies of ERP components.</w:t>
      </w:r>
    </w:p>
    <w:p>
      <w:pPr>
        <w:pStyle w:val="Textkrper"/>
      </w:pPr>
      <w:r>
        <w:rPr>
          <w:iCs/>
          <w:i/>
        </w:rPr>
        <w:t xml:space="preserve">Keywords:</w:t>
      </w:r>
      <w:r>
        <w:t xml:space="preserve"> </w:t>
      </w:r>
      <w:r>
        <w:t xml:space="preserve">event-related potentials, latency extraction, P3, template matching</w:t>
      </w:r>
    </w:p>
    <w:p>
      <w:pPr>
        <w:pStyle w:val="h1-pagebreak"/>
      </w:pPr>
      <w:r>
        <w:t xml:space="preserve">Automatically Extracting ERP Component Latencies Using a Dynamic Template Matching Algorithm</w:t>
      </w:r>
    </w:p>
    <w:bookmarkStart w:id="39"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the use of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Low objectivity endangers replicability, it is therefore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I aim to show that this new algorithm improves on existing approaches and enables more efficient, objective, reliable, and valid extraction of ERP latencies.</w:t>
      </w:r>
    </w:p>
    <w:bookmarkStart w:id="22"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its ease of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of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improved by only considering those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Here, the broader measurement window that most researchers use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beginning and end of the signal in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t xml:space="preserve">“</w:t>
      </w:r>
      <w:r>
        <w:t xml:space="preserve">There is nothing special about the point at which the voltage reaches a local maximum</w:t>
      </w:r>
      <w:r>
        <w:t xml:space="preserve">”</w:t>
      </w:r>
      <w:r>
        <w:t xml:space="preserve"> </w:t>
      </w:r>
      <w:r>
        <w:t xml:space="preserve">(p. 286).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2"/>
      </w:pPr>
      <w:r>
        <w:t xml:space="preserve">Jackknifing</w:t>
      </w:r>
    </w:p>
    <w:p>
      <w:pPr>
        <w:pStyle w:val="FirstParagraph"/>
      </w:pPr>
      <w:r>
        <w:t xml:space="preserve">Another approach towards dealing with noisy subject-level ERPs is to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A total of</w:t>
      </w:r>
      <w:r>
        <w:t xml:space="preserve"> </w:t>
      </w:r>
      <m:oMath>
        <m:r>
          <m:t>N</m:t>
        </m:r>
        <m:r>
          <m:rPr>
            <m:sty m:val="p"/>
          </m:rPr>
          <m:t>−</m:t>
        </m:r>
        <m:r>
          <m:t>1</m:t>
        </m:r>
      </m:oMath>
      <w:r>
        <w:t xml:space="preserve"> </w:t>
      </w:r>
      <w:r>
        <w:t xml:space="preserve">subject-level ERPs are averaged, each subject-level signal being left out once. This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that is able to generate individual-level latency estimates.</w:t>
      </w:r>
    </w:p>
    <w:bookmarkEnd w:id="24"/>
    <w:bookmarkStart w:id="25"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in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w:t>
      </w:r>
    </w:p>
    <w:p>
      <w:pPr>
        <w:pStyle w:val="Textkrper"/>
      </w:pPr>
      <w:r>
        <w:t xml:space="preserve">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wascher2022mental">
        <w:r>
          <w:rPr>
            <w:rStyle w:val="Hyperlink"/>
          </w:rPr>
          <w:t xml:space="preserve">Wascher et al., 2022</w:t>
        </w:r>
      </w:hyperlink>
      <w:r>
        <w:t xml:space="preserve">)</w:t>
      </w:r>
      <w:r>
        <w:t xml:space="preserve">. Yet, manual extraction methods are highly time-consuming and impede reproducibility. I hope to show that my algorithm can match the performance of manual extraction while providing a more efficient and objective approach for extracting individual component latency values.</w:t>
      </w:r>
    </w:p>
    <w:bookmarkEnd w:id="25"/>
    <w:bookmarkStart w:id="28" w:name="template-matching"/>
    <w:p>
      <w:pPr>
        <w:pStyle w:val="berschrift2"/>
      </w:pPr>
      <w:r>
        <w:t xml:space="preserve">Template Matching</w:t>
      </w:r>
    </w:p>
    <w:p>
      <w:pPr>
        <w:pStyle w:val="FirstParagraph"/>
      </w:pPr>
      <w:r>
        <w:t xml:space="preserve">The algorithm proposed in this master thesis aims to resemble the process expert ERP researches employ during manual latency extraction. Most ERP researchers use the grand average to gather insight into what the component of interest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what the implementation details of a particular template matching algorithm are, they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a template they want to search the signal for and second, a</w:t>
      </w:r>
      <w:r>
        <w:t xml:space="preserve"> </w:t>
      </w:r>
      <w:r>
        <w:rPr>
          <w:iCs/>
          <w:i/>
        </w:rPr>
        <w:t xml:space="preserve">similarity measure</w:t>
      </w:r>
      <w:r>
        <w:t xml:space="preserve"> </w:t>
      </w:r>
      <w:r>
        <w:t xml:space="preserve">that quantifies how well the template fits in a given spot of the signal.</w:t>
      </w:r>
    </w:p>
    <w:bookmarkStart w:id="26" w:name="similarity-measures"/>
    <w:p>
      <w:pPr>
        <w:pStyle w:val="berschrift3"/>
      </w:pPr>
      <w:r>
        <w:t xml:space="preserve">Similarity measures.</w:t>
      </w:r>
    </w:p>
    <w:p>
      <w:pPr>
        <w:pStyle w:val="FirstParagraph"/>
      </w:pPr>
      <w:r>
        <w:t xml:space="preserve">Specifying the template is mostly a substantive question that depends on the specific task and type of signal. Choosing a similarity measure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one of each of the two of the possible types, the first minimizing the sum of squared differences and the second maximizing the correlation between the template and the signal. I wanted to implement both a similarity measure following a traditional distance-minimization approach and a correlation-based approach in order to gauge the efficacy of these approaches when applied to ERP research. I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MAXCOR</w:t>
      </w:r>
      <w:r>
        <w:t xml:space="preserve">.</w:t>
      </w:r>
    </w:p>
    <w:bookmarkEnd w:id="26"/>
    <w:bookmarkStart w:id="27" w:name="template-generation"/>
    <w:p>
      <w:pPr>
        <w:pStyle w:val="berschrift3"/>
      </w:pPr>
      <w:r>
        <w:t xml:space="preserve">Template generation.</w:t>
      </w:r>
    </w:p>
    <w:p>
      <w:pPr>
        <w:pStyle w:val="FirstParagraph"/>
      </w:pPr>
      <w:r>
        <w:t xml:space="preserve">Depending on the field of study, the template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7"/>
    <w:bookmarkEnd w:id="28"/>
    <w:bookmarkStart w:id="29"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w:t>
      </w:r>
      <w:r>
        <w:t xml:space="preserve"> </w:t>
      </w:r>
      <w:r>
        <w:t xml:space="preserve">“</w:t>
      </w:r>
      <w:r>
        <w:t xml:space="preserve">bump</w:t>
      </w:r>
      <w:r>
        <w:t xml:space="preserve">”</w:t>
      </w:r>
      <w:r>
        <w:t xml:space="preserve"> </w:t>
      </w:r>
      <w:r>
        <w:t xml:space="preserve">in the signal of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9"/>
    <w:bookmarkStart w:id="30"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used.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task-specific, and subject-sample-specific variance in the morphology of ERP components, resulting in a template that does not optimally reflect the data. I addressed this problem by using the grand average as an experiment-specific template of the component of interest. The grand average reflects influences of the task and sample on the morphology of the idealized ERP component while retaining a high signal-to-noise ratio.</w:t>
      </w:r>
    </w:p>
    <w:p>
      <w:pPr>
        <w:pStyle w:val="Textkrper"/>
      </w:pPr>
      <w:r>
        <w:t xml:space="preserve">This makes the grand average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researchers often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w:t>
      </w:r>
      <w:hyperlink w:anchor="ref-luck2014introduction">
        <w:r>
          <w:rPr>
            <w:rStyle w:val="Hyperlink"/>
          </w:rPr>
          <w:t xml:space="preserve">Luck, 2014</w:t>
        </w:r>
      </w:hyperlink>
      <w:r>
        <w:t xml:space="preserve">)</w:t>
      </w:r>
      <w:r>
        <w:t xml:space="preserve">.</w:t>
      </w:r>
    </w:p>
    <w:p>
      <w:pPr>
        <w:pStyle w:val="Textkrper"/>
      </w:pPr>
      <w:r>
        <w:t xml:space="preserve">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pPr>
        <w:pStyle w:val="Textkrper"/>
      </w:pPr>
      <w:r>
        <w:t xml:space="preserve">Due to these individual differences, there may be a mismatch between a particular subject-level ERP and the grand average. For example, a specific signal may have higher amplitudes than the grand average or the component may appear earlier. Quantifying this deviation of a particular subject-level ERP from the grand average in amplitude and time-course is precisely the goal of this algorithm.</w:t>
      </w:r>
    </w:p>
    <w:p>
      <w:pPr>
        <w:pStyle w:val="Textkrper"/>
      </w:pPr>
      <w:r>
        <w:t xml:space="preserve">To measure the deviation in amplitude and time-course, I introduce free parameters that transform the template in its amplitude and time-course. Because of this transformation, the algorithm does not attempt to match a specific, static template. Rather, it attempts to match a variable template and then determines which transformation fits the particular subject-level ERP best. Crudely, each version of the variable template reflects an adaptation of the idealized template that I obtained using the grand average that has higher vs. lower overall amplitudes and earlier vs. later latencies of the component of interest. Determining which transformation of the template has the best fit to the subject-level ERP allows the algorithm to quantify the deviation in amplitude and time-course of a specific subject-level ERP in relation to the grand average. This results in a deviance measure quantifying individual differences in amplitude and time-course.</w:t>
      </w:r>
    </w:p>
    <w:bookmarkEnd w:id="30"/>
    <w:bookmarkStart w:id="35" w:name="mapping-individual-differences"/>
    <w:p>
      <w:pPr>
        <w:pStyle w:val="berschrift2"/>
      </w:pPr>
      <w:r>
        <w:t xml:space="preserve">Mapping individual differences</w:t>
      </w:r>
    </w:p>
    <w:p>
      <w:pPr>
        <w:pStyle w:val="FirstParagraph"/>
      </w:pPr>
      <w:r>
        <w:t xml:space="preserve">For this master thesis, I only allow linear transformations of the template to reflect changes in amplitude and time-course. This was done in an effort to limit the complexity and increase the traceability of the algorithm.</w:t>
      </w:r>
      <w:r>
        <w:t xml:space="preserve"> </w:t>
      </w:r>
      <w:r>
        <w:t xml:space="preserve">One key characteristic of ERP signals is that the signal at</w:t>
      </w:r>
      <w:r>
        <w:t xml:space="preserve"> </w:t>
      </w:r>
      <m:oMath>
        <m:r>
          <m:t>0</m:t>
        </m:r>
        <m:r>
          <m:t> </m:t>
        </m:r>
        <m:r>
          <m:t>m</m:t>
        </m:r>
        <m:r>
          <m:t>s</m:t>
        </m:r>
      </m:oMath>
      <w:r>
        <w:t xml:space="preserve"> </w:t>
      </w:r>
      <w:r>
        <w:t xml:space="preserve">is always equal to</w:t>
      </w:r>
      <w:r>
        <w:t xml:space="preserve"> </w:t>
      </w:r>
      <m:oMath>
        <m:r>
          <m:t>0</m:t>
        </m:r>
        <m:r>
          <m:t> </m:t>
        </m:r>
        <m:r>
          <m:t>μ</m:t>
        </m:r>
        <m:r>
          <m:t>V</m:t>
        </m:r>
      </m:oMath>
      <w:r>
        <w:t xml:space="preserve">. Therefore, I chose to restrict the algorithm to linear transformations of the template that also do not disturb this property. Horizontal</w:t>
      </w:r>
      <w:r>
        <w:t xml:space="preserve"> </w:t>
      </w:r>
      <w:r>
        <w:t xml:space="preserve">“</w:t>
      </w:r>
      <w:r>
        <w:t xml:space="preserve">shifts</w:t>
      </w:r>
      <w:r>
        <w:t xml:space="preserve">”</w:t>
      </w:r>
      <w:r>
        <w:t xml:space="preserve"> </w:t>
      </w:r>
      <w:r>
        <w:t xml:space="preserve">of the template’s signal, for example, would lead to non-zero signal at</w:t>
      </w:r>
      <w:r>
        <w:t xml:space="preserve"> </w:t>
      </w:r>
      <m:oMath>
        <m:r>
          <m:t>0</m:t>
        </m:r>
        <m:r>
          <m:t> </m:t>
        </m:r>
        <m:r>
          <m:t>m</m:t>
        </m:r>
        <m:r>
          <m:t>s</m:t>
        </m:r>
      </m:oMath>
      <w:r>
        <w:t xml:space="preserve">. Therefore, the algorithm is not allowed to introduce variability into the template through horizontal shifts. For this master thesis, I only implemented two transformations, controlled by one free parameter each.</w:t>
      </w:r>
    </w:p>
    <w:p>
      <w:pPr>
        <w:pStyle w:val="Textkrper"/>
      </w:pPr>
      <w:r>
        <w:t xml:space="preserve">Variability in amplitude is controlled by the transformation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compressing</w:t>
      </w:r>
      <w:r>
        <w:t xml:space="preserve">”</w:t>
      </w:r>
      <w:r>
        <w:t xml:space="preserve"> </w:t>
      </w:r>
      <w:r>
        <w:t xml:space="preserve">the template along the x-axis (see Figure</w:t>
      </w:r>
      <w:r>
        <w:t xml:space="preserve"> </w:t>
      </w:r>
      <w:r>
        <w:t xml:space="preserve">1</w:t>
      </w:r>
      <w:r>
        <w:t xml:space="preserve">). Importantly, this does not</w:t>
      </w:r>
      <w:r>
        <w:t xml:space="preserve"> </w:t>
      </w:r>
      <w:r>
        <w:t xml:space="preserve">“</w:t>
      </w:r>
      <w:r>
        <w:t xml:space="preserve">shift</w:t>
      </w:r>
      <w:r>
        <w:t xml:space="preserve">”</w:t>
      </w:r>
      <w:r>
        <w:t xml:space="preserve"> </w:t>
      </w:r>
      <w:r>
        <w:t xml:space="preserve">the signal, which would lead to a non-zero signal at the origin.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me to quantify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pPr>
        <w:pStyle w:val="CaptionedFigure"/>
      </w:pPr>
      <w:r>
        <w:drawing>
          <wp:inline>
            <wp:extent cx="4476750" cy="3541818"/>
            <wp:effectExtent b="0" l="0" r="0" t="0"/>
            <wp:docPr descr="Figure 1: Scaling Templates Horizontally" title="" id="32" name="Picture"/>
            <a:graphic>
              <a:graphicData uri="http://schemas.openxmlformats.org/drawingml/2006/picture">
                <pic:pic>
                  <pic:nvPicPr>
                    <pic:cNvPr descr="images/b_scale.png" id="33" name="Picture"/>
                    <pic:cNvPicPr>
                      <a:picLocks noChangeArrowheads="1" noChangeAspect="1"/>
                    </pic:cNvPicPr>
                  </pic:nvPicPr>
                  <pic:blipFill>
                    <a:blip r:embed="rId31"/>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4" w:name="fig:b-scale-example"/>
      <w:bookmarkEnd w:id="34"/>
      <w:r>
        <w:t xml:space="preserve">Figure 1: Scaling Templates Horizontally</w:t>
      </w:r>
    </w:p>
    <w:bookmarkEnd w:id="35"/>
    <w:bookmarkStart w:id="36" w:name="measurement-windows"/>
    <w:p>
      <w:pPr>
        <w:pStyle w:val="berschrift2"/>
      </w:pPr>
      <w:r>
        <w:t xml:space="preserve">Measurement windows</w:t>
      </w:r>
    </w:p>
    <w:p>
      <w:pPr>
        <w:pStyle w:val="FirstParagraph"/>
      </w:pPr>
      <w:r>
        <w:t xml:space="preserve">The two key ingredients for template matching are present. I use the grand average to construct a variable template that is then matched to a particular subject-level ERP by optimizing either the distance-criterion</w:t>
      </w:r>
      <w:r>
        <w:t xml:space="preserve"> </w:t>
      </w:r>
      <w:r>
        <w:rPr>
          <w:iCs/>
          <w:i/>
        </w:rPr>
        <w:t xml:space="preserve">MINSQ</w:t>
      </w:r>
      <w:r>
        <w:t xml:space="preserve"> </w:t>
      </w:r>
      <w:r>
        <w:t xml:space="preserve">or the correlation-criterion</w:t>
      </w:r>
      <w:r>
        <w:t xml:space="preserve"> </w:t>
      </w:r>
      <w:r>
        <w:rPr>
          <w:iCs/>
          <w:i/>
        </w:rPr>
        <w:t xml:space="preserve">MAXCOR</w:t>
      </w:r>
      <w:r>
        <w:t xml:space="preserve">. However, during manual inspection of ERP signals, not all signal is considered equal. Depending on the component of interest, different points in time of the signal are viewed as more or less relevant. When an early component, e.g. the P1, is the target, the activity after 600ms becomes less relevant. Similarly, when a late component is of interest, early activity becomes less relevant than activity at those times where the component typically occurs.</w:t>
      </w:r>
    </w:p>
    <w:p>
      <w:pPr>
        <w:pStyle w:val="Textkrper"/>
      </w:pPr>
      <w:r>
        <w:t xml:space="preserve">I extended the template matching algorithm to incorporate this information. A time window can be supplied to the algorithm that specifies at which time-points the signal of the template is more important. Similar to the measurement windows used in previous approaches, this time window should be constructed based on visual inspection of the grand average</w:t>
      </w:r>
      <w:r>
        <w:t xml:space="preserve"> </w:t>
      </w:r>
      <w:r>
        <w:t xml:space="preserve">(</w:t>
      </w:r>
      <w:hyperlink w:anchor="ref-kiesel2008measurement">
        <w:r>
          <w:rPr>
            <w:rStyle w:val="Hyperlink"/>
          </w:rPr>
          <w:t xml:space="preserve">Kiesel et al., 2008</w:t>
        </w:r>
      </w:hyperlink>
      <w:r>
        <w:t xml:space="preserve">)</w:t>
      </w:r>
      <w:r>
        <w:t xml:space="preserve">. The similarity between transformed template and signal is weighted to be more important in that time window than outside of it. For example, if a late component, like the P3, is the target and the grand average shows that the activity of this component occurs mostly between 200 - 700 ms, the algorithm can take that information into account by weighting the similarity measure during that time with a higher weight than signal that lies outside of 200 - 700 ms.</w:t>
      </w:r>
    </w:p>
    <w:bookmarkEnd w:id="36"/>
    <w:bookmarkStart w:id="37" w:name="why-the-algorithm-may-perform-better"/>
    <w:p>
      <w:pPr>
        <w:pStyle w:val="berschrift2"/>
      </w:pPr>
      <w:r>
        <w:t xml:space="preserve">Why the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important goal, allowing more insight into the benefits and drawbacks of the algorithm.</w:t>
      </w:r>
    </w:p>
    <w:bookmarkEnd w:id="37"/>
    <w:bookmarkStart w:id="38" w:name="the-present-study"/>
    <w:p>
      <w:pPr>
        <w:pStyle w:val="berschrift2"/>
      </w:pPr>
      <w:r>
        <w:t xml:space="preserve">The present study</w:t>
      </w:r>
    </w:p>
    <w:p>
      <w:pPr>
        <w:pStyle w:val="FirstParagraph"/>
      </w:pPr>
      <w:r>
        <w:t xml:space="preserve">In order to compare the quality of my proposed algorithm with the quality of previously proposed algorithms, I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often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also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and</w:t>
      </w:r>
      <w:r>
        <w:t xml:space="preserve"> </w:t>
      </w:r>
      <w:r>
        <w:rPr>
          <w:iCs/>
          <w:i/>
        </w:rPr>
        <w:t xml:space="preserve">inhibition</w:t>
      </w:r>
      <w:r>
        <w:t xml:space="preserve">, they employed an Nback, a Switching, and a Flanker Task, respectively. Studying three different tasks allows insight into a larger variety of higher-order cognitive processing, improving the generalizability of my findings.</w:t>
      </w:r>
    </w:p>
    <w:p>
      <w:pPr>
        <w:pStyle w:val="Textkrper"/>
      </w:pPr>
      <w:r>
        <w:t xml:space="preserve">For the present work, I will restrict the analysis to extracting P3 latencies, as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it one of the easier components to extract using automated latency extraction approaches. After I can demonstrate proof-of-concept for P3 latency extraction, I will evaluate whether I can apply the algorithm to other ERP components in future work.</w:t>
      </w:r>
    </w:p>
    <w:p>
      <w:pPr>
        <w:pStyle w:val="Textkrper"/>
      </w:pPr>
      <w:r>
        <w:t xml:space="preserve">To investigate the impact of choices made by the researcher during preprocessing and analysis, I will vary the low-pass filter frequency as well as the measurement window used during template matching. This will allow me to gain insight into which combination of preprocessing steps and size of measurement window leads to most optimal results.</w:t>
      </w:r>
    </w:p>
    <w:p>
      <w:pPr>
        <w:pStyle w:val="Textkrper"/>
      </w:pPr>
      <w:r>
        <w:t xml:space="preserve">I hope to show that a template matching algorithm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bookmarkEnd w:id="38"/>
    <w:bookmarkEnd w:id="39"/>
    <w:bookmarkStart w:id="48" w:name="implementation"/>
    <w:p>
      <w:pPr>
        <w:pStyle w:val="berschrift1"/>
      </w:pPr>
      <w:r>
        <w:t xml:space="preserve">Implementation</w:t>
      </w:r>
    </w:p>
    <w:p>
      <w:pPr>
        <w:pStyle w:val="FirstParagraph"/>
      </w:pPr>
      <w:r>
        <w:t xml:space="preserve">I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Let the vector</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 </w:t>
      </w:r>
      <w:r>
        <w:t xml:space="preserve">denote the time-points at which a subject-level signal</w:t>
      </w:r>
      <w:r>
        <w:t xml:space="preserve"> </w:t>
      </w:r>
      <m:oMath>
        <m:sSub>
          <m:e>
            <m:r>
              <m:t>s</m:t>
            </m:r>
          </m:e>
          <m:sub>
            <m:r>
              <m:t>j</m:t>
            </m:r>
          </m:sub>
        </m:sSub>
        <m:r>
          <m:rPr>
            <m:sty m:val="p"/>
          </m:rPr>
          <m:t>=</m:t>
        </m:r>
        <m:d>
          <m:dPr>
            <m:begChr m:val="("/>
            <m:endChr m:val=")"/>
            <m:sepChr m:val=""/>
            <m:grow/>
          </m:dPr>
          <m:e>
            <m:sSub>
              <m:e>
                <m:r>
                  <m:t>s</m:t>
                </m:r>
              </m:e>
              <m:sub>
                <m:r>
                  <m:t>1</m:t>
                </m:r>
              </m:sub>
            </m:sSub>
            <m:r>
              <m:rPr>
                <m:sty m:val="p"/>
              </m:rPr>
              <m:t>,</m:t>
            </m:r>
            <m:sSub>
              <m:e>
                <m:r>
                  <m:t>s</m:t>
                </m:r>
              </m:e>
              <m:sub>
                <m:r>
                  <m:t>2</m:t>
                </m:r>
              </m:sub>
            </m:sSub>
            <m:r>
              <m:rPr>
                <m:sty m:val="p"/>
              </m:rPr>
              <m:t>,</m:t>
            </m:r>
            <m:r>
              <m:rPr>
                <m:sty m:val="p"/>
              </m:rPr>
              <m:t>.</m:t>
            </m:r>
            <m:r>
              <m:rPr>
                <m:sty m:val="p"/>
              </m:rPr>
              <m:t>.</m:t>
            </m:r>
            <m:r>
              <m:rPr>
                <m:sty m:val="p"/>
              </m:rPr>
              <m:t>.</m:t>
            </m:r>
            <m:r>
              <m:rPr>
                <m:sty m:val="p"/>
              </m:rPr>
              <m:t>,</m:t>
            </m:r>
            <m:sSub>
              <m:e>
                <m:r>
                  <m:t>s</m:t>
                </m:r>
              </m:e>
              <m:sub>
                <m:r>
                  <m:t>n</m:t>
                </m:r>
              </m:sub>
            </m:sSub>
          </m:e>
        </m:d>
      </m:oMath>
      <w:r>
        <w:t xml:space="preserve"> </w:t>
      </w:r>
      <w:r>
        <w:t xml:space="preserve">of subject</w:t>
      </w:r>
      <w:r>
        <w:t xml:space="preserve"> </w:t>
      </w:r>
      <m:oMath>
        <m:r>
          <m:t>j</m:t>
        </m:r>
      </m:oMath>
      <w:r>
        <w:t xml:space="preserve"> </w:t>
      </w:r>
      <w:r>
        <w:t xml:space="preserve">is taken and</w:t>
      </w:r>
      <w:r>
        <w:t xml:space="preserve"> </w:t>
      </w:r>
      <m:oMath>
        <m:r>
          <m:t>t</m:t>
        </m:r>
        <m:r>
          <m:rPr>
            <m:sty m:val="p"/>
          </m:rPr>
          <m:t>=</m:t>
        </m:r>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n</m:t>
                </m:r>
              </m:sub>
            </m:sSub>
          </m:e>
        </m:d>
      </m:oMath>
      <w:r>
        <w:t xml:space="preserve"> </w:t>
      </w:r>
      <w:r>
        <w:t xml:space="preserve">the signal of the template. In order to transform the template, I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find a</w:t>
      </w:r>
      <w:r>
        <w:t xml:space="preserve"> </w:t>
      </w:r>
      <w:r>
        <w:rPr>
          <w:iCs/>
          <w:i/>
        </w:rPr>
        <w:t xml:space="preserve">sum of sines</w:t>
      </w:r>
      <w:r>
        <w:t xml:space="preserve"> </w:t>
      </w:r>
      <w:r>
        <w:t xml:space="preserve">function with</w:t>
      </w:r>
      <w:r>
        <w:t xml:space="preserve"> </w:t>
      </w:r>
      <m:oMath>
        <m:r>
          <m:t>k</m:t>
        </m:r>
      </m:oMath>
      <w:r>
        <w:t xml:space="preserve"> </w:t>
      </w:r>
      <w:r>
        <w:t xml:space="preserve">sine terms</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r>
            <m:t>a</m:t>
          </m:r>
          <m:nary>
            <m:naryPr>
              <m:chr m:val="∑"/>
              <m:limLoc m:val="undOvr"/>
              <m:subHide m:val="0"/>
              <m:supHide m:val="0"/>
            </m:naryPr>
            <m:sub>
              <m:r>
                <m:t>i</m:t>
              </m:r>
              <m:r>
                <m:rPr>
                  <m:sty m:val="p"/>
                </m:rPr>
                <m:t>=</m:t>
              </m:r>
              <m:r>
                <m:t>1</m:t>
              </m:r>
            </m:sub>
            <m:sup>
              <m:r>
                <m:t>k</m:t>
              </m:r>
            </m:sup>
            <m:e>
              <m:sSub>
                <m:e>
                  <m:r>
                    <m:t>A</m:t>
                  </m:r>
                </m:e>
                <m:sub>
                  <m:r>
                    <m:t>i</m:t>
                  </m:r>
                </m:sub>
              </m:sSub>
            </m:e>
          </m:nary>
          <m:r>
            <m:t>s</m:t>
          </m:r>
          <m:r>
            <m:t>i</m:t>
          </m:r>
          <m:r>
            <m:t>n</m:t>
          </m:r>
          <m:d>
            <m:dPr>
              <m:begChr m:val="("/>
              <m:endChr m:val=")"/>
              <m:sepChr m:val=""/>
              <m:grow/>
            </m:dPr>
            <m:e>
              <m:r>
                <m:t>b</m:t>
              </m:r>
              <m:sSub>
                <m:e>
                  <m:r>
                    <m:t>f</m:t>
                  </m:r>
                </m:e>
                <m:sub>
                  <m:r>
                    <m:t>i</m:t>
                  </m:r>
                </m:sub>
              </m:sSub>
              <m:r>
                <m:t>x</m:t>
              </m:r>
              <m:r>
                <m:rPr>
                  <m:sty m:val="p"/>
                </m:rPr>
                <m:t>+</m:t>
              </m:r>
              <m:sSub>
                <m:e>
                  <m:r>
                    <m:t>ϕ</m:t>
                  </m:r>
                </m:e>
                <m:sub>
                  <m:r>
                    <m:t>i</m:t>
                  </m:r>
                </m:sub>
              </m:sSub>
            </m:e>
          </m:d>
          <m:r>
            <m:rPr>
              <m:sty m:val="p"/>
            </m:rPr>
            <m:t>,</m:t>
          </m:r>
        </m:oMath>
      </m:oMathPara>
    </w:p>
    <w:p>
      <w:pPr>
        <w:pStyle w:val="FirstParagraph"/>
      </w:pPr>
      <w:r>
        <w:t xml:space="preserve">where</w:t>
      </w:r>
      <w:r>
        <w:t xml:space="preserve"> </w:t>
      </w:r>
      <m:oMath>
        <m:r>
          <m:t>x</m:t>
        </m:r>
      </m:oMath>
      <w:r>
        <w:t xml:space="preserve"> </w:t>
      </w:r>
      <w:r>
        <w:t xml:space="preserve">denotes a time-point,</w:t>
      </w:r>
      <w:r>
        <w:t xml:space="preserve"> </w:t>
      </w:r>
      <m:oMath>
        <m:r>
          <m:t>a</m:t>
        </m:r>
      </m:oMath>
      <w:r>
        <w:t xml:space="preserve"> </w:t>
      </w:r>
      <w:r>
        <w:t xml:space="preserve">represents the amplitude-scaling parameter,</w:t>
      </w:r>
      <w:r>
        <w:t xml:space="preserve"> </w:t>
      </w:r>
      <m:oMath>
        <m:r>
          <m:t>b</m:t>
        </m:r>
      </m:oMath>
      <w:r>
        <w:t xml:space="preserve"> </w:t>
      </w:r>
      <w:r>
        <w:t xml:space="preserve">represents the latency-scaling parameter and</w:t>
      </w:r>
      <w:r>
        <w:t xml:space="preserve"> </w:t>
      </w:r>
      <m:oMath>
        <m:sSub>
          <m:e>
            <m:r>
              <m:t>A</m:t>
            </m:r>
          </m:e>
          <m:sub>
            <m:r>
              <m:t>i</m:t>
            </m:r>
          </m:sub>
        </m:sSub>
      </m:oMath>
      <w:r>
        <w:t xml:space="preserve">,</w:t>
      </w:r>
      <w:r>
        <w:t xml:space="preserve"> </w:t>
      </w:r>
      <m:oMath>
        <m:sSub>
          <m:e>
            <m:r>
              <m:t>f</m:t>
            </m:r>
          </m:e>
          <m:sub>
            <m:r>
              <m:t>i</m:t>
            </m:r>
          </m:sub>
        </m:sSub>
      </m:oMath>
      <w:r>
        <w:t xml:space="preserve">, and</w:t>
      </w:r>
      <w:r>
        <w:t xml:space="preserve"> </w:t>
      </w:r>
      <m:oMath>
        <m:sSub>
          <m:e>
            <m:r>
              <m:t>ϕ</m:t>
            </m:r>
          </m:e>
          <m:sub>
            <m:r>
              <m:t>i</m:t>
            </m:r>
          </m:sub>
        </m:sSub>
      </m:oMath>
      <w:r>
        <w:t xml:space="preserve"> </w:t>
      </w:r>
      <w:r>
        <w:t xml:space="preserve">denote amplitude, frequency, phase. The sum of sines parameter vectors</w:t>
      </w:r>
      <w:r>
        <w:t xml:space="preserve"> </w:t>
      </w:r>
      <m:oMath>
        <m:r>
          <m:t>A</m:t>
        </m:r>
      </m:oMath>
      <w:r>
        <w:t xml:space="preserve">,</w:t>
      </w:r>
      <w:r>
        <w:t xml:space="preserve"> </w:t>
      </w:r>
      <m:oMath>
        <m:r>
          <m:t>f</m:t>
        </m:r>
      </m:oMath>
      <w:r>
        <w:t xml:space="preserve">, and</w:t>
      </w:r>
      <w:r>
        <w:t xml:space="preserve"> </w:t>
      </w:r>
      <m:oMath>
        <m:r>
          <m:t>ϕ</m:t>
        </m:r>
      </m:oMath>
      <w:r>
        <w:t xml:space="preserve"> </w:t>
      </w:r>
      <w:r>
        <w:t xml:space="preserve">are optimized such that</w:t>
      </w:r>
      <w:r>
        <w:t xml:space="preserve"> </w:t>
      </w:r>
      <m:oMath>
        <m:r>
          <m:t>f</m:t>
        </m:r>
        <m:d>
          <m:dPr>
            <m:begChr m:val="("/>
            <m:endChr m:val=")"/>
            <m:sepChr m:val=""/>
            <m:grow/>
          </m:dPr>
          <m:e>
            <m:r>
              <m:t>x</m:t>
            </m:r>
            <m:r>
              <m:rPr>
                <m:sty m:val="p"/>
              </m:rPr>
              <m:t>,</m:t>
            </m:r>
            <m:r>
              <m:t>1</m:t>
            </m:r>
            <m:r>
              <m:rPr>
                <m:sty m:val="p"/>
              </m:rPr>
              <m:t>,</m:t>
            </m:r>
            <m:r>
              <m:t>1</m:t>
            </m:r>
          </m:e>
        </m:d>
      </m:oMath>
      <w:r>
        <w:t xml:space="preserve"> </w:t>
      </w:r>
      <w:r>
        <w:t xml:space="preserve">predicts</w:t>
      </w:r>
      <w:r>
        <w:t xml:space="preserve"> </w:t>
      </w:r>
      <m:oMath>
        <m:r>
          <m:t>t</m:t>
        </m:r>
      </m:oMath>
      <w:r>
        <w:t xml:space="preserve"> </w:t>
      </w:r>
      <w:r>
        <w:t xml:space="preserve">with</w:t>
      </w:r>
      <w:r>
        <w:t xml:space="preserve"> </w:t>
      </w:r>
      <m:oMath>
        <m:sSup>
          <m:e>
            <m:r>
              <m:t>R</m:t>
            </m:r>
          </m:e>
          <m:sup>
            <m:r>
              <m:t>2</m:t>
            </m:r>
          </m:sup>
        </m:sSup>
        <m:r>
          <m:rPr>
            <m:sty m:val="p"/>
          </m:rPr>
          <m:t>≥</m:t>
        </m:r>
        <m:r>
          <m:t>0.999</m:t>
        </m:r>
      </m:oMath>
      <w:r>
        <w:t xml:space="preserve"> </w:t>
      </w:r>
      <w:r>
        <w:t xml:space="preserve">the number of sine terms</w:t>
      </w:r>
      <w:r>
        <w:t xml:space="preserve"> </w:t>
      </w:r>
      <m:oMath>
        <m:r>
          <m:t>k</m:t>
        </m:r>
      </m:oMath>
      <w:r>
        <w:t xml:space="preserve"> </w:t>
      </w:r>
      <w:r>
        <w:t xml:space="preserve">is increased until this fit is achieved. After the sum of sines function is found, the variable template is given by the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 the parameter</w:t>
      </w:r>
      <w:r>
        <w:t xml:space="preserve"> </w:t>
      </w:r>
      <m:oMath>
        <m:r>
          <m:t>a</m:t>
        </m:r>
      </m:oMath>
      <w:r>
        <w:t xml:space="preserve"> </w:t>
      </w:r>
      <w:r>
        <w:t xml:space="preserve">allowing scaling of the amplitude and the parameter</w:t>
      </w:r>
      <w:r>
        <w:t xml:space="preserve"> </w:t>
      </w:r>
      <m:oMath>
        <m:r>
          <m:t>b</m:t>
        </m:r>
      </m:oMath>
      <w:r>
        <w:t xml:space="preserve"> </w:t>
      </w:r>
      <w:r>
        <w:t xml:space="preserve">allowing</w:t>
      </w:r>
      <w:r>
        <w:t xml:space="preserve"> </w:t>
      </w:r>
      <w:r>
        <w:t xml:space="preserve">“</w:t>
      </w:r>
      <w:r>
        <w:t xml:space="preserve">compressing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w:t>
      </w:r>
    </w:p>
    <w:p>
      <w:pPr>
        <w:pStyle w:val="Textkrper"/>
      </w:pPr>
      <w:r>
        <w:t xml:space="preserve">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I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0" w:name="minsq"/>
    <w:p>
      <w:pPr>
        <w:pStyle w:val="berschrift2"/>
      </w:pPr>
      <w:r>
        <w:t xml:space="preserve">MINSQ</w:t>
      </w:r>
    </w:p>
    <w:p>
      <w:pPr>
        <w:pStyle w:val="FirstParagraph"/>
      </w:pPr>
      <w:r>
        <w:t xml:space="preserve">The MINSQ algorithm minimizes the weighted sum of squared differences between the transformed subject signal and the grand average.</w:t>
      </w:r>
    </w:p>
    <w:p>
      <w:pPr>
        <w:pStyle w:val="Textkrper"/>
      </w:pPr>
      <m:oMathPara>
        <m:oMathParaPr>
          <m:jc m:val="center"/>
        </m:oMathParaPr>
        <m:oMath>
          <m:r>
            <m:t>a</m:t>
          </m:r>
          <m:r>
            <m:t>r</m:t>
          </m:r>
          <m:r>
            <m:t>g</m:t>
          </m:r>
          <m:r>
            <m:t>m</m:t>
          </m:r>
          <m:r>
            <m:t>i</m:t>
          </m:r>
          <m:r>
            <m:t>n</m:t>
          </m:r>
          <m:r>
            <m:t> </m:t>
          </m:r>
          <m:r>
            <m:t>d</m:t>
          </m:r>
          <m:d>
            <m:dPr>
              <m:begChr m:val="("/>
              <m:endChr m:val=")"/>
              <m:sepChr m:val=""/>
              <m:grow/>
            </m:dPr>
            <m:e>
              <m:sSub>
                <m:e>
                  <m:r>
                    <m:t>a</m:t>
                  </m:r>
                </m:e>
                <m:sub>
                  <m:r>
                    <m:t>j</m:t>
                  </m:r>
                </m:sub>
              </m:sSub>
              <m:r>
                <m:rPr>
                  <m:sty m:val="p"/>
                </m:rPr>
                <m:t>,</m:t>
              </m:r>
              <m:sSub>
                <m:e>
                  <m:r>
                    <m:t>b</m:t>
                  </m:r>
                </m:e>
                <m:sub>
                  <m:r>
                    <m:t>j</m:t>
                  </m:r>
                </m:sub>
              </m:sSub>
            </m:e>
          </m:d>
          <m:r>
            <m:rPr>
              <m:sty m:val="p"/>
            </m:rPr>
            <m:t>=</m:t>
          </m:r>
          <m:nary>
            <m:naryPr>
              <m:chr m:val="∑"/>
              <m:limLoc m:val="undOvr"/>
              <m:subHide m:val="0"/>
              <m:supHide m:val="0"/>
            </m:naryPr>
            <m:sub>
              <m:r>
                <m:t>i</m:t>
              </m:r>
              <m:r>
                <m:rPr>
                  <m:sty m:val="p"/>
                </m:rPr>
                <m:t>=</m:t>
              </m:r>
              <m:r>
                <m:t>1</m:t>
              </m:r>
            </m:sub>
            <m:sup>
              <m:r>
                <m:t>n</m:t>
              </m:r>
            </m:sup>
            <m:e>
              <m:sSub>
                <m:e>
                  <m:r>
                    <m:t>ω</m:t>
                  </m:r>
                </m:e>
                <m:sub>
                  <m:r>
                    <m:t>i</m:t>
                  </m:r>
                </m:sub>
              </m:sSub>
            </m:e>
          </m:nary>
          <m:sSup>
            <m:e>
              <m:d>
                <m:dPr>
                  <m:begChr m:val="("/>
                  <m:endChr m:val=")"/>
                  <m:sepChr m:val=""/>
                  <m:grow/>
                </m:dPr>
                <m:e>
                  <m:sSub>
                    <m:e>
                      <m:r>
                        <m:t>s</m:t>
                      </m:r>
                    </m:e>
                    <m:sub>
                      <m:r>
                        <m:t>i</m:t>
                      </m:r>
                    </m:sub>
                  </m:sSub>
                  <m:r>
                    <m:rPr>
                      <m:sty m:val="p"/>
                    </m:rPr>
                    <m:t>−</m:t>
                  </m:r>
                  <m:r>
                    <m:t>f</m:t>
                  </m:r>
                  <m:d>
                    <m:dPr>
                      <m:begChr m:val="("/>
                      <m:endChr m:val=")"/>
                      <m:sepChr m:val=""/>
                      <m:grow/>
                    </m:dPr>
                    <m:e>
                      <m:sSub>
                        <m:e>
                          <m:r>
                            <m:t>x</m:t>
                          </m:r>
                        </m:e>
                        <m:sub>
                          <m:r>
                            <m:t>i</m:t>
                          </m:r>
                        </m:sub>
                      </m:sSub>
                      <m:r>
                        <m:rPr>
                          <m:sty m:val="p"/>
                        </m:rPr>
                        <m:t>,</m:t>
                      </m:r>
                      <m:sSub>
                        <m:e>
                          <m:r>
                            <m:t>a</m:t>
                          </m:r>
                        </m:e>
                        <m:sub>
                          <m:r>
                            <m:t>j</m:t>
                          </m:r>
                        </m:sub>
                      </m:sSub>
                      <m:r>
                        <m:rPr>
                          <m:sty m:val="p"/>
                        </m:rPr>
                        <m:t>,</m:t>
                      </m:r>
                      <m:sSub>
                        <m:e>
                          <m:r>
                            <m:t>b</m:t>
                          </m:r>
                        </m:e>
                        <m:sub>
                          <m:r>
                            <m:t>j</m:t>
                          </m:r>
                        </m:sub>
                      </m:sSub>
                    </m:e>
                  </m:d>
                </m:e>
              </m:d>
            </m:e>
            <m:sup>
              <m:r>
                <m:t>2</m:t>
              </m:r>
            </m:sup>
          </m:sSup>
          <m:r>
            <m:rPr>
              <m:sty m:val="p"/>
            </m:rPr>
            <m:t>.</m:t>
          </m:r>
        </m:oMath>
      </m:oMathPara>
    </w:p>
    <w:p>
      <w:pPr>
        <w:pStyle w:val="FirstParagraph"/>
      </w:pPr>
      <w:r>
        <w:t xml:space="preserve">The weighting vector</w:t>
      </w:r>
      <w:r>
        <w:t xml:space="preserve"> </w:t>
      </w:r>
      <m:oMath>
        <m:r>
          <m:t>ω</m:t>
        </m:r>
      </m:oMath>
      <w:r>
        <w:t xml:space="preserve"> </w:t>
      </w:r>
      <w:r>
        <w:t xml:space="preserve">that I use to place emphasis on those time-points of the signal that were specified by the researcher beforehand is computed as follows:</w:t>
      </w:r>
    </w:p>
    <w:p>
      <w:pPr>
        <w:pStyle w:val="Textkrper"/>
      </w:pPr>
      <m:oMathPara>
        <m:oMathParaPr>
          <m:jc m:val="center"/>
        </m:oMathParaPr>
        <m:oMath>
          <m:sSub>
            <m:e>
              <m:r>
                <m:t>ω</m:t>
              </m:r>
            </m:e>
            <m:sub>
              <m:r>
                <m:t>i</m:t>
              </m:r>
            </m:sub>
          </m:sSub>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sSup>
                      <m:e>
                        <m:d>
                          <m:dPr>
                            <m:begChr m:val="("/>
                            <m:endChr m:val=")"/>
                            <m:sepChr m:val=""/>
                            <m:grow/>
                          </m:dPr>
                          <m:e>
                            <m:r>
                              <m:t>10</m:t>
                            </m:r>
                            <m:r>
                              <m:rPr>
                                <m:sty m:val="p"/>
                              </m:rPr>
                              <m:t>⋅</m:t>
                            </m:r>
                            <m:d>
                              <m:dPr>
                                <m:begChr m:val="|"/>
                                <m:endChr m:val="|"/>
                                <m:sepChr m:val=""/>
                                <m:grow/>
                              </m:dPr>
                              <m:e>
                                <m:f>
                                  <m:fPr>
                                    <m:type m:val="bar"/>
                                  </m:fPr>
                                  <m:num>
                                    <m:sSub>
                                      <m:e>
                                        <m:r>
                                          <m:t>s</m:t>
                                        </m:r>
                                      </m:e>
                                      <m:sub>
                                        <m:r>
                                          <m:t>i</m:t>
                                        </m:r>
                                      </m:sub>
                                    </m:sSub>
                                  </m:num>
                                  <m:den>
                                    <m:sSub>
                                      <m:e>
                                        <m:r>
                                          <m:t>s</m:t>
                                        </m:r>
                                      </m:e>
                                      <m:sub>
                                        <m:r>
                                          <m:t>m</m:t>
                                        </m:r>
                                        <m:r>
                                          <m:t>a</m:t>
                                        </m:r>
                                        <m:r>
                                          <m:t>x</m:t>
                                        </m:r>
                                      </m:sub>
                                    </m:sSub>
                                  </m:den>
                                </m:f>
                              </m:e>
                            </m:d>
                          </m:e>
                        </m:d>
                      </m:e>
                      <m:sup>
                        <m:r>
                          <m:t>2</m:t>
                        </m:r>
                      </m:sup>
                    </m:sSup>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1</m:t>
                    </m:r>
                    <m:r>
                      <m:rPr>
                        <m:sty m:val="p"/>
                      </m:rPr>
                      <m:t>,</m:t>
                    </m:r>
                  </m:e>
                  <m:e>
                    <m:r>
                      <m:rPr>
                        <m:nor/>
                        <m:sty m:val="p"/>
                      </m:rPr>
                      <m:t>otherwise</m:t>
                    </m:r>
                  </m:e>
                </m:mr>
              </m:m>
            </m:e>
          </m:d>
          <m:r>
            <m:rPr>
              <m:sty m:val="p"/>
            </m:rPr>
            <m:t>.</m:t>
          </m:r>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s</m:t>
            </m:r>
          </m:e>
          <m:sub>
            <m:r>
              <m:t>i</m:t>
            </m:r>
          </m:sub>
        </m:sSub>
      </m:oMath>
      <w:r>
        <w:t xml:space="preserve"> </w:t>
      </w:r>
      <w:r>
        <w:t xml:space="preserve">the signal strength of the</w:t>
      </w:r>
      <w:r>
        <w:t xml:space="preserve"> </w:t>
      </w:r>
      <m:oMath>
        <m:r>
          <m:t>i</m:t>
        </m:r>
      </m:oMath>
      <w:r>
        <w:t xml:space="preserve">th element,</w:t>
      </w:r>
      <w:r>
        <w:t xml:space="preserve"> </w:t>
      </w:r>
      <m:oMath>
        <m:sSub>
          <m:e>
            <m:r>
              <m:t>s</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The resulting weighting vector</w:t>
      </w:r>
      <w:r>
        <w:t xml:space="preserve"> </w:t>
      </w:r>
      <m:oMath>
        <m:r>
          <m:t>ω</m:t>
        </m:r>
      </m:oMath>
      <w:r>
        <w:t xml:space="preserve"> </w:t>
      </w:r>
      <w:r>
        <w:t xml:space="preserve">places more emphasis on fitting the template within the specified measurement window and to places in the signal where the voltage deflection is high.</w:t>
      </w:r>
    </w:p>
    <w:p>
      <w:pPr>
        <w:pStyle w:val="Textkrper"/>
      </w:pPr>
      <w:r>
        <w:t xml:space="preserve">I use MATLABs</w:t>
      </w:r>
      <w:r>
        <w:t xml:space="preserve"> </w:t>
      </w:r>
      <w:r>
        <w:rPr>
          <w:iCs/>
          <w:i/>
        </w:rPr>
        <w:t xml:space="preserve">fit</w:t>
      </w:r>
      <w:r>
        <w:t xml:space="preserve"> </w:t>
      </w:r>
      <w:r>
        <w:t xml:space="preserve">function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I initialize 5 different start points. Only solutions that at least two of the five starting points converged on are considered. Of those, the algorithm selects the solution with the best correlation between transformed template and signal.</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I attempt to re-match the signal with the parameter</w:t>
      </w:r>
      <w:r>
        <w:t xml:space="preserve"> </w:t>
      </w:r>
      <m:oMath>
        <m:r>
          <m:t>d</m:t>
        </m:r>
      </m:oMath>
      <w:r>
        <w:t xml:space="preserve"> </w:t>
      </w:r>
      <w:r>
        <w:t xml:space="preserve">added to the variable template 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d>
            <m:dPr>
              <m:begChr m:val="("/>
              <m:endChr m:val=")"/>
              <m:sepChr m:val=""/>
              <m:grow/>
            </m:dPr>
            <m:e>
              <m:r>
                <m:t>b</m:t>
              </m:r>
              <m:sSub>
                <m:e>
                  <m:r>
                    <m:t>f</m:t>
                  </m:r>
                </m:e>
                <m:sub>
                  <m:r>
                    <m:t>i</m:t>
                  </m:r>
                </m:sub>
              </m:sSub>
              <m:r>
                <m:t>x</m:t>
              </m:r>
              <m:r>
                <m:rPr>
                  <m:sty m:val="p"/>
                </m:rPr>
                <m:t>+</m:t>
              </m:r>
              <m:sSub>
                <m:e>
                  <m:r>
                    <m:t>ϕ</m:t>
                  </m:r>
                </m:e>
                <m:sub>
                  <m:r>
                    <m:t>i</m:t>
                  </m:r>
                </m:sub>
              </m:sSub>
            </m:e>
          </m:d>
          <m:r>
            <m:rPr>
              <m:sty m:val="p"/>
            </m:rPr>
            <m:t>.</m:t>
          </m:r>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0"/>
    <w:bookmarkStart w:id="42" w:name="maxcor"/>
    <w:p>
      <w:pPr>
        <w:pStyle w:val="berschrift2"/>
      </w:pPr>
      <w:r>
        <w:t xml:space="preserve">MAXCOR</w:t>
      </w:r>
    </w:p>
    <w:p>
      <w:pPr>
        <w:pStyle w:val="FirstParagraph"/>
      </w:pPr>
      <w:r>
        <w:t xml:space="preserve">The MAXCOR algorithm optimizes the parameters to produce the maximum correlation</w:t>
      </w:r>
      <w:r>
        <w:t xml:space="preserve"> </w:t>
      </w:r>
      <m:oMath>
        <m:sSub>
          <m:e>
            <m:r>
              <m:t>r</m:t>
            </m:r>
          </m:e>
          <m:sub>
            <m:r>
              <m:t>s</m:t>
            </m:r>
            <m:r>
              <m:t>t</m:t>
            </m:r>
          </m:sub>
        </m:sSub>
      </m:oMath>
      <w:r>
        <w:t xml:space="preserve"> </w:t>
      </w:r>
      <w:r>
        <w:t xml:space="preserve">between the signal</w:t>
      </w:r>
      <w:r>
        <w:t xml:space="preserve"> </w:t>
      </w:r>
      <m:oMath>
        <m:r>
          <m:t>s</m:t>
        </m:r>
      </m:oMath>
      <w:r>
        <w:t xml:space="preserve"> </w:t>
      </w:r>
      <w:r>
        <w:t xml:space="preserve">and the transformed template</w:t>
      </w:r>
      <w:r>
        <w:t xml:space="preserve"> </w:t>
      </w:r>
      <m:oMath>
        <m:r>
          <m:t>t</m:t>
        </m:r>
      </m:oMath>
      <w:r>
        <w:t xml:space="preserve"> </w:t>
      </w:r>
      <w:r>
        <w:t xml:space="preserve">for values</w:t>
      </w:r>
      <w:r>
        <w:t xml:space="preserve"> </w:t>
      </w:r>
      <m:oMath>
        <m:sSub>
          <m:e>
            <m:r>
              <m:t>x</m:t>
            </m:r>
          </m:e>
          <m:sub>
            <m:r>
              <m:t>i</m:t>
            </m:r>
          </m:sub>
        </m:sSub>
      </m:oMath>
      <w:r>
        <w:t xml:space="preserve"> </w:t>
      </w:r>
      <w:r>
        <w:t xml:space="preserve">where</w:t>
      </w:r>
      <w:r>
        <w:t xml:space="preserve"> </w:t>
      </w:r>
      <m:oMath>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oMath>
      <w:r>
        <w:t xml:space="preserve"> </w:t>
      </w:r>
      <w:r>
        <w:t xml:space="preserve">in the measurement window. Time-points outside the measurement window are not allowed to influence the correlation.</w:t>
      </w:r>
    </w:p>
    <w:p>
      <w:pPr>
        <w:pStyle w:val="Textkrper"/>
      </w:pPr>
      <m:oMathPara>
        <m:oMathParaPr>
          <m:jc m:val="center"/>
        </m:oMathParaPr>
        <m:oMath>
          <m:r>
            <m:t>a</m:t>
          </m:r>
          <m:r>
            <m:t>r</m:t>
          </m:r>
          <m:r>
            <m:t>g</m:t>
          </m:r>
          <m:r>
            <m:t>m</m:t>
          </m:r>
          <m:r>
            <m:t>a</m:t>
          </m:r>
          <m:r>
            <m:t>x</m:t>
          </m:r>
          <m:r>
            <m:t> </m:t>
          </m:r>
          <m:sSub>
            <m:e>
              <m:r>
                <m:t>r</m:t>
              </m:r>
            </m:e>
            <m:sub>
              <m:r>
                <m:t>s</m:t>
              </m:r>
              <m:r>
                <m:t>t</m:t>
              </m:r>
            </m:sub>
          </m:sSub>
          <m:d>
            <m:dPr>
              <m:begChr m:val="("/>
              <m:endChr m:val=")"/>
              <m:sepChr m:val=""/>
              <m:grow/>
            </m:dPr>
            <m:e>
              <m:sSub>
                <m:e>
                  <m:r>
                    <m:t>b</m:t>
                  </m:r>
                </m:e>
                <m:sub>
                  <m:r>
                    <m:t>j</m:t>
                  </m:r>
                </m:sub>
              </m:sSub>
            </m:e>
          </m:d>
          <m:r>
            <m:rPr>
              <m:sty m:val="p"/>
            </m:rPr>
            <m:t>=</m:t>
          </m:r>
          <m:f>
            <m:fPr>
              <m:type m:val="bar"/>
            </m:fPr>
            <m:num>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d>
                    <m:dPr>
                      <m:begChr m:val="("/>
                      <m:endChr m:val=")"/>
                      <m:sepChr m:val=""/>
                      <m:grow/>
                    </m:dPr>
                    <m:e>
                      <m:sSub>
                        <m:e>
                          <m:r>
                            <m:t>s</m:t>
                          </m:r>
                        </m:e>
                        <m:sub>
                          <m:r>
                            <m:t>i</m:t>
                          </m:r>
                        </m:sub>
                      </m:sSub>
                      <m:r>
                        <m:rPr>
                          <m:sty m:val="p"/>
                        </m:rPr>
                        <m:t>−</m:t>
                      </m:r>
                      <m:acc>
                        <m:accPr>
                          <m:chr m:val="‾"/>
                        </m:accPr>
                        <m:e>
                          <m:r>
                            <m:t>s</m:t>
                          </m:r>
                        </m:e>
                      </m:acc>
                    </m:e>
                  </m:d>
                </m:e>
              </m:nary>
              <m:d>
                <m:dPr>
                  <m:begChr m:val="("/>
                  <m:endChr m:val=")"/>
                  <m:sepChr m:val=""/>
                  <m:grow/>
                </m:dPr>
                <m:e>
                  <m:sSub>
                    <m:e>
                      <m:r>
                        <m:t>t</m:t>
                      </m:r>
                    </m:e>
                    <m:sub>
                      <m:r>
                        <m:t>i</m:t>
                      </m:r>
                    </m:sub>
                  </m:sSub>
                  <m:r>
                    <m:rPr>
                      <m:sty m:val="p"/>
                    </m:rPr>
                    <m:t>−</m:t>
                  </m:r>
                  <m:acc>
                    <m:accPr>
                      <m:chr m:val="‾"/>
                    </m:accPr>
                    <m:e>
                      <m:r>
                        <m:t>t</m:t>
                      </m:r>
                    </m:e>
                  </m:acc>
                </m:e>
              </m:d>
            </m:num>
            <m:den>
              <m:rad>
                <m:radPr>
                  <m:degHide m:val="1"/>
                </m:radPr>
                <m:deg/>
                <m:e>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sSup>
                        <m:e>
                          <m:d>
                            <m:dPr>
                              <m:begChr m:val="("/>
                              <m:endChr m:val=")"/>
                              <m:sepChr m:val=""/>
                              <m:grow/>
                            </m:dPr>
                            <m:e>
                              <m:sSub>
                                <m:e>
                                  <m:r>
                                    <m:t>s</m:t>
                                  </m:r>
                                </m:e>
                                <m:sub>
                                  <m:r>
                                    <m:t>i</m:t>
                                  </m:r>
                                </m:sub>
                              </m:sSub>
                              <m:r>
                                <m:rPr>
                                  <m:sty m:val="p"/>
                                </m:rPr>
                                <m:t>−</m:t>
                              </m:r>
                              <m:acc>
                                <m:accPr>
                                  <m:chr m:val="‾"/>
                                </m:accPr>
                                <m:e>
                                  <m:r>
                                    <m:t>s</m:t>
                                  </m:r>
                                </m:e>
                              </m:acc>
                            </m:e>
                          </m:d>
                        </m:e>
                        <m:sup>
                          <m:r>
                            <m:t>2</m:t>
                          </m:r>
                        </m:sup>
                      </m:sSup>
                    </m:e>
                  </m:nary>
                  <m:sSup>
                    <m:e>
                      <m:d>
                        <m:dPr>
                          <m:begChr m:val="("/>
                          <m:endChr m:val=")"/>
                          <m:sepChr m:val=""/>
                          <m:grow/>
                        </m:dPr>
                        <m:e>
                          <m:sSub>
                            <m:e>
                              <m:r>
                                <m:t>t</m:t>
                              </m:r>
                            </m:e>
                            <m:sub>
                              <m:r>
                                <m:t>i</m:t>
                              </m:r>
                            </m:sub>
                          </m:sSub>
                          <m:r>
                            <m:rPr>
                              <m:sty m:val="p"/>
                            </m:rPr>
                            <m:t>−</m:t>
                          </m:r>
                          <m:acc>
                            <m:accPr>
                              <m:chr m:val="‾"/>
                            </m:accPr>
                            <m:e>
                              <m:r>
                                <m:t>t</m:t>
                              </m:r>
                            </m:e>
                          </m:acc>
                        </m:e>
                      </m:d>
                    </m:e>
                    <m:sup>
                      <m:r>
                        <m:t>2</m:t>
                      </m:r>
                    </m:sup>
                  </m:sSup>
                </m:e>
              </m:rad>
            </m:den>
          </m:f>
          <m:r>
            <m:rPr>
              <m:sty m:val="p"/>
            </m:rPr>
            <m:t>,</m:t>
          </m:r>
        </m:oMath>
      </m:oMathPara>
    </w:p>
    <w:p>
      <w:pPr>
        <w:pStyle w:val="FirstParagraph"/>
      </w:pPr>
      <w:r>
        <w:t xml:space="preserve">where</w:t>
      </w:r>
    </w:p>
    <w:p>
      <w:pPr>
        <w:pStyle w:val="Textkrper"/>
      </w:pPr>
      <m:oMathPara>
        <m:oMathParaPr>
          <m:jc m:val="center"/>
        </m:oMathParaPr>
        <m:oMath>
          <m:sSub>
            <m:e>
              <m:r>
                <m:t>t</m:t>
              </m:r>
            </m:e>
            <m:sub>
              <m:r>
                <m:t>i</m:t>
              </m:r>
            </m:sub>
          </m:sSub>
          <m:d>
            <m:dPr>
              <m:begChr m:val="("/>
              <m:endChr m:val=")"/>
              <m:sepChr m:val=""/>
              <m:grow/>
            </m:dPr>
            <m:e>
              <m:sSub>
                <m:e>
                  <m:r>
                    <m:t>b</m:t>
                  </m:r>
                </m:e>
                <m:sub>
                  <m:r>
                    <m:t>j</m:t>
                  </m:r>
                </m:sub>
              </m:sSub>
            </m:e>
          </m:d>
          <m:r>
            <m:rPr>
              <m:sty m:val="p"/>
            </m:rPr>
            <m:t>=</m:t>
          </m:r>
          <m:r>
            <m:t>f</m:t>
          </m:r>
          <m:d>
            <m:dPr>
              <m:begChr m:val="("/>
              <m:endChr m:val=")"/>
              <m:sepChr m:val=""/>
              <m:grow/>
            </m:dPr>
            <m:e>
              <m:sSub>
                <m:e>
                  <m:r>
                    <m:t>x</m:t>
                  </m:r>
                </m:e>
                <m:sub>
                  <m:r>
                    <m:t>i</m:t>
                  </m:r>
                </m:sub>
              </m:sSub>
              <m:r>
                <m:rPr>
                  <m:sty m:val="p"/>
                </m:rPr>
                <m:t>,</m:t>
              </m:r>
              <m:r>
                <m:t>1</m:t>
              </m:r>
              <m:r>
                <m:rPr>
                  <m:sty m:val="p"/>
                </m:rPr>
                <m:t>,</m:t>
              </m:r>
              <m:sSub>
                <m:e>
                  <m:r>
                    <m:t>b</m:t>
                  </m:r>
                </m:e>
                <m:sub>
                  <m:r>
                    <m:t>j</m:t>
                  </m:r>
                </m:sub>
              </m:sSub>
            </m:e>
          </m:d>
          <m:r>
            <m:rPr>
              <m:sty m:val="p"/>
            </m:rPr>
            <m:t>,</m:t>
          </m:r>
        </m:oMath>
      </m:oMathPara>
    </w:p>
    <w:p>
      <w:pPr>
        <w:pStyle w:val="FirstParagraph"/>
      </w:pPr>
      <m:oMathPara>
        <m:oMathParaPr>
          <m:jc m:val="center"/>
        </m:oMathParaPr>
        <m:oMath>
          <m:acc>
            <m:accPr>
              <m:chr m:val="‾"/>
            </m:accPr>
            <m:e>
              <m:r>
                <m:t>t</m:t>
              </m:r>
            </m:e>
          </m:acc>
          <m:d>
            <m:dPr>
              <m:begChr m:val="("/>
              <m:endChr m:val=")"/>
              <m:sepChr m:val=""/>
              <m:grow/>
            </m:dPr>
            <m:e>
              <m:sSub>
                <m:e>
                  <m:r>
                    <m:t>b</m:t>
                  </m:r>
                </m:e>
                <m:sub>
                  <m:r>
                    <m:t>j</m:t>
                  </m:r>
                </m:sub>
              </m:sSub>
            </m:e>
          </m:d>
          <m:r>
            <m:rPr>
              <m:sty m:val="p"/>
            </m:rPr>
            <m:t>=</m:t>
          </m:r>
          <m:f>
            <m:fPr>
              <m:type m:val="bar"/>
            </m:fPr>
            <m:num>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r>
                    <m:t>f</m:t>
                  </m:r>
                </m:e>
              </m:nary>
              <m:d>
                <m:dPr>
                  <m:begChr m:val="("/>
                  <m:endChr m:val=")"/>
                  <m:sepChr m:val=""/>
                  <m:grow/>
                </m:dPr>
                <m:e>
                  <m:sSub>
                    <m:e>
                      <m:r>
                        <m:t>x</m:t>
                      </m:r>
                    </m:e>
                    <m:sub>
                      <m:r>
                        <m:t>i</m:t>
                      </m:r>
                    </m:sub>
                  </m:sSub>
                  <m:r>
                    <m:rPr>
                      <m:sty m:val="p"/>
                    </m:rPr>
                    <m:t>,</m:t>
                  </m:r>
                  <m:r>
                    <m:t>1</m:t>
                  </m:r>
                  <m:r>
                    <m:rPr>
                      <m:sty m:val="p"/>
                    </m:rPr>
                    <m:t>,</m:t>
                  </m:r>
                  <m:sSub>
                    <m:e>
                      <m:r>
                        <m:t>b</m:t>
                      </m:r>
                    </m:e>
                    <m:sub>
                      <m:r>
                        <m:t>j</m:t>
                      </m:r>
                    </m:sub>
                  </m:sSub>
                </m:e>
              </m:d>
            </m:num>
            <m:den>
              <m:r>
                <m:t>n</m:t>
              </m:r>
            </m:den>
          </m:f>
          <m:r>
            <m:rPr>
              <m:sty m:val="p"/>
            </m:rPr>
            <m:t>,</m:t>
          </m:r>
        </m:oMath>
      </m:oMathPara>
    </w:p>
    <w:p>
      <w:pPr>
        <w:pStyle w:val="FirstParagraph"/>
      </w:pPr>
      <w:r>
        <w:t xml:space="preserve">and</w:t>
      </w:r>
    </w:p>
    <w:p>
      <w:pPr>
        <w:pStyle w:val="Textkrper"/>
      </w:pPr>
      <m:oMathPara>
        <m:oMathParaPr>
          <m:jc m:val="center"/>
        </m:oMathParaPr>
        <m:oMath>
          <m:acc>
            <m:accPr>
              <m:chr m:val="‾"/>
            </m:accPr>
            <m:e>
              <m:r>
                <m:t>s</m:t>
              </m:r>
            </m:e>
          </m:acc>
          <m:r>
            <m:rPr>
              <m:sty m:val="p"/>
            </m:rPr>
            <m:t>=</m:t>
          </m:r>
          <m:f>
            <m:fPr>
              <m:type m:val="bar"/>
            </m:fPr>
            <m:num>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sSub>
                    <m:e>
                      <m:r>
                        <m:t>s</m:t>
                      </m:r>
                    </m:e>
                    <m:sub>
                      <m:r>
                        <m:t>i</m:t>
                      </m:r>
                    </m:sub>
                  </m:sSub>
                </m:e>
              </m:nary>
            </m:num>
            <m:den>
              <m:r>
                <m:t>n</m:t>
              </m:r>
            </m:den>
          </m:f>
          <m:r>
            <m:rPr>
              <m:sty m:val="p"/>
            </m:rPr>
            <m:t>.</m:t>
          </m:r>
        </m:oMath>
      </m:oMathPara>
    </w:p>
    <w:p>
      <w:pPr>
        <w:pStyle w:val="FirstParagraph"/>
      </w:pPr>
      <m:oMath>
        <m:r>
          <m:t>t</m:t>
        </m:r>
      </m:oMath>
      <w:r>
        <w:t xml:space="preserve"> </w:t>
      </w:r>
      <w:r>
        <w:t xml:space="preserve">represents the vector of values of the transformed template that are in the measurement window,</w:t>
      </w:r>
      <w:r>
        <w:t xml:space="preserve"> </w:t>
      </w:r>
      <m:oMath>
        <m:r>
          <m:t>s</m:t>
        </m:r>
      </m:oMath>
      <w:r>
        <w:t xml:space="preserve"> </w:t>
      </w:r>
      <w:r>
        <w:t xml:space="preserve">the vector of values of the signal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I therefore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Because I only need to optimize one parameter, I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correlation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I do not need to initialize a number of different starting points here.</w:t>
      </w:r>
    </w:p>
    <w:bookmarkStart w:id="41" w:name="recovering-subject-level-latencies"/>
    <w:p>
      <w:pPr>
        <w:pStyle w:val="berschrift3"/>
      </w:pPr>
      <w:r>
        <w:t xml:space="preserve">Recovering subject-level latencies.</w:t>
      </w:r>
    </w:p>
    <w:p>
      <w:pPr>
        <w:pStyle w:val="FirstParagraph"/>
      </w:pPr>
      <w:r>
        <w:t xml:space="preserve">For both approaches, I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sSub>
            <m:e>
              <m:r>
                <m:t>b</m:t>
              </m:r>
            </m:e>
            <m:sub>
              <m:r>
                <m:t>j</m:t>
              </m:r>
            </m:sub>
          </m:sSub>
          <m:r>
            <m:rPr>
              <m:sty m:val="p"/>
            </m:rPr>
            <m:t>.</m:t>
          </m:r>
        </m:oMath>
      </m:oMathPara>
    </w:p>
    <w:bookmarkEnd w:id="41"/>
    <w:bookmarkEnd w:id="42"/>
    <w:bookmarkStart w:id="47"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approaches, I used the correlation</w:t>
      </w:r>
      <w:r>
        <w:t xml:space="preserve"> </w:t>
      </w:r>
      <m:oMath>
        <m:sSub>
          <m:e>
            <m:r>
              <m:t>r</m:t>
            </m:r>
          </m:e>
          <m:sub>
            <m:r>
              <m:t>s</m:t>
            </m:r>
            <m:r>
              <m:t>t</m:t>
            </m:r>
          </m:sub>
        </m:sSub>
      </m:oMath>
      <w:r>
        <w:t xml:space="preserve"> </w:t>
      </w:r>
      <w:r>
        <w:t xml:space="preserve">between transformed template and signal as a fit-index. I chose to use the correlation as the final fit-index because it is scale-invariant and provides an intuitive quantification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4" name="Picture"/>
            <a:graphic>
              <a:graphicData uri="http://schemas.openxmlformats.org/drawingml/2006/picture">
                <pic:pic>
                  <pic:nvPicPr>
                    <pic:cNvPr descr="images/review_gui_example.png" id="45" name="Picture"/>
                    <pic:cNvPicPr>
                      <a:picLocks noChangeArrowheads="1" noChangeAspect="1"/>
                    </pic:cNvPicPr>
                  </pic:nvPicPr>
                  <pic:blipFill>
                    <a:blip r:embed="rId43"/>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6" w:name="fig:review-gui-example"/>
      <w:bookmarkEnd w:id="46"/>
      <w:r>
        <w:t xml:space="preserve">Figure 2: User Interface for Manual Review Process</w:t>
      </w:r>
    </w:p>
    <w:bookmarkEnd w:id="47"/>
    <w:bookmarkEnd w:id="48"/>
    <w:bookmarkStart w:id="59" w:name="method"/>
    <w:p>
      <w:pPr>
        <w:pStyle w:val="berschrift1"/>
      </w:pPr>
      <w:r>
        <w:t xml:space="preserve">Method</w:t>
      </w:r>
    </w:p>
    <w:p>
      <w:pPr>
        <w:pStyle w:val="FirstParagraph"/>
      </w:pPr>
      <w:r>
        <w:t xml:space="preserve">All analyses are based on data that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9" w:name="participants"/>
    <w:p>
      <w:pPr>
        <w:pStyle w:val="berschrift2"/>
      </w:pPr>
      <w:r>
        <w:t xml:space="preserve">Participants</w:t>
      </w:r>
    </w:p>
    <w:p>
      <w:pPr>
        <w:pStyle w:val="FirstParagraph"/>
      </w:pPr>
      <w:r>
        <w:t xml:space="preserve">The present sample consists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All participants provided informed consent prior to participation and received 75€ or course credit for participation.</w:t>
      </w:r>
    </w:p>
    <w:bookmarkEnd w:id="49"/>
    <w:bookmarkStart w:id="53" w:name="tasks"/>
    <w:p>
      <w:pPr>
        <w:pStyle w:val="berschrift2"/>
      </w:pPr>
      <w:r>
        <w:t xml:space="preserve">Tasks</w:t>
      </w:r>
    </w:p>
    <w:p>
      <w:pPr>
        <w:pStyle w:val="FirstParagraph"/>
      </w:pPr>
      <w:r>
        <w:t xml:space="preserve">All participants completed a set of 3 tasks: a Flanker Task, an Nback Task, and a Switching Task. Each task measures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All participants were instructed to respond as quickly and accurately as possible.</w:t>
      </w:r>
    </w:p>
    <w:bookmarkStart w:id="50" w:name="flanker-task"/>
    <w:p>
      <w:pPr>
        <w:pStyle w:val="berschrift3"/>
      </w:pPr>
      <w:r>
        <w:t xml:space="preserve">Flanker Task.</w:t>
      </w:r>
    </w:p>
    <w:p>
      <w:pPr>
        <w:pStyle w:val="FirstParagraph"/>
      </w:pPr>
      <w:r>
        <w:t xml:space="preserve">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was administered 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bookmarkEnd w:id="50"/>
    <w:bookmarkStart w:id="51" w:name="nback-task"/>
    <w:p>
      <w:pPr>
        <w:pStyle w:val="berschrift3"/>
      </w:pPr>
      <w:r>
        <w:t xml:space="preserve">Nback Task.</w:t>
      </w:r>
    </w:p>
    <w:p>
      <w:pPr>
        <w:pStyle w:val="FirstParagraph"/>
      </w:pPr>
      <w:r>
        <w:t xml:space="preserve">A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was admninistered to measure participants’</w:t>
      </w:r>
      <w:r>
        <w:t xml:space="preserve"> </w:t>
      </w:r>
      <w:r>
        <w:rPr>
          <w:iCs/>
          <w:i/>
        </w:rPr>
        <w:t xml:space="preserve">updating</w:t>
      </w:r>
      <w:r>
        <w:t xml:space="preserve"> </w:t>
      </w:r>
      <w:r>
        <w:t xml:space="preserve">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Following</w:t>
      </w:r>
      <w:r>
        <w:t xml:space="preserve"> </w:t>
      </w:r>
      <w:r>
        <w:t xml:space="preserve">Sadus et al. (</w:t>
      </w:r>
      <w:hyperlink w:anchor="ref-sadus2023multiverse">
        <w:r>
          <w:rPr>
            <w:rStyle w:val="Hyperlink"/>
          </w:rPr>
          <w:t xml:space="preserve">2023</w:t>
        </w:r>
      </w:hyperlink>
      <w:r>
        <w:t xml:space="preserve">)</w:t>
      </w:r>
      <w:r>
        <w:t xml:space="preserve">, I excluded this condition from the analysis as it did not produce clear ERPs. In total, all participants completed a set of practice trials and 96 trials per condition.</w:t>
      </w:r>
    </w:p>
    <w:bookmarkEnd w:id="51"/>
    <w:bookmarkStart w:id="52" w:name="switching-task"/>
    <w:p>
      <w:pPr>
        <w:pStyle w:val="berschrift3"/>
      </w:pPr>
      <w:r>
        <w:t xml:space="preserve">Switching Task.</w:t>
      </w:r>
    </w:p>
    <w:p>
      <w:pPr>
        <w:pStyle w:val="FirstParagraph"/>
      </w:pPr>
      <w:r>
        <w:t xml:space="preserve">A Switching task was administered to measure participants’</w:t>
      </w:r>
      <w:r>
        <w:t xml:space="preserve"> </w:t>
      </w:r>
      <w:r>
        <w:rPr>
          <w:iCs/>
          <w:i/>
        </w:rPr>
        <w:t xml:space="preserve">shifting</w:t>
      </w:r>
      <w:r>
        <w:t xml:space="preserve"> </w:t>
      </w:r>
      <w:r>
        <w:t xml:space="preserve">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2"/>
    <w:bookmarkEnd w:id="53"/>
    <w:bookmarkStart w:id="54" w:name="procedure"/>
    <w:p>
      <w:pPr>
        <w:pStyle w:val="berschrift2"/>
      </w:pPr>
      <w:r>
        <w:t xml:space="preserve">Procedure</w:t>
      </w:r>
    </w:p>
    <w:p>
      <w:pPr>
        <w:pStyle w:val="FirstParagraph"/>
      </w:pPr>
      <w:r>
        <w:t xml:space="preserve">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4"/>
    <w:bookmarkStart w:id="55"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electrodes placed above and below the left eye to correct for ocular artifacts. All impedances were kept below 5 kΩ. The signal was recorded with a sampling rate of 1000 Hz and online-referenced to Cz. To remove artifacts, an ICA was conducted on a cloned version of the dataset that was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A critical z-value of 3.29 was used for z-value based bad channels detection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The threshold for large fluctuations was set</w:t>
      </w:r>
      <w:r>
        <w:t xml:space="preserve"> </w:t>
      </w:r>
      <m:oMath>
        <m:r>
          <m:t>1000</m:t>
        </m:r>
        <m:r>
          <m:t> </m:t>
        </m:r>
        <m:r>
          <m:t>μ</m:t>
        </m:r>
        <m:r>
          <m:t>V</m:t>
        </m:r>
      </m:oMath>
      <w:r>
        <w:t xml:space="preserve"> </w:t>
      </w:r>
      <w:r>
        <w:t xml:space="preserve">and data had to be more than 5 SDs from the mean to exceed the probability threshold. Based on these settings, segments containing artifacts were automatically detected and removed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A Butterworth low-pass filter with varying cut-off frequencies (8 Hz, 16 Hz, 32 Hz) and a roll-off of 12 dB/octave was then applied and data were segmented into 1200ms long segments starting 200ms before stimulus onset. Again, segments containing artifacts were automatically detected and removed. As a last step, segments were baseline corrected using the 200ms prior to stimulus onset.</w:t>
      </w:r>
    </w:p>
    <w:bookmarkEnd w:id="55"/>
    <w:bookmarkStart w:id="57"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I only included correct trials into the analysis and investigated the P3 at the electrode Pz</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6" w:name="latency-extraction"/>
    <w:p>
      <w:pPr>
        <w:pStyle w:val="berschrift3"/>
      </w:pPr>
      <w:r>
        <w:t xml:space="preserve">Latency extraction.</w:t>
      </w:r>
    </w:p>
    <w:p>
      <w:pPr>
        <w:pStyle w:val="FirstParagraph"/>
      </w:pPr>
      <w:r>
        <w:t xml:space="preserve">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pPr>
        <w:pStyle w:val="Textkrper"/>
      </w:pPr>
      <w:r>
        <w:t xml:space="preserve">To investigate the benefits of manually reviewing the decisions of the algorithm, I chose to review all matches that resulted in fit values</w:t>
      </w:r>
      <w:r>
        <w:t xml:space="preserve"> </w:t>
      </w:r>
      <m:oMath>
        <m:sSub>
          <m:e>
            <m:r>
              <m:t>r</m:t>
            </m:r>
          </m:e>
          <m:sub>
            <m:r>
              <m:t>s</m:t>
            </m:r>
            <m:r>
              <m:t>t</m:t>
            </m:r>
          </m:sub>
        </m:sSub>
        <m:r>
          <m:rPr>
            <m:sty m:val="p"/>
          </m:rPr>
          <m:t>≤</m:t>
        </m:r>
        <m:r>
          <m:t>.60</m:t>
        </m:r>
      </m:oMath>
      <w:r>
        <w:t xml:space="preserve">. I then inspected the subject-level ERP with the matched template superimposed on the subject-level ERP to allow visual confirmation of the fit. Using the interface, I either accepted, rejected, or manually determined the P3 peak latency of these ERPs. I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6"/>
    <w:bookmarkEnd w:id="57"/>
    <w:bookmarkStart w:id="58" w:name="validation-techniques"/>
    <w:p>
      <w:pPr>
        <w:pStyle w:val="berschrift2"/>
      </w:pPr>
      <w:r>
        <w:t xml:space="preserve">Validation Techniques</w:t>
      </w:r>
    </w:p>
    <w:p>
      <w:pPr>
        <w:pStyle w:val="FirstParagraph"/>
      </w:pPr>
      <w:r>
        <w:t xml:space="preserve">I investigated the impact of the latency extraction method on several measures of psychometric quality. I estimated reliability</w:t>
      </w:r>
      <w:r>
        <w:t xml:space="preserve"> </w:t>
      </w:r>
      <m:oMath>
        <m:sSub>
          <m:e>
            <m:r>
              <m:t>r</m:t>
            </m:r>
          </m:e>
          <m:sub>
            <m:r>
              <m:t>t</m:t>
            </m:r>
            <m:r>
              <m:t>t</m:t>
            </m:r>
          </m:sub>
        </m:sSub>
      </m:oMath>
      <w:r>
        <w:t xml:space="preserve"> </w:t>
      </w:r>
      <w:r>
        <w:t xml:space="preserve">by computing Spearman-Brown corrected split-half correlations of latencies that were extracted from subject-level ERPs based on even trials with those extracted from subject-level ERPs based on odd trials. I assessed the validity of my algorithm through measures of homogeneity, the effect sizes of the age effect, and the intraclass correlation of latencies that were extracted by the algorithm with latencies that were extracted by an expert ERP researcher in the same task and filter condition. The intraclass correlation used a two-way random-effects model focusing on absolute agreement.</w:t>
      </w:r>
    </w:p>
    <w:p>
      <w:pPr>
        <w:pStyle w:val="Textkrper"/>
      </w:pPr>
      <w:r>
        <w:t xml:space="preserve">To compute a methods homogeneity</w:t>
      </w:r>
      <w:r>
        <w:t xml:space="preserve"> </w:t>
      </w:r>
      <m:oMath>
        <m:sSub>
          <m:e>
            <m:r>
              <m:t>r</m:t>
            </m:r>
          </m:e>
          <m:sub>
            <m:r>
              <m:t>h</m:t>
            </m:r>
          </m:sub>
        </m:sSub>
      </m:oMath>
      <w:r>
        <w:t xml:space="preserve">, I calculated the correlation of latencies that were extracted using that method with all other methods and took the mean of the Fisher-Z transformed correlation coefficients. Correlation coefficients of 1 cannot be transformed. Thus, I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I ran a repeated measures ANOVA with the between factor age (young vs. old) and the within factor condition. The condition factor depends on the task analyzed. In the Flanker task, incongruent trials are compared to congruent trials. In the Nback task, 0-back trials are compared to 1-back trials. In the Switching task, repeat trials are compared to switch trials.</w:t>
      </w:r>
    </w:p>
    <w:bookmarkEnd w:id="58"/>
    <w:bookmarkEnd w:id="59"/>
    <w:bookmarkStart w:id="78" w:name="results"/>
    <w:p>
      <w:pPr>
        <w:pStyle w:val="berschrift1"/>
      </w:pPr>
      <w:r>
        <w:t xml:space="preserve">Results</w:t>
      </w:r>
    </w:p>
    <w:p>
      <w:pPr>
        <w:pStyle w:val="FirstParagraph"/>
      </w:pPr>
      <w:r>
        <w:t xml:space="preserve">All data preprocessing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60"/>
      </w:r>
      <w:r>
        <w:t xml:space="preserve">.</w:t>
      </w:r>
    </w:p>
    <w:bookmarkStart w:id="61" w:name="review-process"/>
    <w:p>
      <w:pPr>
        <w:pStyle w:val="berschrift2"/>
      </w:pPr>
      <w:r>
        <w:t xml:space="preserve">Review process</w:t>
      </w:r>
    </w:p>
    <w:p>
      <w:pPr>
        <w:pStyle w:val="FirstParagraph"/>
      </w:pPr>
      <w:r>
        <w:t xml:space="preserve">I reviewed results of the MINSQ and MAXCOR approaches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I discarded 7.13 % of the 9720 total cases. This did not occur in the MAXCOR algorithm.</w:t>
      </w:r>
      <w:r>
        <w:t xml:space="preserve"> </w:t>
      </w:r>
      <w:r>
        <w:t xml:space="preserve">For the MAXCOR algorithm, out of 9720 ERPs evaluated by the algorithm, I inspected 1045 (10.75 %). Of those ERPs, I rejected 23.35 % and accepted 64.21 % of the results despite their fit. I manually corrected the decisions in 12.44 % of ERPs I reviewed. Automatically rejecting fits with</w:t>
      </w:r>
      <w:r>
        <w:t xml:space="preserve"> </w:t>
      </w:r>
      <m:oMath>
        <m:sSub>
          <m:e>
            <m:r>
              <m:t>r</m:t>
            </m:r>
          </m:e>
          <m:sub>
            <m:r>
              <m:t>s</m:t>
            </m:r>
            <m:r>
              <m:t>t</m:t>
            </m:r>
          </m:sub>
        </m:sSub>
        <m:r>
          <m:rPr>
            <m:sty m:val="p"/>
          </m:rPr>
          <m:t>≤</m:t>
        </m:r>
        <m:r>
          <m:t>.20</m:t>
        </m:r>
      </m:oMath>
      <w:r>
        <w:t xml:space="preserve"> </w:t>
      </w:r>
      <w:r>
        <w:t xml:space="preserve">discards 2.09 % of latencies.</w:t>
      </w:r>
    </w:p>
    <w:p>
      <w:pPr>
        <w:pStyle w:val="Textkrper"/>
      </w:pPr>
      <w:r>
        <w:t xml:space="preserve">When reporting the psychometric properties of the algorithm, I will focus on those values passed through manual inspection. Values that were gained from a pipeline ending with the automatic rejection filter are reported in parenthesis. Properties of uninspected pipelines can be found in the respective tables.</w:t>
      </w:r>
    </w:p>
    <w:bookmarkEnd w:id="61"/>
    <w:bookmarkStart w:id="65" w:name="reliability"/>
    <w:p>
      <w:pPr>
        <w:pStyle w:val="berschrift2"/>
      </w:pPr>
      <w:r>
        <w:t xml:space="preserve">Reliability</w:t>
      </w:r>
    </w:p>
    <w:p>
      <w:pPr>
        <w:pStyle w:val="FirstParagraph"/>
      </w:pPr>
      <w:r>
        <w:t xml:space="preserve">I estimated reliability using Spearman-Brown corrected split-half correlations. An overview of reliability</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MAXCOR algorithm had a mean reliability of</w:t>
      </w:r>
      <w:r>
        <w:t xml:space="preserve"> </w:t>
      </w:r>
      <m:oMath>
        <m:bar>
          <m:barPr>
            <m:pos m:val="top"/>
          </m:barPr>
          <m:e>
            <m:sSub>
              <m:e>
                <m:r>
                  <m:t>r</m:t>
                </m:r>
              </m:e>
              <m:sub>
                <m:r>
                  <m:t>t</m:t>
                </m:r>
                <m:r>
                  <m:t>t</m:t>
                </m:r>
              </m:sub>
            </m:sSub>
          </m:e>
        </m:bar>
        <m:r>
          <m:rPr>
            <m:sty m:val="p"/>
          </m:rPr>
          <m:t>=</m:t>
        </m:r>
      </m:oMath>
      <w:r>
        <w:t xml:space="preserve"> </w:t>
      </w:r>
      <w:r>
        <w:t xml:space="preserve">.85 for manually reviewed latencies (</w:t>
      </w:r>
      <m:oMath>
        <m:bar>
          <m:barPr>
            <m:pos m:val="top"/>
          </m:barPr>
          <m:e>
            <m:sSub>
              <m:e>
                <m:r>
                  <m:t>r</m:t>
                </m:r>
              </m:e>
              <m:sub>
                <m:r>
                  <m:t>t</m:t>
                </m:r>
                <m:r>
                  <m:t>t</m:t>
                </m:r>
              </m:sub>
            </m:sSub>
          </m:e>
        </m:bar>
        <m:r>
          <m:rPr>
            <m:sty m:val="p"/>
          </m:rPr>
          <m:t>=</m:t>
        </m:r>
      </m:oMath>
      <w:r>
        <w:t xml:space="preserve"> </w:t>
      </w:r>
      <w:r>
        <w:t xml:space="preserve">.83 for automatically reviewed latencies). The MINSQ algorithm had a mean reliability of</w:t>
      </w:r>
      <w:r>
        <w:t xml:space="preserve"> </w:t>
      </w:r>
      <m:oMath>
        <m:bar>
          <m:barPr>
            <m:pos m:val="top"/>
          </m:barPr>
          <m:e>
            <m:sSub>
              <m:e>
                <m:r>
                  <m:t>r</m:t>
                </m:r>
              </m:e>
              <m:sub>
                <m:r>
                  <m:t>t</m:t>
                </m:r>
                <m:r>
                  <m:t>t</m:t>
                </m:r>
              </m:sub>
            </m:sSub>
          </m:e>
        </m:bar>
        <m:r>
          <m:rPr>
            <m:sty m:val="p"/>
          </m:rPr>
          <m:t>=</m:t>
        </m:r>
      </m:oMath>
      <w:r>
        <w:t xml:space="preserve"> </w:t>
      </w:r>
      <w:r>
        <w:t xml:space="preserve">.88 (</w:t>
      </w:r>
      <m:oMath>
        <m:bar>
          <m:barPr>
            <m:pos m:val="top"/>
          </m:barPr>
          <m:e>
            <m:sSub>
              <m:e>
                <m:r>
                  <m:t>r</m:t>
                </m:r>
              </m:e>
              <m:sub>
                <m:r>
                  <m:t>t</m:t>
                </m:r>
                <m:r>
                  <m:t>t</m:t>
                </m:r>
              </m:sub>
            </m:sSub>
          </m:e>
        </m:bar>
        <m:r>
          <m:rPr>
            <m:sty m:val="p"/>
          </m:rPr>
          <m:t>=</m:t>
        </m:r>
      </m:oMath>
      <w:r>
        <w:t xml:space="preserve"> </w:t>
      </w:r>
      <w:r>
        <w:t xml:space="preserve">.82). Area latency measures showed a mean reliability of</w:t>
      </w:r>
      <w:r>
        <w:t xml:space="preserve"> </w:t>
      </w:r>
      <m:oMath>
        <m:bar>
          <m:barPr>
            <m:pos m:val="top"/>
          </m:barPr>
          <m:e>
            <m:sSub>
              <m:e>
                <m:r>
                  <m:t>r</m:t>
                </m:r>
              </m:e>
              <m:sub>
                <m:r>
                  <m:t>t</m:t>
                </m:r>
                <m:r>
                  <m:t>t</m:t>
                </m:r>
              </m:sub>
            </m:sSub>
          </m:e>
        </m:bar>
        <m:r>
          <m:rPr>
            <m:sty m:val="p"/>
          </m:rPr>
          <m:t>=</m:t>
        </m:r>
      </m:oMath>
      <w:r>
        <w:t xml:space="preserve"> </w:t>
      </w:r>
      <w:r>
        <w:t xml:space="preserve">.91. Peak latency measures had a mean reliability of</w:t>
      </w:r>
      <w:r>
        <w:t xml:space="preserve"> </w:t>
      </w:r>
      <m:oMath>
        <m:bar>
          <m:barPr>
            <m:pos m:val="top"/>
          </m:barPr>
          <m:e>
            <m:sSub>
              <m:e>
                <m:r>
                  <m:t>r</m:t>
                </m:r>
              </m:e>
              <m:sub>
                <m:r>
                  <m:t>t</m:t>
                </m:r>
                <m:r>
                  <m:t>t</m:t>
                </m:r>
              </m:sub>
            </m:sSub>
          </m:e>
        </m:bar>
        <m:r>
          <m:rPr>
            <m:sty m:val="p"/>
          </m:rPr>
          <m:t>=</m:t>
        </m:r>
      </m:oMath>
      <w:r>
        <w:t xml:space="preserve"> </w:t>
      </w:r>
      <w:r>
        <w:t xml:space="preserve">.79. The average reliability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p>
    <w:p>
      <w:pPr>
        <w:pStyle w:val="TableCaption"/>
      </w:pPr>
      <w:bookmarkStart w:id="62" w:name="tab:tab-mean-reliability-flanker"/>
      <w:bookmarkEnd w:id="62"/>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3" w:name="tab:tab-mean-reliability-nback"/>
      <w:bookmarkEnd w:id="63"/>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4" w:name="tab:tab-mean-reliability-switching"/>
      <w:bookmarkEnd w:id="64"/>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5"/>
    <w:bookmarkStart w:id="69"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MAXCOR algorithm had a mean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and the MINSQ algorithm a mean homogeneity of</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mean homogeneity of area latency measures was</w:t>
      </w:r>
      <w:r>
        <w:t xml:space="preserve"> </w:t>
      </w:r>
      <m:oMath>
        <m:bar>
          <m:barPr>
            <m:pos m:val="top"/>
          </m:barPr>
          <m:e>
            <m:sSub>
              <m:e>
                <m:r>
                  <m:t>r</m:t>
                </m:r>
              </m:e>
              <m:sub>
                <m:r>
                  <m:t>h</m:t>
                </m:r>
              </m:sub>
            </m:sSub>
          </m:e>
        </m:bar>
        <m:r>
          <m:rPr>
            <m:sty m:val="p"/>
          </m:rPr>
          <m:t>=</m:t>
        </m:r>
      </m:oMath>
      <w:r>
        <w:t xml:space="preserve"> </w:t>
      </w:r>
      <w:r>
        <w:t xml:space="preserve">.78. The mean homogeneity of peak latency measures was</w:t>
      </w:r>
      <w:r>
        <w:t xml:space="preserve"> </w:t>
      </w:r>
      <m:oMath>
        <m:bar>
          <m:barPr>
            <m:pos m:val="top"/>
          </m:barPr>
          <m:e>
            <m:sSub>
              <m:e>
                <m:r>
                  <m:t>r</m:t>
                </m:r>
              </m:e>
              <m:sub>
                <m:r>
                  <m:t>h</m:t>
                </m:r>
              </m:sub>
            </m:sSub>
          </m:e>
        </m:bar>
        <m:r>
          <m:rPr>
            <m:sty m:val="p"/>
          </m:rPr>
          <m:t>=</m:t>
        </m:r>
      </m:oMath>
      <w:r>
        <w:t xml:space="preserve"> </w:t>
      </w:r>
      <w:r>
        <w:t xml:space="preserve">.71. Homogeneity is larger compared to the other measurement windows when a medium-sized measurement window is employed for both the MINSQ (</w:t>
      </w:r>
      <m:oMath>
        <m:bar>
          <m:barPr>
            <m:pos m:val="top"/>
          </m:barPr>
          <m:e>
            <m:sSub>
              <m:e>
                <m:r>
                  <m:t>r</m:t>
                </m:r>
              </m:e>
              <m:sub>
                <m:r>
                  <m:t>h</m:t>
                </m:r>
              </m:sub>
            </m:sSub>
          </m:e>
        </m:bar>
        <m:r>
          <m:rPr>
            <m:sty m:val="p"/>
          </m:rPr>
          <m:t>=</m:t>
        </m:r>
      </m:oMath>
      <w:r>
        <w:t xml:space="preserve"> </w:t>
      </w:r>
      <w:r>
        <w:t xml:space="preserve">0.87 vs. </w:t>
      </w:r>
      <m:oMath>
        <m:bar>
          <m:barPr>
            <m:pos m:val="top"/>
          </m:barPr>
          <m:e>
            <m:sSub>
              <m:e>
                <m:r>
                  <m:t>r</m:t>
                </m:r>
              </m:e>
              <m:sub>
                <m:r>
                  <m:t>h</m:t>
                </m:r>
              </m:sub>
            </m:sSub>
          </m:e>
        </m:bar>
        <m:r>
          <m:rPr>
            <m:sty m:val="p"/>
          </m:rPr>
          <m:t>=</m:t>
        </m:r>
      </m:oMath>
      <w:r>
        <w:t xml:space="preserve"> </w:t>
      </w:r>
      <w:r>
        <w:t xml:space="preserve">0.82) and the MAXCOR approach (</w:t>
      </w:r>
      <m:oMath>
        <m:bar>
          <m:barPr>
            <m:pos m:val="top"/>
          </m:barPr>
          <m:e>
            <m:sSub>
              <m:e>
                <m:r>
                  <m:t>r</m:t>
                </m:r>
              </m:e>
              <m:sub>
                <m:r>
                  <m:t>h</m:t>
                </m:r>
              </m:sub>
            </m:sSub>
          </m:e>
        </m:bar>
        <m:r>
          <m:rPr>
            <m:sty m:val="p"/>
          </m:rPr>
          <m:t>=</m:t>
        </m:r>
      </m:oMath>
      <w:r>
        <w:t xml:space="preserve"> </w:t>
      </w:r>
      <w:r>
        <w:t xml:space="preserve">0.84 vs. </w:t>
      </w:r>
      <m:oMath>
        <m:bar>
          <m:barPr>
            <m:pos m:val="top"/>
          </m:barPr>
          <m:e>
            <m:sSub>
              <m:e>
                <m:r>
                  <m:t>r</m:t>
                </m:r>
              </m:e>
              <m:sub>
                <m:r>
                  <m:t>h</m:t>
                </m:r>
              </m:sub>
            </m:sSub>
          </m:e>
        </m:bar>
        <m:r>
          <m:rPr>
            <m:sty m:val="p"/>
          </m:rPr>
          <m:t>=</m:t>
        </m:r>
      </m:oMath>
      <w:r>
        <w:t xml:space="preserve"> </w:t>
      </w:r>
      <w:r>
        <w:t xml:space="preserve">0.75).</w:t>
      </w:r>
    </w:p>
    <w:p>
      <w:pPr>
        <w:pStyle w:val="TableCaption"/>
      </w:pPr>
      <w:bookmarkStart w:id="66" w:name="tab:tab-mean-homogeneity-flanker"/>
      <w:bookmarkEnd w:id="66"/>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7" w:name="tab:tab-mean-homogeneity-nback"/>
      <w:bookmarkEnd w:id="67"/>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8" w:name="tab:tab-mean-homogeneity-switching"/>
      <w:bookmarkEnd w:id="68"/>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9"/>
    <w:bookmarkStart w:id="73" w:name="effect-size"/>
    <w:p>
      <w:pPr>
        <w:pStyle w:val="berschrift2"/>
      </w:pPr>
      <w:r>
        <w:t xml:space="preserve">Effect size</w:t>
      </w:r>
    </w:p>
    <w:p>
      <w:pPr>
        <w:pStyle w:val="FirstParagraph"/>
      </w:pPr>
      <w:r>
        <w:t xml:space="preserve">An overview of the effect size of the age effect estimated by a particular method and 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MAXCOR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 had a mean effect size of</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showed average effect sizes of</w:t>
      </w:r>
      <w:r>
        <w:t xml:space="preserve"> </w:t>
      </w:r>
      <m:oMath>
        <m:bar>
          <m:barPr>
            <m:pos m:val="top"/>
          </m:barPr>
          <m:e>
            <m:sSup>
              <m:e>
                <m:r>
                  <m:t>ω</m:t>
                </m:r>
              </m:e>
              <m:sup>
                <m:r>
                  <m:t>2</m:t>
                </m:r>
              </m:sup>
            </m:sSup>
          </m:e>
        </m:bar>
        <m:r>
          <m:rPr>
            <m:sty m:val="p"/>
          </m:rPr>
          <m:t>=</m:t>
        </m:r>
      </m:oMath>
      <w:r>
        <w:t xml:space="preserve"> </w:t>
      </w:r>
      <w:r>
        <w:t xml:space="preserve">.14. Peak latency measures showed</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In the Flanker task data, the MINSQ algorithm with a 32 Hz low-pass filter and a narrow measurement window yielded the largest effect sizes, while peak latency algorithms yielded the lowest effect sizes. In the Switching task, the MINSQ algorithm combined with a wide measurement window yielded the largest effect size estimates, while area latency and peak latency algorithms showed effect sizes of</w:t>
      </w:r>
      <w:r>
        <w:t xml:space="preserve"> </w:t>
      </w:r>
      <m:oMath>
        <m:sSup>
          <m:e>
            <m:r>
              <m:t>ω</m:t>
            </m:r>
          </m:e>
          <m:sup>
            <m:r>
              <m:t>2</m:t>
            </m:r>
          </m:sup>
        </m:sSup>
        <m:r>
          <m:rPr>
            <m:sty m:val="p"/>
          </m:rPr>
          <m:t>=</m:t>
        </m:r>
        <m:r>
          <m:t>0</m:t>
        </m:r>
      </m:oMath>
      <w:r>
        <w:t xml:space="preserve"> </w:t>
      </w:r>
      <w:r>
        <w:t xml:space="preserve">in some conditions. Similarly, in the Nback task, the MAXCOR algorithm combined with a wide measurement window showed the largest effect sizes while area latency and peak latency algorithms showed effect sizes of</w:t>
      </w:r>
      <w:r>
        <w:t xml:space="preserve"> </w:t>
      </w:r>
      <m:oMath>
        <m:sSup>
          <m:e>
            <m:r>
              <m:t>ω</m:t>
            </m:r>
          </m:e>
          <m:sup>
            <m:r>
              <m:t>2</m:t>
            </m:r>
          </m:sup>
        </m:sSup>
        <m:r>
          <m:rPr>
            <m:sty m:val="p"/>
          </m:rPr>
          <m:t>=</m:t>
        </m:r>
        <m:r>
          <m:t>0</m:t>
        </m:r>
      </m:oMath>
      <w:r>
        <w:t xml:space="preserve"> </w:t>
      </w:r>
      <w:r>
        <w:t xml:space="preserve">in some conditions.</w:t>
      </w:r>
      <w:r>
        <w:t xml:space="preserve"> </w:t>
      </w:r>
    </w:p>
    <w:p>
      <w:pPr>
        <w:pStyle w:val="TableCaption"/>
      </w:pPr>
      <w:bookmarkStart w:id="70" w:name="tab:tab-mean-effsize-flanker"/>
      <w:bookmarkEnd w:id="70"/>
      <w:r>
        <w:t xml:space="preserve">Table 7:</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1" w:name="tab:tab-mean-effsize-nback"/>
      <w:bookmarkEnd w:id="71"/>
      <w:r>
        <w:t xml:space="preserve">Table 8:</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2" w:name="tab:tab-mean-effsize-switching"/>
      <w:bookmarkEnd w:id="72"/>
      <w:r>
        <w:t xml:space="preserve">Table 9:</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73"/>
    <w:bookmarkStart w:id="77" w:name="correlation-with-manual-rater"/>
    <w:p>
      <w:pPr>
        <w:pStyle w:val="berschrift2"/>
      </w:pPr>
      <w:r>
        <w:t xml:space="preserve">Correlation with manual rater</w:t>
      </w:r>
    </w:p>
    <w:p>
      <w:pPr>
        <w:pStyle w:val="FirstParagraph"/>
      </w:pPr>
      <w:r>
        <w:t xml:space="preserve">An overview of the intraclass correlation of latencies that were extracted by the algorithm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settings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MAXCOR algorithm had mean correlations of</w:t>
      </w:r>
      <w:r>
        <w:t xml:space="preserve"> </w:t>
      </w:r>
      <m:oMath>
        <m:bar>
          <m:barPr>
            <m:pos m:val="top"/>
          </m:barPr>
          <m:e>
            <m:r>
              <m:t>r</m:t>
            </m:r>
          </m:e>
        </m:bar>
        <m:r>
          <m:rPr>
            <m:sty m:val="p"/>
          </m:rPr>
          <m:t>=</m:t>
        </m:r>
      </m:oMath>
      <w:r>
        <w:t xml:space="preserve"> </w:t>
      </w:r>
      <w:r>
        <w:t xml:space="preserve">.82 (</w:t>
      </w:r>
      <m:oMath>
        <m:bar>
          <m:barPr>
            <m:pos m:val="top"/>
          </m:barPr>
          <m:e>
            <m:r>
              <m:t>r</m:t>
            </m:r>
          </m:e>
        </m:bar>
        <m:r>
          <m:rPr>
            <m:sty m:val="p"/>
          </m:rPr>
          <m:t>=</m:t>
        </m:r>
      </m:oMath>
      <w:r>
        <w:t xml:space="preserve"> </w:t>
      </w:r>
      <w:r>
        <w:t xml:space="preserve">.80) with manually extracted latencies. The MINSQ algorithm had mean intraclass correlations of</w:t>
      </w:r>
      <w:r>
        <w:t xml:space="preserve"> </w:t>
      </w:r>
      <m:oMath>
        <m:bar>
          <m:barPr>
            <m:pos m:val="top"/>
          </m:barPr>
          <m:e>
            <m:r>
              <m:t>r</m:t>
            </m:r>
          </m:e>
        </m:bar>
        <m:r>
          <m:rPr>
            <m:sty m:val="p"/>
          </m:rPr>
          <m:t>=</m:t>
        </m:r>
      </m:oMath>
      <w:r>
        <w:t xml:space="preserve"> </w:t>
      </w:r>
      <w:r>
        <w:t xml:space="preserve">.85 (</w:t>
      </w:r>
      <m:oMath>
        <m:bar>
          <m:barPr>
            <m:pos m:val="top"/>
          </m:barPr>
          <m:e>
            <m:r>
              <m:t>r</m:t>
            </m:r>
          </m:e>
        </m:bar>
        <m:r>
          <m:rPr>
            <m:sty m:val="p"/>
          </m:rPr>
          <m:t>=</m:t>
        </m:r>
      </m:oMath>
      <w:r>
        <w:t xml:space="preserve"> </w:t>
      </w:r>
      <w:r>
        <w:t xml:space="preserve">.83). Area latency measures had a mean intraclass correlation of</w:t>
      </w:r>
      <w:r>
        <w:t xml:space="preserve"> </w:t>
      </w:r>
      <m:oMath>
        <m:bar>
          <m:barPr>
            <m:pos m:val="top"/>
          </m:barPr>
          <m:e>
            <m:r>
              <m:t>r</m:t>
            </m:r>
          </m:e>
        </m:bar>
        <m:r>
          <m:rPr>
            <m:sty m:val="p"/>
          </m:rPr>
          <m:t>=</m:t>
        </m:r>
      </m:oMath>
      <w:r>
        <w:t xml:space="preserve"> </w:t>
      </w:r>
      <w:r>
        <w:t xml:space="preserve">.75, peak latency measures</w:t>
      </w:r>
      <w:r>
        <w:t xml:space="preserve"> </w:t>
      </w:r>
      <m:oMath>
        <m:bar>
          <m:barPr>
            <m:pos m:val="top"/>
          </m:barPr>
          <m:e>
            <m:r>
              <m:t>r</m:t>
            </m:r>
          </m:e>
        </m:bar>
        <m:r>
          <m:rPr>
            <m:sty m:val="p"/>
          </m:rPr>
          <m:t>=</m:t>
        </m:r>
      </m:oMath>
      <w:r>
        <w:t xml:space="preserve"> </w:t>
      </w:r>
      <w:r>
        <w:t xml:space="preserve">.75.</w:t>
      </w:r>
    </w:p>
    <w:p>
      <w:pPr>
        <w:pStyle w:val="Textkrper"/>
      </w:pPr>
      <w:r>
        <w:t xml:space="preserve">In the Flanker task data, the MINSQ approach combined with a medium measurement window led to intraclass correlations with manually extracted latencies consistently above</w:t>
      </w:r>
      <w:r>
        <w:t xml:space="preserve"> </w:t>
      </w:r>
      <m:oMath>
        <m:r>
          <m:t>0.93</m:t>
        </m:r>
      </m:oMath>
      <w:r>
        <w:t xml:space="preserve">, even in the fully automatic approach. The area latency approach showed intraclass correlations between</w:t>
      </w:r>
      <w:r>
        <w:t xml:space="preserve"> </w:t>
      </w:r>
      <m:oMath>
        <m:r>
          <m:t>0.79</m:t>
        </m:r>
      </m:oMath>
      <w:r>
        <w:t xml:space="preserve"> </w:t>
      </w:r>
      <w:r>
        <w:t xml:space="preserve">and</w:t>
      </w:r>
      <w:r>
        <w:t xml:space="preserve"> </w:t>
      </w:r>
      <m:oMath>
        <m:r>
          <m:t>0.93</m:t>
        </m:r>
      </m:oMath>
      <w:r>
        <w:t xml:space="preserve">. A similar pattern emerged for the Nback and Switching tasks. The MINSQ approach combined with a medium measurement window led to the highest intraclass correlations, showing values consistently above</w:t>
      </w:r>
      <w:r>
        <w:t xml:space="preserve"> </w:t>
      </w:r>
      <m:oMath>
        <m:r>
          <m:t>0.8</m:t>
        </m:r>
      </m:oMath>
      <w:r>
        <w:t xml:space="preserve">. Other measures or other measurement windows displayed less consistency, showing intraclass correlations</w:t>
      </w:r>
      <w:r>
        <w:t xml:space="preserve"> </w:t>
      </w:r>
      <m:oMath>
        <m:r>
          <m:t>r</m:t>
        </m:r>
        <m:r>
          <m:rPr>
            <m:sty m:val="p"/>
          </m:rPr>
          <m:t>≤</m:t>
        </m:r>
        <m:r>
          <m:t>0.70</m:t>
        </m:r>
      </m:oMath>
      <w:r>
        <w:t xml:space="preserve"> </w:t>
      </w:r>
      <w:r>
        <w:t xml:space="preserve">in some conditions.</w:t>
      </w:r>
    </w:p>
    <w:p>
      <w:pPr>
        <w:pStyle w:val="TableCaption"/>
      </w:pPr>
      <w:bookmarkStart w:id="74" w:name="tab:tab-mean-manualcor-flanker"/>
      <w:bookmarkEnd w:id="74"/>
      <w:r>
        <w:t xml:space="preserve">Table 10:</w:t>
      </w:r>
      <w:r>
        <w:t xml:space="preserve"> </w:t>
      </w:r>
      <w:r>
        <w:t xml:space="preserve">Intraclass 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ms; medium = 200 - 700 ms; wide = 150 - 900ms)</w:t>
            </w:r>
          </w:p>
        </w:tc>
      </w:tr>
    </w:tbl>
    <w:p>
      <w:pPr>
        <w:pStyle w:val="TableCaption"/>
      </w:pPr>
      <w:bookmarkStart w:id="75" w:name="tab:tab-mean-manualcor-nback"/>
      <w:bookmarkEnd w:id="75"/>
      <w:r>
        <w:t xml:space="preserve">Table 11:</w:t>
      </w:r>
      <w:r>
        <w:t xml:space="preserve"> </w:t>
      </w:r>
      <w:r>
        <w:t xml:space="preserve">Intraclass 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ms; medium = 200 - 700 ms; wide = 150 - 900ms)</w:t>
            </w:r>
          </w:p>
        </w:tc>
      </w:tr>
    </w:tbl>
    <w:p>
      <w:pPr>
        <w:pStyle w:val="TableCaption"/>
      </w:pPr>
      <w:bookmarkStart w:id="76" w:name="tab:tab-mean-manualcor-switching"/>
      <w:bookmarkEnd w:id="76"/>
      <w:r>
        <w:t xml:space="preserve">Table 12:</w:t>
      </w:r>
      <w:r>
        <w:t xml:space="preserve"> </w:t>
      </w:r>
      <w:r>
        <w:t xml:space="preserve">Intraclass 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0.34</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ms; medium = 200 - 700 ms; wide = 150 - 900ms)</w:t>
            </w:r>
          </w:p>
        </w:tc>
      </w:tr>
    </w:tbl>
    <w:bookmarkEnd w:id="77"/>
    <w:bookmarkEnd w:id="78"/>
    <w:bookmarkStart w:id="92" w:name="discussion"/>
    <w:p>
      <w:pPr>
        <w:pStyle w:val="berschrift1"/>
      </w:pPr>
      <w:r>
        <w:t xml:space="preserve">Discussion</w:t>
      </w:r>
    </w:p>
    <w:p>
      <w:pPr>
        <w:pStyle w:val="FirstParagraph"/>
      </w:pPr>
      <w:r>
        <w:t xml:space="preserve">The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The template matching algorithm based on minimizing the weighted squared distance between transformed template and signal (MINSQ) showed a mean intraclass correlation with manually extracted P3 latencies of</w:t>
      </w:r>
      <w:r>
        <w:t xml:space="preserve"> </w:t>
      </w:r>
      <m:oMath>
        <m:bar>
          <m:barPr>
            <m:pos m:val="top"/>
          </m:barPr>
          <m:e>
            <m:r>
              <m:t>r</m:t>
            </m:r>
          </m:e>
        </m:bar>
        <m:r>
          <m:rPr>
            <m:sty m:val="p"/>
          </m:rPr>
          <m:t>=</m:t>
        </m:r>
      </m:oMath>
      <w:r>
        <w:t xml:space="preserve"> </w:t>
      </w:r>
      <w:r>
        <w:t xml:space="preserve">.85 across tasks and preprocessing steps. This indicates that the new algorithm was able to replicate manual extraction accurately while presenting a more objective and efficient approach to latency extraction. Across three different tasks, using the MINSQ algorithm in combination with a medium-sized (200ms - 700ms) measurement window generated the best results. Application of my algorithm would increase both replicability and scalability as well as significantly reduce the time and resources researchers need to spend on latency extraction.</w:t>
      </w:r>
    </w:p>
    <w:p>
      <w:pPr>
        <w:pStyle w:val="Textkrper"/>
      </w:pPr>
      <w:r>
        <w:t xml:space="preserve">Because previous algorithms have been proposed, I considered it prudent to compare the effectiveness of my new algorithm against already established algorithms.</w:t>
      </w:r>
    </w:p>
    <w:bookmarkStart w:id="79" w:name="reliability-1"/>
    <w:p>
      <w:pPr>
        <w:pStyle w:val="berschrift2"/>
      </w:pPr>
      <w:r>
        <w:t xml:space="preserve">Reliability</w:t>
      </w:r>
    </w:p>
    <w:p>
      <w:pPr>
        <w:pStyle w:val="FirstParagraph"/>
      </w:pPr>
      <w:r>
        <w:t xml:space="preserve">Regarding the reliability of extracted latencies across tasks and preprocessing steps, my algorithm did not prove superior to the area latency approach. Both the MINSQ and MAXCOR approaches led to slightly lower average Spearman-Brown corrected split-half correlations than in area latency approaches. Following manual inspection, the MINSQ algorithm showed mean reliabilities of</w:t>
      </w:r>
      <w:r>
        <w:t xml:space="preserve"> </w:t>
      </w:r>
      <m:oMath>
        <m:bar>
          <m:barPr>
            <m:pos m:val="top"/>
          </m:barPr>
          <m:e>
            <m:sSub>
              <m:e>
                <m:r>
                  <m:t>r</m:t>
                </m:r>
              </m:e>
              <m:sub>
                <m:r>
                  <m:t>t</m:t>
                </m:r>
                <m:r>
                  <m:t>t</m:t>
                </m:r>
              </m:sub>
            </m:sSub>
          </m:e>
        </m:bar>
        <m:r>
          <m:rPr>
            <m:sty m:val="p"/>
          </m:rPr>
          <m:t>=</m:t>
        </m:r>
      </m:oMath>
      <w:r>
        <w:t xml:space="preserve"> </w:t>
      </w:r>
      <w:r>
        <w:t xml:space="preserve">.88, only slightly lower than the mean reliability of the area latency approach (</w:t>
      </w:r>
      <m:oMath>
        <m:bar>
          <m:barPr>
            <m:pos m:val="top"/>
          </m:barPr>
          <m:e>
            <m:sSub>
              <m:e>
                <m:r>
                  <m:t>r</m:t>
                </m:r>
              </m:e>
              <m:sub>
                <m:r>
                  <m:t>t</m:t>
                </m:r>
                <m:r>
                  <m:t>t</m:t>
                </m:r>
              </m:sub>
            </m:sSub>
          </m:e>
        </m:bar>
        <m:r>
          <m:rPr>
            <m:sty m:val="p"/>
          </m:rPr>
          <m:t>=</m:t>
        </m:r>
      </m:oMath>
      <w:r>
        <w:t xml:space="preserve"> </w:t>
      </w:r>
      <w:r>
        <w:t xml:space="preserve">.91). These differences in reliability are quite small and only carry low practical implications. If the researcher uses latent-variable approaches in their analysis of ERP latencies like structural equation modeling, the error variance may be controlled and resulting latent variables may be considered free of measurement error</w:t>
      </w:r>
      <w:r>
        <w:t xml:space="preserve"> </w:t>
      </w:r>
      <w:r>
        <w:t xml:space="preserve">(</w:t>
      </w:r>
      <w:hyperlink w:anchor="ref-bollen1989structural">
        <w:r>
          <w:rPr>
            <w:rStyle w:val="Hyperlink"/>
          </w:rPr>
          <w:t xml:space="preserve">Bollen, 1989</w:t>
        </w:r>
      </w:hyperlink>
      <w:r>
        <w:t xml:space="preserve">)</w:t>
      </w:r>
      <w:r>
        <w:t xml:space="preserve">. Especially in this case, slightly lower reliabilities carry negligible practical implications.</w:t>
      </w:r>
    </w:p>
    <w:bookmarkEnd w:id="79"/>
    <w:bookmarkStart w:id="80" w:name="homogeneity-1"/>
    <w:p>
      <w:pPr>
        <w:pStyle w:val="berschrift2"/>
      </w:pPr>
      <w:r>
        <w:t xml:space="preserve">Homogeneity</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MAXCOR algorithm also proved superior to previously established extraction methods. Across tasks and filter settings, the MINSQ algorithm combined with a medium measurement window showed the highest homogeneities compared to other extraction methods.</w:t>
      </w:r>
    </w:p>
    <w:bookmarkEnd w:id="80"/>
    <w:bookmarkStart w:id="81" w:name="effect-sizes"/>
    <w:p>
      <w:pPr>
        <w:pStyle w:val="berschrift2"/>
      </w:pPr>
      <w:r>
        <w:t xml:space="preserve">Effect sizes</w:t>
      </w:r>
    </w:p>
    <w:p>
      <w:pPr>
        <w:pStyle w:val="FirstParagraph"/>
      </w:pPr>
      <w:r>
        <w:t xml:space="preserve">Across tasks, filter settings, and measurement windows, the average effect size of the age effect was highest for the MINSQ algorithm, average for the MAXCOR algorithm and lowest for the peak latency and area latency algorithms. The MINSQ algorithm also produced the highest effect size estimates in the Flanker and Switching tasks. This pattern of consistently higher effect sizes in the template matching approaches may indicate an overestimation of true effect sizes. Because the grand average is used extensively in the template matching procedure, the variance within groups may be artificially deflated as individual latency estimates are biased towards the group mean. This may inflate effect size estimates. I will investigate this potential issue in future work by using simulated data with a known true effect size.</w:t>
      </w:r>
    </w:p>
    <w:p>
      <w:pPr>
        <w:pStyle w:val="Textkrper"/>
      </w:pPr>
      <w:r>
        <w:t xml:space="preserve">Area latency and peak latency measures show consistently lower effect size estimates, sometimes yielding implausible estimates (</w:t>
      </w:r>
      <m:oMath>
        <m:sSup>
          <m:e>
            <m:r>
              <m:t>ω</m:t>
            </m:r>
          </m:e>
          <m:sup>
            <m:r>
              <m:t>2</m:t>
            </m:r>
          </m:sup>
        </m:sSup>
        <m:r>
          <m:rPr>
            <m:sty m:val="p"/>
          </m:rPr>
          <m:t>≤</m:t>
        </m:r>
        <m:r>
          <m:t>0.03</m:t>
        </m:r>
      </m:oMath>
      <w:r>
        <w:t xml:space="preserve">) of the age effect. This indicates that these approaches sometimes fail to detect the true age effect at all. Again, simulating data will help reveal the severity of this potential underestimation.</w:t>
      </w:r>
    </w:p>
    <w:p>
      <w:pPr>
        <w:pStyle w:val="Textkrper"/>
      </w:pPr>
      <w:r>
        <w:t xml:space="preserve">In the absence of a simulation study that can inform about the true effect size, I can only turn to the literature regarding the age effect. Effect sizes range from</w:t>
      </w:r>
      <w:r>
        <w:t xml:space="preserve"> </w:t>
      </w:r>
      <m:oMath>
        <m:sSup>
          <m:e>
            <m:r>
              <m:t>ω</m:t>
            </m:r>
          </m:e>
          <m:sup>
            <m:r>
              <m:t>2</m:t>
            </m:r>
          </m:sup>
        </m:sSup>
        <m:r>
          <m:rPr>
            <m:sty m:val="p"/>
          </m:rPr>
          <m:t>=</m:t>
        </m:r>
        <m:r>
          <m:t>.12</m:t>
        </m:r>
      </m:oMath>
      <w:r>
        <w:t xml:space="preserve"> </w:t>
      </w:r>
      <w:r>
        <w:t xml:space="preserve">(</w:t>
      </w:r>
      <w:hyperlink w:anchor="ref-wild2008flanker">
        <w:r>
          <w:rPr>
            <w:rStyle w:val="Hyperlink"/>
          </w:rPr>
          <w:t xml:space="preserve">Wild-Wall et al., 2008</w:t>
        </w:r>
      </w:hyperlink>
      <w:r>
        <w:t xml:space="preserve">)</w:t>
      </w:r>
      <w:r>
        <w:t xml:space="preserve"> </w:t>
      </w:r>
      <w:r>
        <w:t xml:space="preserve">to</w:t>
      </w:r>
      <w:r>
        <w:t xml:space="preserve"> </w:t>
      </w:r>
      <m:oMath>
        <m:sSup>
          <m:e>
            <m:r>
              <m:t>ω</m:t>
            </m:r>
          </m:e>
          <m:sup>
            <m:r>
              <m:t>2</m:t>
            </m:r>
          </m:sup>
        </m:sSup>
        <m:r>
          <m:rPr>
            <m:sty m:val="p"/>
          </m:rPr>
          <m:t>=</m:t>
        </m:r>
        <m:r>
          <m:t>.45</m:t>
        </m:r>
      </m:oMath>
      <w:r>
        <w:t xml:space="preserve"> </w:t>
      </w:r>
      <w:r>
        <w:t xml:space="preserve">(</w:t>
      </w:r>
      <w:hyperlink w:anchor="ref-kray2005age">
        <w:r>
          <w:rPr>
            <w:rStyle w:val="Hyperlink"/>
          </w:rPr>
          <w:t xml:space="preserve">Kray et al., 2005</w:t>
        </w:r>
      </w:hyperlink>
      <w:r>
        <w:t xml:space="preserve">)</w:t>
      </w:r>
      <w:r>
        <w:t xml:space="preserve">. In light of this information, I deem the failure to detect an age effect as more severe than estimating the age effect to be</w:t>
      </w:r>
      <w:r>
        <w:t xml:space="preserve"> </w:t>
      </w:r>
      <m:oMath>
        <m:sSup>
          <m:e>
            <m:r>
              <m:t>ω</m:t>
            </m:r>
          </m:e>
          <m:sup>
            <m:r>
              <m:t>2</m:t>
            </m:r>
          </m:sup>
        </m:sSup>
        <m:r>
          <m:rPr>
            <m:sty m:val="p"/>
          </m:rPr>
          <m:t>=</m:t>
        </m:r>
        <m:r>
          <m:t>0.55</m:t>
        </m:r>
      </m:oMath>
      <w:r>
        <w:t xml:space="preserve">.</w:t>
      </w:r>
    </w:p>
    <w:bookmarkEnd w:id="81"/>
    <w:bookmarkStart w:id="82" w:name="convergent-validity"/>
    <w:p>
      <w:pPr>
        <w:pStyle w:val="berschrift2"/>
      </w:pPr>
      <w:r>
        <w:t xml:space="preserve">Convergent Validity</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that correlate highly with those extracted by an expert ERP researcher was therefore of high importance to me.</w:t>
      </w:r>
      <w:r>
        <w:t xml:space="preserve"> </w:t>
      </w:r>
      <w:r>
        <w:t xml:space="preserve">Again, the newly proposed algorithm proved to have a superior ability to replicate human behavior compared to previous approaches. The MINSQ algorithm, after manual inspection, had a mean intraclass correlation of</w:t>
      </w:r>
      <w:r>
        <w:t xml:space="preserve"> </w:t>
      </w:r>
      <m:oMath>
        <m:bar>
          <m:barPr>
            <m:pos m:val="top"/>
          </m:barPr>
          <m:e>
            <m:r>
              <m:t>r</m:t>
            </m:r>
          </m:e>
        </m:bar>
        <m:r>
          <m:rPr>
            <m:sty m:val="p"/>
          </m:rPr>
          <m:t>=</m:t>
        </m:r>
      </m:oMath>
      <w:r>
        <w:t xml:space="preserve"> </w:t>
      </w:r>
      <w:r>
        <w:t xml:space="preserve">.85 with manually extracted latencies across tasks and preprocessing steps.</w:t>
      </w:r>
    </w:p>
    <w:p>
      <w:pPr>
        <w:pStyle w:val="Textkrper"/>
      </w:pPr>
      <w:r>
        <w:t xml:space="preserve">The MAXCOR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.82). Area latency measures do correlate highly with manually extracted data (</w:t>
      </w:r>
      <m:oMath>
        <m:bar>
          <m:barPr>
            <m:pos m:val="top"/>
          </m:barPr>
          <m:e>
            <m:r>
              <m:t>r</m:t>
            </m:r>
          </m:e>
        </m:bar>
        <m:r>
          <m:rPr>
            <m:sty m:val="p"/>
          </m:rPr>
          <m:t>=</m:t>
        </m:r>
      </m:oMath>
      <w:r>
        <w:t xml:space="preserve"> </w:t>
      </w:r>
      <w:r>
        <w:t xml:space="preserve">.75) but failed to match the performance of my new algorithm.</w:t>
      </w:r>
    </w:p>
    <w:p>
      <w:pPr>
        <w:pStyle w:val="Textkrper"/>
      </w:pPr>
      <w:r>
        <w:t xml:space="preserve">Importantly, even the fully automated pipelines of my algorithm that rejected those matches with fits</w:t>
      </w:r>
      <w:r>
        <w:t xml:space="preserve"> </w:t>
      </w:r>
      <m:oMath>
        <m:sSub>
          <m:e>
            <m:r>
              <m:t>r</m:t>
            </m:r>
          </m:e>
          <m:sub>
            <m:r>
              <m:t>s</m:t>
            </m:r>
            <m:r>
              <m:t>t</m:t>
            </m:r>
          </m:sub>
        </m:sSub>
        <m:r>
          <m:rPr>
            <m:sty m:val="p"/>
          </m:rPr>
          <m:t>≤</m:t>
        </m:r>
        <m:r>
          <m:t>.20</m:t>
        </m:r>
      </m:oMath>
      <w:r>
        <w:t xml:space="preserve"> </w:t>
      </w:r>
      <w:r>
        <w:t xml:space="preserve">led to mean intraclass correlations of</w:t>
      </w:r>
      <w:r>
        <w:t xml:space="preserve"> </w:t>
      </w:r>
      <m:oMath>
        <m:bar>
          <m:barPr>
            <m:pos m:val="top"/>
          </m:barPr>
          <m:e>
            <m:r>
              <m:t>r</m:t>
            </m:r>
          </m:e>
        </m:bar>
        <m:r>
          <m:rPr>
            <m:sty m:val="p"/>
          </m:rPr>
          <m:t>=</m:t>
        </m:r>
      </m:oMath>
      <w:r>
        <w:t xml:space="preserve"> </w:t>
      </w:r>
      <w:r>
        <w:t xml:space="preserve">.83 for the MINSQ algorithm and</w:t>
      </w:r>
      <w:r>
        <w:t xml:space="preserve"> </w:t>
      </w:r>
      <m:oMath>
        <m:bar>
          <m:barPr>
            <m:pos m:val="top"/>
          </m:barPr>
          <m:e>
            <m:r>
              <m:t>r</m:t>
            </m:r>
          </m:e>
        </m:bar>
        <m:r>
          <m:rPr>
            <m:sty m:val="p"/>
          </m:rPr>
          <m:t>=</m:t>
        </m:r>
      </m:oMath>
      <w:r>
        <w:t xml:space="preserve"> </w:t>
      </w:r>
      <w:r>
        <w:t xml:space="preserve">.80 for the MAXCOR algorithm. This indicates that this new algorithm may be applied fully autonomously, eliminating the need for human intervention and increasing replicability and efficiency.</w:t>
      </w:r>
    </w:p>
    <w:p>
      <w:pPr>
        <w:pStyle w:val="Textkrper"/>
      </w:pPr>
      <w:r>
        <w:t xml:space="preserve">Sadus et al. (</w:t>
      </w:r>
      <w:hyperlink w:anchor="ref-sadus2023multiverse">
        <w:r>
          <w:rPr>
            <w:rStyle w:val="Hyperlink"/>
          </w:rPr>
          <w:t xml:space="preserve">2023</w:t>
        </w:r>
      </w:hyperlink>
      <w:r>
        <w:t xml:space="preserve">)</w:t>
      </w:r>
      <w:r>
        <w:t xml:space="preserve"> </w:t>
      </w:r>
      <w:r>
        <w:t xml:space="preserve">investigated the interrater reliability using intraclass correlations for the Nback task. For the 3 filter settings further analyzed here (8 Hz, 16 Hz, 32 Hz), the mean intraclass correlation between two expert ERP researchers was</w:t>
      </w:r>
      <w:r>
        <w:t xml:space="preserve"> </w:t>
      </w:r>
      <m:oMath>
        <m:bar>
          <m:barPr>
            <m:pos m:val="top"/>
          </m:barPr>
          <m:e>
            <m:r>
              <m:t>r</m:t>
            </m:r>
          </m:e>
        </m:bar>
        <m:r>
          <m:rPr>
            <m:sty m:val="p"/>
          </m:rPr>
          <m:t>=</m:t>
        </m:r>
      </m:oMath>
      <w:r>
        <w:t xml:space="preserve"> </w:t>
      </w:r>
      <w:r>
        <w:t xml:space="preserve">.76. This indicates that the template matching algorithm correlates higher with an expert ERP researcher than two expert ERP researchers correlate with each other.</w:t>
      </w:r>
    </w:p>
    <w:p>
      <w:pPr>
        <w:pStyle w:val="Textkrper"/>
      </w:pPr>
      <w:r>
        <w:t xml:space="preserve">The superiority of the template matching algorithm further improved when I employed a medium measurement window. Both the average correlation and the minimum correlation with manually extracted latencies were highest across tasks and filter settings when using a MINSQ algorithm with a medium measurement window. Using a medium measurement window, the average intraclass correlation across tasks and filter settings between the fully autonomous MINSQ approach and an expert ERP researcher was</w:t>
      </w:r>
      <w:r>
        <w:t xml:space="preserve"> </w:t>
      </w:r>
      <m:oMath>
        <m:bar>
          <m:barPr>
            <m:pos m:val="top"/>
          </m:barPr>
          <m:e>
            <m:r>
              <m:t>r</m:t>
            </m:r>
          </m:e>
        </m:bar>
        <m:r>
          <m:rPr>
            <m:sty m:val="p"/>
          </m:rPr>
          <m:t>=</m:t>
        </m:r>
      </m:oMath>
      <w:r>
        <w:t xml:space="preserve"> </w:t>
      </w:r>
      <w:r>
        <w:t xml:space="preserve">0.89. It was</w:t>
      </w:r>
      <w:r>
        <w:t xml:space="preserve"> </w:t>
      </w:r>
      <m:oMath>
        <m:bar>
          <m:barPr>
            <m:pos m:val="top"/>
          </m:barPr>
          <m:e>
            <m:r>
              <m:t>r</m:t>
            </m:r>
          </m:e>
        </m:bar>
        <m:r>
          <m:rPr>
            <m:sty m:val="p"/>
          </m:rPr>
          <m:t>=</m:t>
        </m:r>
      </m:oMath>
      <w:r>
        <w:t xml:space="preserve"> </w:t>
      </w:r>
      <w:r>
        <w:t xml:space="preserve">0.87 between the fully autonomous MAXCOR approach and an expert ERP researcher.</w:t>
      </w:r>
    </w:p>
    <w:p>
      <w:pPr>
        <w:pStyle w:val="Textkrper"/>
      </w:pPr>
      <w:r>
        <w:t xml:space="preserve">This underscores a clear trend that can be observed in reliability, homogeneity, effect sizes, and validity of different extraction methods. Overall, the MINSQ algorithm shows the best average qualities, followed by the MAXCOR algorithm and then followed by area latency approaches. More specifically, using a medium sized measurement window (200ms - 700ms) that aims to capture the onset and offset of the component as displayed in the grand average, leads to the best results, regardless of task and filter settings employed.</w:t>
      </w:r>
    </w:p>
    <w:p>
      <w:pPr>
        <w:pStyle w:val="Textkrper"/>
      </w:pPr>
      <w:r>
        <w:t xml:space="preserve">Inspecting the lowest reliabilities, homogeneities, and intraclass correlations illustrates the consistency of the MINSQ algorithm combined with a medium sized measurement window. It shows reliabilities of at least</w:t>
      </w:r>
      <w:r>
        <w:t xml:space="preserve"> </w:t>
      </w:r>
      <m:oMath>
        <m:sSub>
          <m:e>
            <m:r>
              <m:t>r</m:t>
            </m:r>
          </m:e>
          <m:sub>
            <m:r>
              <m:t>t</m:t>
            </m:r>
            <m:r>
              <m:t>t</m:t>
            </m:r>
          </m:sub>
        </m:sSub>
        <m:r>
          <m:rPr>
            <m:sty m:val="p"/>
          </m:rPr>
          <m:t>≥</m:t>
        </m:r>
      </m:oMath>
      <w:r>
        <w:t xml:space="preserve"> </w:t>
      </w:r>
      <w:r>
        <w:t xml:space="preserve">.77 (</w:t>
      </w:r>
      <m:oMath>
        <m:sSub>
          <m:e>
            <m:r>
              <m:t>r</m:t>
            </m:r>
          </m:e>
          <m:sub>
            <m:r>
              <m:t>t</m:t>
            </m:r>
            <m:r>
              <m:t>t</m:t>
            </m:r>
          </m:sub>
        </m:sSub>
        <m:r>
          <m:rPr>
            <m:sty m:val="p"/>
          </m:rPr>
          <m:t>≥</m:t>
        </m:r>
      </m:oMath>
      <w:r>
        <w:t xml:space="preserve"> </w:t>
      </w:r>
      <w:r>
        <w:t xml:space="preserve">.69 when applied fully automatically), homogeneities of at least</w:t>
      </w:r>
      <w:r>
        <w:t xml:space="preserve"> </w:t>
      </w:r>
      <m:oMath>
        <m:sSub>
          <m:e>
            <m:r>
              <m:t>r</m:t>
            </m:r>
          </m:e>
          <m:sub>
            <m:r>
              <m:t>h</m:t>
            </m:r>
          </m:sub>
        </m:sSub>
        <m:r>
          <m:rPr>
            <m:sty m:val="p"/>
          </m:rPr>
          <m:t>≥</m:t>
        </m:r>
      </m:oMath>
      <w:r>
        <w:t xml:space="preserve"> </w:t>
      </w:r>
      <w:r>
        <w:t xml:space="preserve">.81 (</w:t>
      </w:r>
      <m:oMath>
        <m:sSub>
          <m:e>
            <m:r>
              <m:t>r</m:t>
            </m:r>
          </m:e>
          <m:sub>
            <m:r>
              <m:t>t</m:t>
            </m:r>
            <m:r>
              <m:t>t</m:t>
            </m:r>
          </m:sub>
        </m:sSub>
        <m:r>
          <m:rPr>
            <m:sty m:val="p"/>
          </m:rPr>
          <m:t>≥</m:t>
        </m:r>
      </m:oMath>
      <w:r>
        <w:t xml:space="preserve"> </w:t>
      </w:r>
      <w:r>
        <w:t xml:space="preserve">.82 when applied fully automatically), and intraclass correlations with latencies extracted by an expert ERP researcher of at least</w:t>
      </w:r>
      <w:r>
        <w:t xml:space="preserve"> </w:t>
      </w:r>
      <m:oMath>
        <m:r>
          <m:t>r</m:t>
        </m:r>
        <m:r>
          <m:rPr>
            <m:sty m:val="p"/>
          </m:rPr>
          <m:t>≥</m:t>
        </m:r>
      </m:oMath>
      <w:r>
        <w:t xml:space="preserve"> </w:t>
      </w:r>
      <w:r>
        <w:t xml:space="preserve">.83 (</w:t>
      </w:r>
      <m:oMath>
        <m:r>
          <m:t>r</m:t>
        </m:r>
        <m:r>
          <m:rPr>
            <m:sty m:val="p"/>
          </m:rPr>
          <m:t>≥</m:t>
        </m:r>
      </m:oMath>
      <w:r>
        <w:t xml:space="preserve"> </w:t>
      </w:r>
      <w:r>
        <w:t xml:space="preserve">.83 when applied fully automatically). Using the MINSQ approach and a measurement window that is constructed to include the onset and offset of the component visible in the grand average leads to consistently good qualities in P3 latency extraction.</w:t>
      </w:r>
    </w:p>
    <w:bookmarkEnd w:id="82"/>
    <w:bookmarkStart w:id="83" w:name="objectivity"/>
    <w:p>
      <w:pPr>
        <w:pStyle w:val="berschrift2"/>
      </w:pPr>
      <w:r>
        <w:t xml:space="preserve">Objectivity</w:t>
      </w:r>
    </w:p>
    <w:p>
      <w:pPr>
        <w:pStyle w:val="FirstParagraph"/>
      </w:pPr>
      <w:r>
        <w:t xml:space="preserve">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pPr>
        <w:pStyle w:val="Textkrper"/>
      </w:pPr>
      <w:r>
        <w:t xml:space="preserve">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respective choices made by the algorithm by hand. This feature is not present in any of the previous algorithms.</w:t>
      </w:r>
    </w:p>
    <w:bookmarkEnd w:id="83"/>
    <w:bookmarkStart w:id="88" w:name="comparing-minsq-and-maxcor"/>
    <w:p>
      <w:pPr>
        <w:pStyle w:val="berschrift2"/>
      </w:pPr>
      <w:r>
        <w:t xml:space="preserve">Comparing MINSQ and MAXCOR</w:t>
      </w:r>
    </w:p>
    <w:p>
      <w:pPr>
        <w:pStyle w:val="FirstParagraph"/>
      </w:pPr>
      <w:r>
        <w:t xml:space="preserve">I chose to implement two different approaches to quantifying the degree of similarity between template and signal. The first minimizes the weighted squared difference (MINSQ) and the second maximizes the correlation (MAXCOR). Both showed improvements over previous algorithms and I can recommend that both approaches be studied further. I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subject-level signal is largely of a polarity opposite to that of the component of interest (see Figure</w:t>
      </w:r>
      <w:r>
        <w:t xml:space="preserve"> </w:t>
      </w:r>
      <w:r>
        <w:t xml:space="preserve">3</w:t>
      </w:r>
      <w:r>
        <w:t xml:space="preserve">). 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a subset of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85" name="Picture"/>
            <a:graphic>
              <a:graphicData uri="http://schemas.openxmlformats.org/drawingml/2006/picture">
                <pic:pic>
                  <pic:nvPicPr>
                    <pic:cNvPr descr="images/only_negative_signal_example.png" id="86" name="Picture"/>
                    <pic:cNvPicPr>
                      <a:picLocks noChangeArrowheads="1" noChangeAspect="1"/>
                    </pic:cNvPicPr>
                  </pic:nvPicPr>
                  <pic:blipFill>
                    <a:blip r:embed="rId84"/>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bookmarkStart w:id="87" w:name="fig:only-negative-example"/>
      <w:bookmarkEnd w:id="87"/>
      <w:r>
        <w:t xml:space="preserve">Figure 3: Subject ERP with no positive-going signal</w:t>
      </w:r>
    </w:p>
    <w:p>
      <w:pPr>
        <w:pStyle w:val="Textkrper"/>
      </w:pPr>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pPr>
        <w:pStyle w:val="Textkrper"/>
      </w:pPr>
      <w:r>
        <w:t xml:space="preserve">The weighting vector that is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bookmarkEnd w:id="88"/>
    <w:bookmarkStart w:id="89" w:name="the-impact-of-manual-inspection"/>
    <w:p>
      <w:pPr>
        <w:pStyle w:val="berschrift2"/>
      </w:pPr>
      <w:r>
        <w:t xml:space="preserve">The impact of manual inspection</w:t>
      </w:r>
    </w:p>
    <w:p>
      <w:pPr>
        <w:pStyle w:val="FirstParagraph"/>
      </w:pPr>
      <w:r>
        <w:t xml:space="preserve">In order to choose a cut-off value for the fit statistic I tested different cut-off values and checked whether a large enough proportion of them proved problematic enough to merit manual inspection. I set</w:t>
      </w:r>
      <w:r>
        <w:t xml:space="preserve"> </w:t>
      </w:r>
      <m:oMath>
        <m:sSub>
          <m:e>
            <m:r>
              <m:t>r</m:t>
            </m:r>
          </m:e>
          <m:sub>
            <m:r>
              <m:t>s</m:t>
            </m:r>
            <m:r>
              <m:t>t</m:t>
            </m:r>
          </m:sub>
        </m:sSub>
        <m:r>
          <m:rPr>
            <m:sty m:val="p"/>
          </m:rPr>
          <m:t>≤</m:t>
        </m:r>
        <m:r>
          <m:t>.60</m:t>
        </m:r>
      </m:oMath>
      <w:r>
        <w:t xml:space="preserve"> </w:t>
      </w:r>
      <w:r>
        <w:t xml:space="preserve">as my cut-off because more conservative cut-offs led to a situation where a large proportion of the matches I inspected had clearly correct results abd manual inspection was not necessary. Considering the size of my data and the number of ERPs I applied the algorithm to, I wanted to test whether efficient extraction of latencies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using the template matching algorithm and forgoing manual inspection, but rather using the automatic rejection filter of</w:t>
      </w:r>
      <w:r>
        <w:t xml:space="preserve"> </w:t>
      </w:r>
      <m:oMath>
        <m:sSub>
          <m:e>
            <m:r>
              <m:t>r</m:t>
            </m:r>
          </m:e>
          <m:sub>
            <m:r>
              <m:t>s</m:t>
            </m:r>
            <m:r>
              <m:t>t</m:t>
            </m:r>
          </m:sub>
        </m:sSub>
        <m:r>
          <m:rPr>
            <m:sty m:val="p"/>
          </m:rPr>
          <m:t>≤</m:t>
        </m:r>
        <m:r>
          <m:t>.20</m:t>
        </m:r>
      </m:oMath>
      <w:r>
        <w:t xml:space="preserve"> </w:t>
      </w:r>
      <w:r>
        <w:t xml:space="preserve">still extracted latency values better than previously established algorithms and showed mean intraclass correlations across tasks, filter settings, and measurement windows with an expert researcher of</w:t>
      </w:r>
      <w:r>
        <w:t xml:space="preserve"> </w:t>
      </w:r>
      <m:oMath>
        <m:bar>
          <m:barPr>
            <m:pos m:val="top"/>
          </m:barPr>
          <m:e>
            <m:r>
              <m:t>r</m:t>
            </m:r>
          </m:e>
        </m:bar>
        <m:r>
          <m:rPr>
            <m:sty m:val="p"/>
          </m:rPr>
          <m:t>=</m:t>
        </m:r>
      </m:oMath>
      <w:r>
        <w:t xml:space="preserve"> </w:t>
      </w:r>
      <w:r>
        <w:t xml:space="preserve">.80 for the MAXCOR and</w:t>
      </w:r>
      <w:r>
        <w:t xml:space="preserve"> </w:t>
      </w:r>
      <m:oMath>
        <m:bar>
          <m:barPr>
            <m:pos m:val="top"/>
          </m:barPr>
          <m:e>
            <m:r>
              <m:t>r</m:t>
            </m:r>
          </m:e>
        </m:bar>
        <m:r>
          <m:rPr>
            <m:sty m:val="p"/>
          </m:rPr>
          <m:t>=</m:t>
        </m:r>
      </m:oMath>
      <w:r>
        <w:t xml:space="preserve"> </w:t>
      </w:r>
      <w:r>
        <w:t xml:space="preserve">.85 for the MINSQ algorithm. This improves even further when using a medium measurement window. The average intraclass correlation across tasks and filter settings between the fully autonomous MINSQ approach and an expert ERP researcher was</w:t>
      </w:r>
      <w:r>
        <w:t xml:space="preserve"> </w:t>
      </w:r>
      <m:oMath>
        <m:bar>
          <m:barPr>
            <m:pos m:val="top"/>
          </m:barPr>
          <m:e>
            <m:r>
              <m:t>r</m:t>
            </m:r>
          </m:e>
        </m:bar>
        <m:r>
          <m:rPr>
            <m:sty m:val="p"/>
          </m:rPr>
          <m:t>=</m:t>
        </m:r>
      </m:oMath>
      <w:r>
        <w:t xml:space="preserve"> </w:t>
      </w:r>
      <w:r>
        <w:t xml:space="preserve">0.89. It was</w:t>
      </w:r>
      <w:r>
        <w:t xml:space="preserve"> </w:t>
      </w:r>
      <m:oMath>
        <m:bar>
          <m:barPr>
            <m:pos m:val="top"/>
          </m:barPr>
          <m:e>
            <m:r>
              <m:t>r</m:t>
            </m:r>
          </m:e>
        </m:bar>
        <m:r>
          <m:rPr>
            <m:sty m:val="p"/>
          </m:rPr>
          <m:t>=</m:t>
        </m:r>
      </m:oMath>
      <w:r>
        <w:t xml:space="preserve"> </w:t>
      </w:r>
      <w:r>
        <w:t xml:space="preserve">0.87 between the fully autonomous MAXCOR approach and an expert ERP researcher.</w:t>
      </w:r>
    </w:p>
    <w:p>
      <w:pPr>
        <w:pStyle w:val="Textkrper"/>
      </w:pPr>
      <w:r>
        <w:t xml:space="preserve">Quantifying the certainty with which the template matching procedure chose a particular solution sets this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latency extraction algorithms.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my review process.</w:t>
      </w:r>
    </w:p>
    <w:bookmarkEnd w:id="89"/>
    <w:bookmarkStart w:id="90" w:name="limitations"/>
    <w:p>
      <w:pPr>
        <w:pStyle w:val="berschrift2"/>
      </w:pPr>
      <w:r>
        <w:t xml:space="preserve">Limitations</w:t>
      </w:r>
    </w:p>
    <w:p>
      <w:pPr>
        <w:pStyle w:val="FirstParagraph"/>
      </w:pPr>
      <w:r>
        <w:t xml:space="preserve">This template matching algorithm is limited by the type of transformation I employ to introduce variability that allow quantifying individual differences. For example, I chose not to implement a parameter shifting the entire template along the x-axis. Thus, latency can only be shifted by scaling the entire component. Transformation of location and transformation shape of the component are confounded. Therefore, later peaks necessitate broader components. This could be addressed by introducing a parameter shifting the template without scaling it. However, this would also move the amplitude at 0 ms to some other time-point. As the origin is of special importance in ERP research, I decided against this shifting parameter. The origin is the only fix-point in a given ERP, resulting from the averaging and baselining procedures. Thus, I chose not to disturb this property. Future work may investigate the impact the introduction of this additional parameter in template transformations has on the template matching algorithm.</w:t>
      </w:r>
    </w:p>
    <w:p>
      <w:pPr>
        <w:pStyle w:val="Textkrper"/>
      </w:pPr>
      <w:r>
        <w:t xml:space="preserve">I also limited the algorithm to linear transformations of the template but could easily extend it to include non-linear transformations as well. Non-linear transformations, such as a transformation parameter</w:t>
      </w:r>
      <w:r>
        <w:t xml:space="preserve"> </w:t>
      </w:r>
      <m:oMath>
        <m:r>
          <m:t>b</m:t>
        </m:r>
      </m:oMath>
      <w:r>
        <w:t xml:space="preserve">, that depends on the time</w:t>
      </w:r>
      <w:r>
        <w:t xml:space="preserve"> </w:t>
      </w:r>
      <m:oMath>
        <m:sSub>
          <m:e>
            <m:r>
              <m:t>x</m:t>
            </m:r>
          </m:e>
          <m:sub>
            <m:r>
              <m:t>i</m:t>
            </m:r>
          </m:sub>
        </m:sSub>
      </m:oMath>
      <w:r>
        <w:t xml:space="preserve"> </w:t>
      </w:r>
      <w:r>
        <w:t xml:space="preserve">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pPr>
        <w:pStyle w:val="Textkrper"/>
      </w:pPr>
      <w:r>
        <w:t xml:space="preserve">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my findings is limited by the data I analyzed here. I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I therefore expect that the benefits of my new algorithm relative to established algorithms will increase in earlier components.</w:t>
      </w:r>
    </w:p>
    <w:bookmarkEnd w:id="90"/>
    <w:bookmarkStart w:id="91" w:name="future-research"/>
    <w:p>
      <w:pPr>
        <w:pStyle w:val="berschrift2"/>
      </w:pPr>
      <w:r>
        <w:t xml:space="preserve">Future research</w:t>
      </w:r>
    </w:p>
    <w:p>
      <w:pPr>
        <w:pStyle w:val="FirstParagraph"/>
      </w:pPr>
      <w:r>
        <w:t xml:space="preserve">Future research should focus on applying template matching algorithms to earlier components. I also suggest simulating data, enabling future researchers to quantify the algorithm’s ability to recover true effect sizes or the true latency of a component. This work serves largely as a proof-of-concept. The algorithm has yet to prove itself in a larger variety of tasks, samples, and different ERP components.</w:t>
      </w:r>
    </w:p>
    <w:p>
      <w:pPr>
        <w:pStyle w:val="Textkrper"/>
      </w:pPr>
      <w:r>
        <w:t xml:space="preserve">I further suggest improving the optimization processes used during my algorithm. The function used to implement the optimization of the MINSQ approach does not consistently converge on the global optimum, which I compensated for by initializing five different starting points and testing the solutions for convergence. This could be improved upon further. Finding an analytical solution would be ideal, but exceeds the scope of this master thesis.</w:t>
      </w:r>
    </w:p>
    <w:p>
      <w:pPr>
        <w:pStyle w:val="Textkrper"/>
      </w:pPr>
      <w:r>
        <w:t xml:space="preserve">Currently, the algorithm aims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I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a linear transformation like a weighted average when determining the optimal set of transformation parameters.</w:t>
      </w:r>
    </w:p>
    <w:p>
      <w:pPr>
        <w:pStyle w:val="Textkrper"/>
      </w:pPr>
      <w:r>
        <w:t xml:space="preserve">Aside from improvements in the implementation of the algorithm and extensions of the algorithm to earlier components, I will also improve the user interface employed for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matched result,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that would be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bookmarkEnd w:id="91"/>
    <w:bookmarkEnd w:id="92"/>
    <w:bookmarkStart w:id="93" w:name="conclusion"/>
    <w:p>
      <w:pPr>
        <w:pStyle w:val="berschrift1"/>
      </w:pPr>
      <w:r>
        <w:t xml:space="preserve">Conclusion</w:t>
      </w:r>
    </w:p>
    <w:p>
      <w:pPr>
        <w:pStyle w:val="FirstParagraph"/>
      </w:pPr>
      <w:r>
        <w:t xml:space="preserve">This work provides proof-of-concept showing that a template matching algorithm using the grand average as a template can be feasibly used to extract P3 latencies. Latencies extracted by this algorithm correlate highly with values extracted by an expert human researcher across tasks and preprocessing steps. The newly proposed algorithm is superior to previous algorithms like peak latency and area latency regarding the correlation with manually extracted latencies and homogeneity. Across three different tasks, using the MINSQ algorithm and a medium measurement window (200ms - 700ms) led to the best outcomes regarding reliability, homogeneity, the detection of the age effect, and validity.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algorithms. When comparing the two similarity measures, the MINSQ algorithm displays better qualities than the MAXCOR algorithm. However, it also results in a higher number of missing values. I will aim to improve the implementation of my algorithm and attempt to use it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accurately replicating decisions made by an expert human researcher.</w:t>
      </w:r>
    </w:p>
    <w:p>
      <w:r>
        <w:br w:type="page"/>
      </w:r>
    </w:p>
    <w:bookmarkEnd w:id="93"/>
    <w:bookmarkStart w:id="175" w:name="references"/>
    <w:p>
      <w:pPr>
        <w:pStyle w:val="berschrift1"/>
      </w:pPr>
      <w:r>
        <w:t xml:space="preserve">References</w:t>
      </w:r>
    </w:p>
    <w:bookmarkStart w:id="174" w:name="refs"/>
    <w:bookmarkStart w:id="94"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94"/>
    <w:bookmarkStart w:id="96"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95">
        <w:r>
          <w:rPr>
            <w:rStyle w:val="Hyperlink"/>
          </w:rPr>
          <w:t xml:space="preserve">https://github.com/crsh/papaja</w:t>
        </w:r>
      </w:hyperlink>
    </w:p>
    <w:bookmarkEnd w:id="96"/>
    <w:bookmarkStart w:id="97" w:name="ref-bollen1989structural"/>
    <w:p>
      <w:pPr>
        <w:pStyle w:val="Literaturverzeichnis"/>
      </w:pPr>
      <w:r>
        <w:t xml:space="preserve">Bollen, K. A. (1989).</w:t>
      </w:r>
      <w:r>
        <w:t xml:space="preserve"> </w:t>
      </w:r>
      <w:r>
        <w:rPr>
          <w:iCs/>
          <w:i/>
        </w:rPr>
        <w:t xml:space="preserve">Structural equations with latent variables</w:t>
      </w:r>
      <w:r>
        <w:t xml:space="preserve"> </w:t>
      </w:r>
      <w:r>
        <w:t xml:space="preserve">(Vol. 210). John Wiley &amp; Sons.</w:t>
      </w:r>
    </w:p>
    <w:bookmarkEnd w:id="97"/>
    <w:bookmarkStart w:id="98"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98"/>
    <w:bookmarkStart w:id="99"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99"/>
    <w:bookmarkStart w:id="100"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100"/>
    <w:bookmarkStart w:id="101"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101"/>
    <w:bookmarkStart w:id="102"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102"/>
    <w:bookmarkStart w:id="104"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103">
        <w:r>
          <w:rPr>
            <w:rStyle w:val="Hyperlink"/>
          </w:rPr>
          <w:t xml:space="preserve">https://doi.org/10.1111/psyp.12001</w:t>
        </w:r>
      </w:hyperlink>
    </w:p>
    <w:bookmarkEnd w:id="104"/>
    <w:bookmarkStart w:id="106"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105">
        <w:r>
          <w:rPr>
            <w:rStyle w:val="Hyperlink"/>
          </w:rPr>
          <w:t xml:space="preserve">https://doi.org/10.7717/peerj-cs.108</w:t>
        </w:r>
      </w:hyperlink>
    </w:p>
    <w:bookmarkEnd w:id="106"/>
    <w:bookmarkStart w:id="107"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107"/>
    <w:bookmarkStart w:id="108"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108"/>
    <w:bookmarkStart w:id="109"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109"/>
    <w:bookmarkStart w:id="111"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110">
        <w:r>
          <w:rPr>
            <w:rStyle w:val="Hyperlink"/>
          </w:rPr>
          <w:t xml:space="preserve">https://doi.org/10.3758/BF03203267</w:t>
        </w:r>
      </w:hyperlink>
    </w:p>
    <w:bookmarkEnd w:id="111"/>
    <w:bookmarkStart w:id="113"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112">
        <w:r>
          <w:rPr>
            <w:rStyle w:val="Hyperlink"/>
          </w:rPr>
          <w:t xml:space="preserve">https://doi.org/10.1093/oxfordhb/9780195374148.013.0243</w:t>
        </w:r>
      </w:hyperlink>
    </w:p>
    <w:bookmarkEnd w:id="113"/>
    <w:bookmarkStart w:id="115"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114">
        <w:r>
          <w:rPr>
            <w:rStyle w:val="Hyperlink"/>
          </w:rPr>
          <w:t xml:space="preserve">https://CRAN.R-project.org/package=flextable</w:t>
        </w:r>
      </w:hyperlink>
    </w:p>
    <w:bookmarkEnd w:id="115"/>
    <w:bookmarkStart w:id="116"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116"/>
    <w:bookmarkStart w:id="117"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117"/>
    <w:bookmarkStart w:id="118" w:name="ref-kleiner2007psychtoolbox"/>
    <w:p>
      <w:pPr>
        <w:pStyle w:val="Literaturverzeichnis"/>
      </w:pPr>
      <w:r>
        <w:t xml:space="preserve">Kleiner, M., Brainard, D., &amp; Pelli, D. (2007).</w:t>
      </w:r>
      <w:r>
        <w:t xml:space="preserve"> </w:t>
      </w:r>
      <w:r>
        <w:rPr>
          <w:iCs/>
          <w:i/>
        </w:rPr>
        <w:t xml:space="preserve">What’s new in psychtoolbox-3?</w:t>
      </w:r>
    </w:p>
    <w:bookmarkEnd w:id="118"/>
    <w:bookmarkStart w:id="119"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119"/>
    <w:bookmarkStart w:id="120" w:name="ref-kray2005age"/>
    <w:p>
      <w:pPr>
        <w:pStyle w:val="Literaturverzeichnis"/>
      </w:pPr>
      <w:r>
        <w:t xml:space="preserve">Kray, J., Eppinger, B., &amp; Mecklinger, A. (2005). Age differences in attentional control:</w:t>
      </w:r>
      <w:r>
        <w:t xml:space="preserve"> </w:t>
      </w:r>
      <w:r>
        <w:t xml:space="preserve">An</w:t>
      </w:r>
      <w:r>
        <w:t xml:space="preserve"> </w:t>
      </w:r>
      <w:r>
        <w:t xml:space="preserve">event-related potential approach.</w:t>
      </w:r>
      <w:r>
        <w:t xml:space="preserve"> </w:t>
      </w:r>
      <w:r>
        <w:rPr>
          <w:iCs/>
          <w:i/>
        </w:rPr>
        <w:t xml:space="preserve">Psychophysiology</w:t>
      </w:r>
      <w:r>
        <w:t xml:space="preserve">,</w:t>
      </w:r>
      <w:r>
        <w:t xml:space="preserve"> </w:t>
      </w:r>
      <w:r>
        <w:rPr>
          <w:iCs/>
          <w:i/>
        </w:rPr>
        <w:t xml:space="preserve">42</w:t>
      </w:r>
      <w:r>
        <w:t xml:space="preserve">(4), 407–416.</w:t>
      </w:r>
    </w:p>
    <w:bookmarkEnd w:id="120"/>
    <w:bookmarkStart w:id="122"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121">
        <w:r>
          <w:rPr>
            <w:rStyle w:val="Hyperlink"/>
          </w:rPr>
          <w:t xml:space="preserve">https://CRAN.R-project.org/package=emmeans</w:t>
        </w:r>
      </w:hyperlink>
    </w:p>
    <w:bookmarkEnd w:id="122"/>
    <w:bookmarkStart w:id="123"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23"/>
    <w:bookmarkStart w:id="124"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24"/>
    <w:bookmarkStart w:id="125"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25"/>
    <w:bookmarkStart w:id="126"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26"/>
    <w:bookmarkStart w:id="127"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27"/>
    <w:bookmarkStart w:id="128"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28"/>
    <w:bookmarkStart w:id="129"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29"/>
    <w:bookmarkStart w:id="131"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30">
        <w:r>
          <w:rPr>
            <w:rStyle w:val="Hyperlink"/>
          </w:rPr>
          <w:t xml:space="preserve">https://doi.org/10.1111/psyp.13793</w:t>
        </w:r>
      </w:hyperlink>
    </w:p>
    <w:bookmarkEnd w:id="131"/>
    <w:bookmarkStart w:id="132"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32"/>
    <w:bookmarkStart w:id="133"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33"/>
    <w:bookmarkStart w:id="135"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34">
        <w:r>
          <w:rPr>
            <w:rStyle w:val="Hyperlink"/>
          </w:rPr>
          <w:t xml:space="preserve">https://doi.org/10.1016/0301-0511(88)90013-0</w:t>
        </w:r>
      </w:hyperlink>
    </w:p>
    <w:bookmarkEnd w:id="135"/>
    <w:bookmarkStart w:id="137"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36">
        <w:r>
          <w:rPr>
            <w:rStyle w:val="Hyperlink"/>
          </w:rPr>
          <w:t xml:space="preserve">https://doi.org/10.1111/1469-8986.3510099</w:t>
        </w:r>
      </w:hyperlink>
    </w:p>
    <w:bookmarkEnd w:id="137"/>
    <w:bookmarkStart w:id="138"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38"/>
    <w:bookmarkStart w:id="139"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39"/>
    <w:bookmarkStart w:id="140"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40"/>
    <w:bookmarkStart w:id="141"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41"/>
    <w:bookmarkStart w:id="142"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42"/>
    <w:bookmarkStart w:id="143"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43"/>
    <w:bookmarkStart w:id="145"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44">
        <w:r>
          <w:rPr>
            <w:rStyle w:val="Hyperlink"/>
          </w:rPr>
          <w:t xml:space="preserve">https://doi.org/10.1371/journal.pbio.0030051</w:t>
        </w:r>
      </w:hyperlink>
    </w:p>
    <w:bookmarkEnd w:id="145"/>
    <w:bookmarkStart w:id="147"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46">
        <w:r>
          <w:rPr>
            <w:rStyle w:val="Hyperlink"/>
          </w:rPr>
          <w:t xml:space="preserve">https://www.R-project.org/</w:t>
        </w:r>
      </w:hyperlink>
    </w:p>
    <w:bookmarkEnd w:id="147"/>
    <w:bookmarkStart w:id="148"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48"/>
    <w:bookmarkStart w:id="149"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49"/>
    <w:bookmarkStart w:id="151"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50">
        <w:r>
          <w:rPr>
            <w:rStyle w:val="Hyperlink"/>
          </w:rPr>
          <w:t xml:space="preserve">https://doi.org/10.1111/psyp.12500</w:t>
        </w:r>
      </w:hyperlink>
    </w:p>
    <w:bookmarkEnd w:id="151"/>
    <w:bookmarkStart w:id="152"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52"/>
    <w:bookmarkStart w:id="153"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53"/>
    <w:bookmarkStart w:id="155"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54">
        <w:r>
          <w:rPr>
            <w:rStyle w:val="Hyperlink"/>
          </w:rPr>
          <w:t xml:space="preserve">https://CRAN.R-project.org/package=afex</w:t>
        </w:r>
      </w:hyperlink>
    </w:p>
    <w:bookmarkEnd w:id="155"/>
    <w:bookmarkStart w:id="157"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56">
        <w:r>
          <w:rPr>
            <w:rStyle w:val="Hyperlink"/>
          </w:rPr>
          <w:t xml:space="preserve">https://doi.org/10.1111/j.1469-8986.2009.00934.x</w:t>
        </w:r>
      </w:hyperlink>
    </w:p>
    <w:bookmarkEnd w:id="157"/>
    <w:bookmarkStart w:id="159"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58">
        <w:r>
          <w:rPr>
            <w:rStyle w:val="Hyperlink"/>
          </w:rPr>
          <w:t xml:space="preserve">https://www.mathworks.com</w:t>
        </w:r>
      </w:hyperlink>
    </w:p>
    <w:bookmarkEnd w:id="159"/>
    <w:bookmarkStart w:id="160"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60"/>
    <w:bookmarkStart w:id="161"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61"/>
    <w:bookmarkStart w:id="163"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62">
        <w:r>
          <w:rPr>
            <w:rStyle w:val="Hyperlink"/>
          </w:rPr>
          <w:t xml:space="preserve">https://doi.org/10.1371/journal.pone.0268916</w:t>
        </w:r>
      </w:hyperlink>
    </w:p>
    <w:bookmarkEnd w:id="163"/>
    <w:bookmarkStart w:id="165"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64">
        <w:r>
          <w:rPr>
            <w:rStyle w:val="Hyperlink"/>
          </w:rPr>
          <w:t xml:space="preserve">https://doi.org/10.21105/joss.01686</w:t>
        </w:r>
      </w:hyperlink>
    </w:p>
    <w:bookmarkEnd w:id="165"/>
    <w:bookmarkStart w:id="166" w:name="ref-wild2008flanker"/>
    <w:p>
      <w:pPr>
        <w:pStyle w:val="Literaturverzeichnis"/>
      </w:pPr>
      <w:r>
        <w:t xml:space="preserve">Wild-Wall, N., Falkenstein, M., &amp; Hohnsbein, J. (2008). Flanker interference in young and older participants as reflected in event-related potentials.</w:t>
      </w:r>
      <w:r>
        <w:t xml:space="preserve"> </w:t>
      </w:r>
      <w:r>
        <w:rPr>
          <w:iCs/>
          <w:i/>
        </w:rPr>
        <w:t xml:space="preserve">Brain Research</w:t>
      </w:r>
      <w:r>
        <w:t xml:space="preserve">,</w:t>
      </w:r>
      <w:r>
        <w:t xml:space="preserve"> </w:t>
      </w:r>
      <w:r>
        <w:rPr>
          <w:iCs/>
          <w:i/>
        </w:rPr>
        <w:t xml:space="preserve">1211</w:t>
      </w:r>
      <w:r>
        <w:t xml:space="preserve">, 72–84.</w:t>
      </w:r>
    </w:p>
    <w:bookmarkEnd w:id="166"/>
    <w:bookmarkStart w:id="167"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67"/>
    <w:bookmarkStart w:id="169"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68">
        <w:r>
          <w:rPr>
            <w:rStyle w:val="Hyperlink"/>
          </w:rPr>
          <w:t xml:space="preserve">https://yihui.org/knitr/</w:t>
        </w:r>
      </w:hyperlink>
    </w:p>
    <w:bookmarkEnd w:id="169"/>
    <w:bookmarkStart w:id="171"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70">
        <w:r>
          <w:rPr>
            <w:rStyle w:val="Hyperlink"/>
          </w:rPr>
          <w:t xml:space="preserve">https://bookdown.org/yihui/rmarkdown</w:t>
        </w:r>
      </w:hyperlink>
    </w:p>
    <w:bookmarkEnd w:id="171"/>
    <w:bookmarkStart w:id="173"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72">
        <w:r>
          <w:rPr>
            <w:rStyle w:val="Hyperlink"/>
          </w:rPr>
          <w:t xml:space="preserve">https://bookdown.org/yihui/rmarkdown-cookbook</w:t>
        </w:r>
      </w:hyperlink>
    </w:p>
    <w:bookmarkEnd w:id="173"/>
    <w:bookmarkEnd w:id="174"/>
    <w:bookmarkEnd w:id="17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1.8.9;</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1.45;</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0.1.1.9001;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2.25;</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ng" /><Relationship Type="http://schemas.openxmlformats.org/officeDocument/2006/relationships/image" Id="rId84" Target="media/rId84.png" /><Relationship Type="http://schemas.openxmlformats.org/officeDocument/2006/relationships/image" Id="rId43" Target="media/rId43.png" /><Relationship Type="http://schemas.openxmlformats.org/officeDocument/2006/relationships/hyperlink" Id="rId154" Target="https://CRAN.R-project.org/package=afex" TargetMode="External" /><Relationship Type="http://schemas.openxmlformats.org/officeDocument/2006/relationships/hyperlink" Id="rId121" Target="https://CRAN.R-project.org/package=emmeans" TargetMode="External" /><Relationship Type="http://schemas.openxmlformats.org/officeDocument/2006/relationships/hyperlink" Id="rId114" Target="https://CRAN.R-project.org/package=flextable" TargetMode="External" /><Relationship Type="http://schemas.openxmlformats.org/officeDocument/2006/relationships/hyperlink" Id="rId170" Target="https://bookdown.org/yihui/rmarkdown" TargetMode="External" /><Relationship Type="http://schemas.openxmlformats.org/officeDocument/2006/relationships/hyperlink" Id="rId172" Target="https://bookdown.org/yihui/rmarkdown-cookbook" TargetMode="External" /><Relationship Type="http://schemas.openxmlformats.org/officeDocument/2006/relationships/hyperlink" Id="rId134" Target="https://doi.org/10.1016/0301-0511(88)90013-0" TargetMode="External" /><Relationship Type="http://schemas.openxmlformats.org/officeDocument/2006/relationships/hyperlink" Id="rId112" Target="https://doi.org/10.1093/oxfordhb/9780195374148.013.0243" TargetMode="External" /><Relationship Type="http://schemas.openxmlformats.org/officeDocument/2006/relationships/hyperlink" Id="rId136" Target="https://doi.org/10.1111/1469-8986.3510099" TargetMode="External" /><Relationship Type="http://schemas.openxmlformats.org/officeDocument/2006/relationships/hyperlink" Id="rId156" Target="https://doi.org/10.1111/j.1469-8986.2009.00934.x" TargetMode="External" /><Relationship Type="http://schemas.openxmlformats.org/officeDocument/2006/relationships/hyperlink" Id="rId103" Target="https://doi.org/10.1111/psyp.12001" TargetMode="External" /><Relationship Type="http://schemas.openxmlformats.org/officeDocument/2006/relationships/hyperlink" Id="rId150" Target="https://doi.org/10.1111/psyp.12500" TargetMode="External" /><Relationship Type="http://schemas.openxmlformats.org/officeDocument/2006/relationships/hyperlink" Id="rId130" Target="https://doi.org/10.1111/psyp.13793" TargetMode="External" /><Relationship Type="http://schemas.openxmlformats.org/officeDocument/2006/relationships/hyperlink" Id="rId144" Target="https://doi.org/10.1371/journal.pbio.0030051" TargetMode="External" /><Relationship Type="http://schemas.openxmlformats.org/officeDocument/2006/relationships/hyperlink" Id="rId162" Target="https://doi.org/10.1371/journal.pone.0268916" TargetMode="External" /><Relationship Type="http://schemas.openxmlformats.org/officeDocument/2006/relationships/hyperlink" Id="rId164" Target="https://doi.org/10.21105/joss.01686" TargetMode="External" /><Relationship Type="http://schemas.openxmlformats.org/officeDocument/2006/relationships/hyperlink" Id="rId110" Target="https://doi.org/10.3758/BF03203267" TargetMode="External" /><Relationship Type="http://schemas.openxmlformats.org/officeDocument/2006/relationships/hyperlink" Id="rId105"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5" Target="https://github.com/crsh/papaja" TargetMode="External" /><Relationship Type="http://schemas.openxmlformats.org/officeDocument/2006/relationships/hyperlink" Id="rId146" Target="https://www.R-project.org/" TargetMode="External" /><Relationship Type="http://schemas.openxmlformats.org/officeDocument/2006/relationships/hyperlink" Id="rId158" Target="https://www.mathworks.com" TargetMode="External" /><Relationship Type="http://schemas.openxmlformats.org/officeDocument/2006/relationships/hyperlink" Id="rId168" Target="https://yihui.org/knitr/" TargetMode="External" /><Relationship Type="http://schemas.openxmlformats.org/officeDocument/2006/relationships/hyperlink" Id="rId21"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54" Target="https://CRAN.R-project.org/package=afex" TargetMode="External" /><Relationship Type="http://schemas.openxmlformats.org/officeDocument/2006/relationships/hyperlink" Id="rId121" Target="https://CRAN.R-project.org/package=emmeans" TargetMode="External" /><Relationship Type="http://schemas.openxmlformats.org/officeDocument/2006/relationships/hyperlink" Id="rId114" Target="https://CRAN.R-project.org/package=flextable" TargetMode="External" /><Relationship Type="http://schemas.openxmlformats.org/officeDocument/2006/relationships/hyperlink" Id="rId170" Target="https://bookdown.org/yihui/rmarkdown" TargetMode="External" /><Relationship Type="http://schemas.openxmlformats.org/officeDocument/2006/relationships/hyperlink" Id="rId172" Target="https://bookdown.org/yihui/rmarkdown-cookbook" TargetMode="External" /><Relationship Type="http://schemas.openxmlformats.org/officeDocument/2006/relationships/hyperlink" Id="rId134" Target="https://doi.org/10.1016/0301-0511(88)90013-0" TargetMode="External" /><Relationship Type="http://schemas.openxmlformats.org/officeDocument/2006/relationships/hyperlink" Id="rId112" Target="https://doi.org/10.1093/oxfordhb/9780195374148.013.0243" TargetMode="External" /><Relationship Type="http://schemas.openxmlformats.org/officeDocument/2006/relationships/hyperlink" Id="rId136" Target="https://doi.org/10.1111/1469-8986.3510099" TargetMode="External" /><Relationship Type="http://schemas.openxmlformats.org/officeDocument/2006/relationships/hyperlink" Id="rId156" Target="https://doi.org/10.1111/j.1469-8986.2009.00934.x" TargetMode="External" /><Relationship Type="http://schemas.openxmlformats.org/officeDocument/2006/relationships/hyperlink" Id="rId103" Target="https://doi.org/10.1111/psyp.12001" TargetMode="External" /><Relationship Type="http://schemas.openxmlformats.org/officeDocument/2006/relationships/hyperlink" Id="rId150" Target="https://doi.org/10.1111/psyp.12500" TargetMode="External" /><Relationship Type="http://schemas.openxmlformats.org/officeDocument/2006/relationships/hyperlink" Id="rId130" Target="https://doi.org/10.1111/psyp.13793" TargetMode="External" /><Relationship Type="http://schemas.openxmlformats.org/officeDocument/2006/relationships/hyperlink" Id="rId144" Target="https://doi.org/10.1371/journal.pbio.0030051" TargetMode="External" /><Relationship Type="http://schemas.openxmlformats.org/officeDocument/2006/relationships/hyperlink" Id="rId162" Target="https://doi.org/10.1371/journal.pone.0268916" TargetMode="External" /><Relationship Type="http://schemas.openxmlformats.org/officeDocument/2006/relationships/hyperlink" Id="rId164" Target="https://doi.org/10.21105/joss.01686" TargetMode="External" /><Relationship Type="http://schemas.openxmlformats.org/officeDocument/2006/relationships/hyperlink" Id="rId110" Target="https://doi.org/10.3758/BF03203267" TargetMode="External" /><Relationship Type="http://schemas.openxmlformats.org/officeDocument/2006/relationships/hyperlink" Id="rId105"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5" Target="https://github.com/crsh/papaja" TargetMode="External" /><Relationship Type="http://schemas.openxmlformats.org/officeDocument/2006/relationships/hyperlink" Id="rId146" Target="https://www.R-project.org/" TargetMode="External" /><Relationship Type="http://schemas.openxmlformats.org/officeDocument/2006/relationships/hyperlink" Id="rId158" Target="https://www.mathworks.com" TargetMode="External" /><Relationship Type="http://schemas.openxmlformats.org/officeDocument/2006/relationships/hyperlink" Id="rId168" Target="https://yihui.org/knitr/" TargetMode="External" /><Relationship Type="http://schemas.openxmlformats.org/officeDocument/2006/relationships/hyperlink" Id="rId21"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
  <cp:keywords/>
  <dcterms:created xsi:type="dcterms:W3CDTF">2024-01-15T12:34:40Z</dcterms:created>
  <dcterms:modified xsi:type="dcterms:W3CDTF">2024-01-15T12:34:40Z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https://github.com/SLesche/master.</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