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25.png" ContentType="image/png"/>
  <Override PartName="/word/media/rId3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Author Notes go here.</w:t>
      </w:r>
    </w:p>
    <w:p>
      <w:pPr>
        <w:pStyle w:val="Textkrper"/>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Textkrper"/>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Database (ACDC; Haaf et al., in press)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This database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4" w:name="method"/>
    <w:p>
      <w:pPr>
        <w:pStyle w:val="berschrift1"/>
      </w:pPr>
      <w:r>
        <w:t xml:space="preserve">Method</w:t>
      </w:r>
    </w:p>
    <w:bookmarkStart w:id="33"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w:t>
      </w:r>
      <w:r>
        <w:t xml:space="preserve"> </w:t>
      </w:r>
      <w:hyperlink r:id="rId24">
        <w:r>
          <w:rPr>
            <w:rStyle w:val="Hyperlink"/>
          </w:rPr>
          <w:t xml:space="preserve">Github</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r>
        <w:t xml:space="preserve">Figure 1: Overview of TED Structure</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29" w:name="data-submission"/>
    <w:p>
      <w:pPr>
        <w:pStyle w:val="berschrift3"/>
      </w:pPr>
      <w:r>
        <w:t xml:space="preserve">Data Submission.</w:t>
      </w:r>
    </w:p>
    <w:p>
      <w:pPr>
        <w:pStyle w:val="FirstParagraph"/>
      </w:pPr>
      <w:r>
        <w:t xml:space="preserve">To ease the process of submitting data to the database, we built a website (</w:t>
      </w:r>
      <w:hyperlink r:id="rId28">
        <w:r>
          <w:rPr>
            <w:rStyle w:val="Hyperlink"/>
          </w:rPr>
          <w:t xml:space="preserve">https://slesche.github.io/truth-db/</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29"/>
    <w:bookmarkStart w:id="30"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 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https://github.com/SLesche/truth-db</w:t>
        </w:r>
      </w:hyperlink>
      <w:r>
        <w:t xml:space="preserve">).</w:t>
      </w:r>
    </w:p>
    <w:bookmarkEnd w:id="30"/>
    <w:bookmarkStart w:id="31" w:name="data-selection"/>
    <w:p>
      <w:pPr>
        <w:pStyle w:val="berschrift3"/>
      </w:pPr>
      <w:r>
        <w:t xml:space="preserve">Data Selection.</w:t>
      </w:r>
    </w:p>
    <w:p>
      <w:pPr>
        <w:pStyle w:val="FirstParagraph"/>
      </w:pPr>
      <w:r>
        <w:t xml:space="preserve">We included only data from studies that were focused on the repetition-based illusory truth effect. To be included, a study has to have collected truth judgments of visual or auditory stimuli. Some of these stimuli had to have been presented earlier. Data selection was based on earlier work by</w:t>
      </w:r>
      <w:r>
        <w:t xml:space="preserve"> </w:t>
      </w:r>
      <w:r>
        <w:t xml:space="preserve">Henderson et al. (</w:t>
      </w:r>
      <w:hyperlink w:anchor="X49ac4e5bce0df09140f68aadccf2f472a43a687">
        <w:r>
          <w:rPr>
            <w:rStyle w:val="Hyperlink"/>
          </w:rPr>
          <w:t xml:space="preserve">2022</w:t>
        </w:r>
      </w:hyperlink>
      <w:r>
        <w:t xml:space="preserve">)</w:t>
      </w:r>
      <w:r>
        <w:t xml:space="preserve"> </w:t>
      </w:r>
      <w:r>
        <w:t xml:space="preserve">who identified 17 publications with accessible raw data and extended by our own literature search using the same search terms to include the years 2022-2025. In addition, we reached out to colleagues and asked them for freely available data sets.</w:t>
      </w:r>
    </w:p>
    <w:bookmarkEnd w:id="31"/>
    <w:bookmarkStart w:id="32" w:name="data-analysis"/>
    <w:p>
      <w:pPr>
        <w:pStyle w:val="berschrift3"/>
      </w:pPr>
      <w:r>
        <w:t xml:space="preserve">Data Analysis.</w:t>
      </w:r>
    </w:p>
    <w:p>
      <w:pPr>
        <w:pStyle w:val="FirstParagraph"/>
      </w:pPr>
      <w:r>
        <w:t xml:space="preserve">To illustrate the analytical potential of TED, we conducted a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2"/>
    <w:bookmarkEnd w:id="33"/>
    <w:bookmarkEnd w:id="34"/>
    <w:bookmarkStart w:id="45" w:name="results"/>
    <w:p>
      <w:pPr>
        <w:pStyle w:val="berschrift1"/>
      </w:pPr>
      <w:r>
        <w:t xml:space="preserve">Results</w:t>
      </w:r>
    </w:p>
    <w:p>
      <w:pPr>
        <w:pStyle w:val="SourceCode"/>
      </w:pPr>
      <w:r>
        <w:rPr>
          <w:rStyle w:val="VerbatimChar"/>
        </w:rPr>
        <w:t xml:space="preserve">## [1] "Querying through observation table. Query times may be longer."</w:t>
      </w:r>
    </w:p>
    <w:p>
      <w:pPr>
        <w:pStyle w:val="FirstParagraph"/>
      </w:pPr>
      <w:r>
        <w:t xml:space="preserve">All analysis were conducted using R [Version 4.2.2;</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5"/>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525844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32.49,</w:t>
      </w:r>
      <m:oMath>
        <m:sSub>
          <m:e>
            <m:r>
              <m:t>σ</m:t>
            </m:r>
          </m:e>
          <m:sub>
            <m:r>
              <m:t>a</m:t>
            </m:r>
            <m:r>
              <m:t>g</m:t>
            </m:r>
            <m:r>
              <m:t>e</m:t>
            </m:r>
          </m:sub>
        </m:sSub>
        <m:r>
          <m:rPr>
            <m:sty m:val="p"/>
          </m:rPr>
          <m:t>=</m:t>
        </m:r>
      </m:oMath>
      <w:r>
        <w:t xml:space="preserve"> </w:t>
      </w:r>
      <w:r>
        <w:t xml:space="preserve">7.20).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7" name="Picture"/>
            <a:graphic>
              <a:graphicData uri="http://schemas.openxmlformats.org/drawingml/2006/picture">
                <pic:pic>
                  <pic:nvPicPr>
                    <pic:cNvPr descr="images/study_overview_plot.png" id="38" name="Picture"/>
                    <pic:cNvPicPr>
                      <a:picLocks noChangeArrowheads="1" noChangeAspect="1"/>
                    </pic:cNvPicPr>
                  </pic:nvPicPr>
                  <pic:blipFill>
                    <a:blip r:embed="rId36"/>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r>
        <w:t xml:space="preserve">Figure 2: Overview of Study-related variables in TED</w:t>
      </w:r>
    </w:p>
    <w:p>
      <w:pPr>
        <w:pStyle w:val="Textkrper"/>
      </w:pPr>
      <w:r>
        <w:t xml:space="preserve">On average, studies employed 66.49 (</w:t>
      </w:r>
      <m:oMath>
        <m:r>
          <m:t>S</m:t>
        </m:r>
        <m:r>
          <m:t>D</m:t>
        </m:r>
        <m:r>
          <m:rPr>
            <m:sty m:val="p"/>
          </m:rPr>
          <m:t>=</m:t>
        </m:r>
      </m:oMath>
      <w:r>
        <w:t xml:space="preserve"> </w:t>
      </w:r>
      <w:r>
        <w:t xml:space="preserve">41.51) statements per</w:t>
      </w:r>
      <w:r>
        <w:t xml:space="preserve"> </w:t>
      </w:r>
      <w:r>
        <w:t xml:space="preserve">participant in the judgment session and in 85.71 % of procedure settings exactly 50% of statements were repeated. Of 70 judgment phases, 71.43 % were conducted on the same day as the exposure phase. The average delay between exposure and judgment phase if both were conducted on the same day was 4.80 minutes. The average delay between exposure and judgment phase, given the judgment phase was conducted at least one day after the exposure phase, was 6.65 days. An overview of the delay between exposure and judgment phase is provided in Figure</w:t>
      </w:r>
      <w:r>
        <w:t xml:space="preserve"> </w:t>
      </w:r>
      <w:r>
        <w:rPr>
          <w:bCs/>
          <w:b/>
        </w:rPr>
        <w:t xml:space="preserve">Here figure</w:t>
      </w:r>
      <w:r>
        <w:t xml:space="preserve">.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871732" cy="3302849"/>
            <wp:effectExtent b="0" l="0" r="0" t="0"/>
            <wp:docPr descr="Figure 3.  Overview of Procedure-related variables in TED" title="" id="40" name="Picture"/>
            <a:graphic>
              <a:graphicData uri="http://schemas.openxmlformats.org/drawingml/2006/picture">
                <pic:pic>
                  <pic:nvPicPr>
                    <pic:cNvPr descr="images/procedure_overview_plot.png" id="41" name="Picture"/>
                    <pic:cNvPicPr>
                      <a:picLocks noChangeArrowheads="1" noChangeAspect="1"/>
                    </pic:cNvPicPr>
                  </pic:nvPicPr>
                  <pic:blipFill>
                    <a:blip r:embed="rId39"/>
                    <a:stretch>
                      <a:fillRect/>
                    </a:stretch>
                  </pic:blipFill>
                  <pic:spPr bwMode="auto">
                    <a:xfrm>
                      <a:off x="0" y="0"/>
                      <a:ext cx="5871732" cy="3302849"/>
                    </a:xfrm>
                    <a:prstGeom prst="rect">
                      <a:avLst/>
                    </a:prstGeom>
                    <a:noFill/>
                    <a:ln w="9525">
                      <a:noFill/>
                      <a:headEnd/>
                      <a:tailEnd/>
                    </a:ln>
                  </pic:spPr>
                </pic:pic>
              </a:graphicData>
            </a:graphic>
          </wp:inline>
        </w:drawing>
      </w:r>
    </w:p>
    <w:p>
      <w:pPr>
        <w:pStyle w:val="ImageCaption"/>
      </w:pPr>
      <w:r>
        <w:t xml:space="preserve">Figure 3: Overview of Procedure-related variables in TED</w:t>
      </w:r>
    </w:p>
    <w:p>
      <w:pPr>
        <w:pStyle w:val="Textkrper"/>
      </w:pPr>
      <w:r>
        <w:t xml:space="preserve">Detailed information on the statements presented is available for 45 out of 48 studies. Data on the accuracy of a statement is available for 83.58 % of trials, the detailed statement text is available for 69.90 % of trials, and response times are available for 24.31 % of trials.</w:t>
      </w:r>
    </w:p>
    <w:bookmarkStart w:id="44"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varying intercepts at the subject, statement, and procedure levels.</w:t>
      </w:r>
    </w:p>
    <w:p>
      <w:pPr>
        <w:pStyle w:val="Textkrper"/>
      </w:pPr>
      <w:r>
        <w:t xml:space="preserve">We fit five models per dataset. A baseline model with only random intercepts. A full model including random intercepts and random slopes for repetition across all grouping factors. Three reduced models, each excluding the random slope of repetition for one grouping factor (subject, statement, or procedure).</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bookmarkStart w:id="42"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 1:</w:t>
      </w:r>
    </w:p>
    <w:p>
      <w:pPr>
        <w:pStyle w:val="TableCaption"/>
      </w:pPr>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131,915.86</w:t>
            </w:r>
          </w:p>
        </w:tc>
        <w:tc>
          <w:tcPr/>
          <w:p>
            <w:pPr>
              <w:pStyle w:val="Compact"/>
              <w:jc w:val="left"/>
            </w:pPr>
            <w:r>
              <w:t xml:space="preserve">131,964.01</w:t>
            </w:r>
          </w:p>
        </w:tc>
        <w:tc>
          <w:tcPr/>
          <w:p>
            <w:pPr>
              <w:pStyle w:val="Compact"/>
              <w:jc w:val="left"/>
            </w:pPr>
            <w:r>
              <w:t xml:space="preserve">-65,952.93</w:t>
            </w:r>
          </w:p>
        </w:tc>
        <w:tc>
          <w:tcPr/>
          <w:p>
            <w:pPr>
              <w:pStyle w:val="Compact"/>
              <w:jc w:val="left"/>
            </w:pPr>
            <w:r>
              <w:t xml:space="preserve">131,905.86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131,743.99</w:t>
            </w:r>
          </w:p>
        </w:tc>
        <w:tc>
          <w:tcPr/>
          <w:p>
            <w:pPr>
              <w:pStyle w:val="Compact"/>
              <w:jc w:val="left"/>
            </w:pPr>
            <w:r>
              <w:t xml:space="preserve">131,830.66</w:t>
            </w:r>
          </w:p>
        </w:tc>
        <w:tc>
          <w:tcPr/>
          <w:p>
            <w:pPr>
              <w:pStyle w:val="Compact"/>
              <w:jc w:val="left"/>
            </w:pPr>
            <w:r>
              <w:t xml:space="preserve">-65,862.99</w:t>
            </w:r>
          </w:p>
        </w:tc>
        <w:tc>
          <w:tcPr/>
          <w:p>
            <w:pPr>
              <w:pStyle w:val="Compact"/>
              <w:jc w:val="left"/>
            </w:pPr>
            <w:r>
              <w:t xml:space="preserve">131,725.99</w:t>
            </w:r>
          </w:p>
        </w:tc>
        <w:tc>
          <w:tcPr/>
          <w:p>
            <w:pPr>
              <w:pStyle w:val="Compact"/>
              <w:jc w:val="left"/>
            </w:pPr>
            <w:r>
              <w:t xml:space="preserve">179.87</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130,994.35</w:t>
            </w:r>
          </w:p>
        </w:tc>
        <w:tc>
          <w:tcPr/>
          <w:p>
            <w:pPr>
              <w:pStyle w:val="Compact"/>
              <w:jc w:val="left"/>
            </w:pPr>
            <w:r>
              <w:t xml:space="preserve">131,081.02</w:t>
            </w:r>
          </w:p>
        </w:tc>
        <w:tc>
          <w:tcPr/>
          <w:p>
            <w:pPr>
              <w:pStyle w:val="Compact"/>
              <w:jc w:val="left"/>
            </w:pPr>
            <w:r>
              <w:t xml:space="preserve">-65,488.17</w:t>
            </w:r>
          </w:p>
        </w:tc>
        <w:tc>
          <w:tcPr/>
          <w:p>
            <w:pPr>
              <w:pStyle w:val="Compact"/>
              <w:jc w:val="left"/>
            </w:pPr>
            <w:r>
              <w:t xml:space="preserve">130,976.35</w:t>
            </w:r>
          </w:p>
        </w:tc>
        <w:tc>
          <w:tcPr/>
          <w:p>
            <w:pPr>
              <w:pStyle w:val="Compact"/>
              <w:jc w:val="left"/>
            </w:pPr>
            <w:r>
              <w:t xml:space="preserve">749.64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130,937.61</w:t>
            </w:r>
          </w:p>
        </w:tc>
        <w:tc>
          <w:tcPr/>
          <w:p>
            <w:pPr>
              <w:pStyle w:val="Compact"/>
              <w:jc w:val="left"/>
            </w:pPr>
            <w:r>
              <w:t xml:space="preserve">131,024.28</w:t>
            </w:r>
          </w:p>
        </w:tc>
        <w:tc>
          <w:tcPr/>
          <w:p>
            <w:pPr>
              <w:pStyle w:val="Compact"/>
              <w:jc w:val="left"/>
            </w:pPr>
            <w:r>
              <w:t xml:space="preserve">-65,459.80</w:t>
            </w:r>
          </w:p>
        </w:tc>
        <w:tc>
          <w:tcPr/>
          <w:p>
            <w:pPr>
              <w:pStyle w:val="Compact"/>
              <w:jc w:val="left"/>
            </w:pPr>
            <w:r>
              <w:t xml:space="preserve">130,919.61</w:t>
            </w:r>
          </w:p>
        </w:tc>
        <w:tc>
          <w:tcPr/>
          <w:p>
            <w:pPr>
              <w:pStyle w:val="Compact"/>
              <w:jc w:val="left"/>
            </w:pPr>
            <w:r>
              <w:t xml:space="preserve">56.74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130,934.97</w:t>
            </w:r>
          </w:p>
        </w:tc>
        <w:tc>
          <w:tcPr/>
          <w:p>
            <w:pPr>
              <w:pStyle w:val="Compact"/>
              <w:jc w:val="left"/>
            </w:pPr>
            <w:r>
              <w:t xml:space="preserve">131,040.90</w:t>
            </w:r>
          </w:p>
        </w:tc>
        <w:tc>
          <w:tcPr/>
          <w:p>
            <w:pPr>
              <w:pStyle w:val="Compact"/>
              <w:jc w:val="left"/>
            </w:pPr>
            <w:r>
              <w:t xml:space="preserve">-65,456.48</w:t>
            </w:r>
          </w:p>
        </w:tc>
        <w:tc>
          <w:tcPr/>
          <w:p>
            <w:pPr>
              <w:pStyle w:val="Compact"/>
              <w:jc w:val="left"/>
            </w:pPr>
            <w:r>
              <w:t xml:space="preserve">130,912.97</w:t>
            </w:r>
          </w:p>
        </w:tc>
        <w:tc>
          <w:tcPr/>
          <w:p>
            <w:pPr>
              <w:pStyle w:val="Compact"/>
              <w:jc w:val="left"/>
            </w:pPr>
            <w:r>
              <w:t xml:space="preserve">6.64</w:t>
            </w:r>
          </w:p>
        </w:tc>
        <w:tc>
          <w:tcPr/>
          <w:p>
            <w:pPr>
              <w:pStyle w:val="Compact"/>
              <w:jc w:val="left"/>
            </w:pPr>
            <w:r>
              <w:t xml:space="preserve">2.00</w:t>
            </w:r>
          </w:p>
        </w:tc>
        <w:tc>
          <w:tcPr/>
          <w:p>
            <w:pPr>
              <w:pStyle w:val="Compact"/>
              <w:jc w:val="left"/>
            </w:pPr>
            <w:r>
              <w:t xml:space="preserve">0.04</w:t>
            </w:r>
          </w:p>
        </w:tc>
      </w:tr>
    </w:tbl>
    <w:p>
      <w:pPr>
        <w:pStyle w:val="Textkrper"/>
      </w:pPr>
      <w:r>
        <w:t xml:space="preserve">All models that included a random effect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effects at all hierarchical levels provided the best overall fit. Compared to the model excluding random effects of statements, it demonstrated a slightly lower AIC and a marginally higher BIC. This is attributable to the minimal variance observed in the repetition effect at the statement level. Notably, the variance of the random effect of repetition was highest at the subject level, followed by the procedure level.</w:t>
      </w:r>
    </w:p>
    <w:bookmarkEnd w:id="42"/>
    <w:bookmarkStart w:id="43" w:name="scale-truth-judgments"/>
    <w:p>
      <w:pPr>
        <w:pStyle w:val="berschrift3"/>
      </w:pPr>
      <w:r>
        <w:t xml:space="preserve">Scale Truth Judgments.</w:t>
      </w:r>
    </w:p>
    <w:p>
      <w:pPr>
        <w:pStyle w:val="FirstParagraph"/>
      </w:pPr>
      <w:r>
        <w:t xml:space="preserve">The analysis was based on 335462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 2:</w:t>
      </w:r>
    </w:p>
    <w:p>
      <w:pPr>
        <w:pStyle w:val="TableCaption"/>
      </w:pPr>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82,220.60</w:t>
            </w:r>
          </w:p>
        </w:tc>
        <w:tc>
          <w:tcPr/>
          <w:p>
            <w:pPr>
              <w:pStyle w:val="Compact"/>
              <w:jc w:val="left"/>
            </w:pPr>
            <w:r>
              <w:t xml:space="preserve">82,284.94</w:t>
            </w:r>
          </w:p>
        </w:tc>
        <w:tc>
          <w:tcPr/>
          <w:p>
            <w:pPr>
              <w:pStyle w:val="Compact"/>
              <w:jc w:val="left"/>
            </w:pPr>
            <w:r>
              <w:t xml:space="preserve">-41,104.30</w:t>
            </w:r>
          </w:p>
        </w:tc>
        <w:tc>
          <w:tcPr/>
          <w:p>
            <w:pPr>
              <w:pStyle w:val="Compact"/>
              <w:jc w:val="left"/>
            </w:pPr>
            <w:r>
              <w:t xml:space="preserve">82,208.60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76,088.85</w:t>
            </w:r>
          </w:p>
        </w:tc>
        <w:tc>
          <w:tcPr/>
          <w:p>
            <w:pPr>
              <w:pStyle w:val="Compact"/>
              <w:jc w:val="left"/>
            </w:pPr>
            <w:r>
              <w:t xml:space="preserve">76,196.08</w:t>
            </w:r>
          </w:p>
        </w:tc>
        <w:tc>
          <w:tcPr/>
          <w:p>
            <w:pPr>
              <w:pStyle w:val="Compact"/>
              <w:jc w:val="left"/>
            </w:pPr>
            <w:r>
              <w:t xml:space="preserve">-38,034.42</w:t>
            </w:r>
          </w:p>
        </w:tc>
        <w:tc>
          <w:tcPr/>
          <w:p>
            <w:pPr>
              <w:pStyle w:val="Compact"/>
              <w:jc w:val="left"/>
            </w:pPr>
            <w:r>
              <w:t xml:space="preserve">76,068.85</w:t>
            </w:r>
          </w:p>
        </w:tc>
        <w:tc>
          <w:tcPr/>
          <w:p>
            <w:pPr>
              <w:pStyle w:val="Compact"/>
              <w:jc w:val="left"/>
            </w:pPr>
            <w:r>
              <w:t xml:space="preserve">6,139.76</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69,974.52</w:t>
            </w:r>
          </w:p>
        </w:tc>
        <w:tc>
          <w:tcPr/>
          <w:p>
            <w:pPr>
              <w:pStyle w:val="Compact"/>
              <w:jc w:val="left"/>
            </w:pPr>
            <w:r>
              <w:t xml:space="preserve">70,081.76</w:t>
            </w:r>
          </w:p>
        </w:tc>
        <w:tc>
          <w:tcPr/>
          <w:p>
            <w:pPr>
              <w:pStyle w:val="Compact"/>
              <w:jc w:val="left"/>
            </w:pPr>
            <w:r>
              <w:t xml:space="preserve">-34,977.26</w:t>
            </w:r>
          </w:p>
        </w:tc>
        <w:tc>
          <w:tcPr/>
          <w:p>
            <w:pPr>
              <w:pStyle w:val="Compact"/>
              <w:jc w:val="left"/>
            </w:pPr>
            <w:r>
              <w:t xml:space="preserve">69,954.52</w:t>
            </w:r>
          </w:p>
        </w:tc>
        <w:tc>
          <w:tcPr/>
          <w:p>
            <w:pPr>
              <w:pStyle w:val="Compact"/>
              <w:jc w:val="left"/>
            </w:pPr>
            <w:r>
              <w:t xml:space="preserve">6,114.32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69,205.50</w:t>
            </w:r>
          </w:p>
        </w:tc>
        <w:tc>
          <w:tcPr/>
          <w:p>
            <w:pPr>
              <w:pStyle w:val="Compact"/>
              <w:jc w:val="left"/>
            </w:pPr>
            <w:r>
              <w:t xml:space="preserve">69,312.73</w:t>
            </w:r>
          </w:p>
        </w:tc>
        <w:tc>
          <w:tcPr/>
          <w:p>
            <w:pPr>
              <w:pStyle w:val="Compact"/>
              <w:jc w:val="left"/>
            </w:pPr>
            <w:r>
              <w:t xml:space="preserve">-34,592.75</w:t>
            </w:r>
          </w:p>
        </w:tc>
        <w:tc>
          <w:tcPr/>
          <w:p>
            <w:pPr>
              <w:pStyle w:val="Compact"/>
              <w:jc w:val="left"/>
            </w:pPr>
            <w:r>
              <w:t xml:space="preserve">69,185.50</w:t>
            </w:r>
          </w:p>
        </w:tc>
        <w:tc>
          <w:tcPr/>
          <w:p>
            <w:pPr>
              <w:pStyle w:val="Compact"/>
              <w:jc w:val="left"/>
            </w:pPr>
            <w:r>
              <w:t xml:space="preserve">769.02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68,957.01</w:t>
            </w:r>
          </w:p>
        </w:tc>
        <w:tc>
          <w:tcPr/>
          <w:p>
            <w:pPr>
              <w:pStyle w:val="Compact"/>
              <w:jc w:val="left"/>
            </w:pPr>
            <w:r>
              <w:t xml:space="preserve">69,085.69</w:t>
            </w:r>
          </w:p>
        </w:tc>
        <w:tc>
          <w:tcPr/>
          <w:p>
            <w:pPr>
              <w:pStyle w:val="Compact"/>
              <w:jc w:val="left"/>
            </w:pPr>
            <w:r>
              <w:t xml:space="preserve">-34,466.51</w:t>
            </w:r>
          </w:p>
        </w:tc>
        <w:tc>
          <w:tcPr/>
          <w:p>
            <w:pPr>
              <w:pStyle w:val="Compact"/>
              <w:jc w:val="left"/>
            </w:pPr>
            <w:r>
              <w:t xml:space="preserve">68,933.01</w:t>
            </w:r>
          </w:p>
        </w:tc>
        <w:tc>
          <w:tcPr/>
          <w:p>
            <w:pPr>
              <w:pStyle w:val="Compact"/>
              <w:jc w:val="left"/>
            </w:pPr>
            <w:r>
              <w:t xml:space="preserve">252.49</w:t>
            </w:r>
          </w:p>
        </w:tc>
        <w:tc>
          <w:tcPr/>
          <w:p>
            <w:pPr>
              <w:pStyle w:val="Compact"/>
              <w:jc w:val="left"/>
            </w:pPr>
            <w:r>
              <w:t xml:space="preserve">2.00</w:t>
            </w:r>
          </w:p>
        </w:tc>
        <w:tc>
          <w:tcPr/>
          <w:p>
            <w:pPr>
              <w:pStyle w:val="Compact"/>
              <w:jc w:val="left"/>
            </w:pPr>
            <w:r>
              <w:t xml:space="preserve">0.00</w:t>
            </w:r>
          </w:p>
        </w:tc>
      </w:tr>
    </w:tbl>
    <w:p>
      <w:pPr>
        <w:pStyle w:val="Textkrper"/>
      </w:pPr>
      <w:r>
        <w:t xml:space="preserve">The model including random effects at all hierarchical levels provided the best overall fit, exhibiting improved AIC and BIC values compared to the model that excluded random effects of statements. As in the dichotomous analysis, the variance of the repetition effect was near zero at the statement level, while being most pronounced at the subject level.</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effects at all levels) separately for judgments made on the same day as the exposure phase and for those made on a subsequent day.</w:t>
      </w:r>
    </w:p>
    <w:p>
      <w:pPr>
        <w:pStyle w:val="Textkrper"/>
      </w:pPr>
      <w:r>
        <w:t xml:space="preserve">The results of this model can be found in table</w:t>
      </w:r>
      <w:r>
        <w:t xml:space="preserve"> </w:t>
      </w:r>
      <w:r>
        <w:rPr>
          <w:bCs/>
          <w:b/>
        </w:rPr>
        <w:t xml:space="preserve">table!</w:t>
      </w:r>
    </w:p>
    <w:p>
      <w:pPr>
        <w:pStyle w:val="Textkrper"/>
      </w:pPr>
      <w:r>
        <w:t xml:space="preserve">Model Sameday</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w:t>
      </w:r>
      <w:r>
        <w:br/>
      </w:r>
      <w:r>
        <w:rPr>
          <w:rStyle w:val="VerbatimChar"/>
        </w:rPr>
        <w:t xml:space="preserve">##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58089.80  58215.03 -29032.90  58065.80    251760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0.04136       </w:t>
      </w:r>
      <w:r>
        <w:br/>
      </w:r>
      <w:r>
        <w:rPr>
          <w:rStyle w:val="VerbatimChar"/>
        </w:rPr>
        <w:t xml:space="preserve">##               repeated    0.07676  -0.28</w:t>
      </w:r>
      <w:r>
        <w:br/>
      </w:r>
      <w:r>
        <w:rPr>
          <w:rStyle w:val="VerbatimChar"/>
        </w:rPr>
        <w:t xml:space="preserve">##  Residual                 0.26055       </w:t>
      </w:r>
      <w:r>
        <w:br/>
      </w:r>
      <w:r>
        <w:rPr>
          <w:rStyle w:val="VerbatimChar"/>
        </w:rPr>
        <w:t xml:space="preserve">## Number of obs: 251772, groups: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0.09176  </w:t>
      </w:r>
      <w:r>
        <w:br/>
      </w:r>
      <w:r>
        <w:rPr>
          <w:rStyle w:val="VerbatimChar"/>
        </w:rPr>
        <w:t xml:space="preserve">## optimizer (nloptwrap) convergence code: 0 (OK) ; 0 optimizer warnings; 1 lme4 warnings</w:t>
      </w:r>
    </w:p>
    <w:p>
      <w:pPr>
        <w:pStyle w:val="FirstParagraph"/>
      </w:pPr>
      <w:r>
        <w:t xml:space="preserve">Model Later</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w:t>
      </w:r>
      <w:r>
        <w:br/>
      </w:r>
      <w:r>
        <w:rPr>
          <w:rStyle w:val="VerbatimChar"/>
        </w:rPr>
        <w:t xml:space="preserve">##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p>
      <w:pPr>
        <w:pStyle w:val="FirstParagraph"/>
      </w:pPr>
      <w:r>
        <w:t xml:space="preserve">The variance of the random effect of repetition was higher in the data containing truth judgments from the same day as the exposure phase (number 1) vs. (number 2).</w:t>
      </w:r>
    </w:p>
    <w:bookmarkEnd w:id="43"/>
    <w:bookmarkEnd w:id="44"/>
    <w:bookmarkEnd w:id="45"/>
    <w:bookmarkStart w:id="48" w:name="discussion"/>
    <w:p>
      <w:pPr>
        <w:pStyle w:val="berschrift1"/>
      </w:pPr>
      <w:r>
        <w:t xml:space="preserve">Discussion</w:t>
      </w:r>
    </w:p>
    <w:p>
      <w:pPr>
        <w:pStyle w:val="FirstParagraph"/>
      </w:pPr>
      <w:r>
        <w:t xml:space="preserve">In this paper, we introduce the Truth-Effect Database (TED), a large-scale, open-access repository of trial-level data on truth judgments. TED is designed to support cumulative, reproducible research on the truth effect by standardizing and centralizing data from a wide range of studies. With contributions from over 10,000 participants, our database offers a comprehensive resource for researchers interested in understanding how repetition and related factors influence perceptions of truth.</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t xml:space="preserve">allows users to extract data with flexible filtering criteria, supporting both simple and complex queries. Additionally, we have developed a web-based data entry interface that automatically checks for consistency and flags incorrect variable names or entries.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effect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Thus, it remains an open question whether the variability in the truth effect reflects reliable, trait-like differences.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 Based on prior studies</w:t>
      </w:r>
      <w:r>
        <w:t xml:space="preserve"> </w:t>
      </w:r>
      <w:r>
        <w:rPr>
          <w:bCs/>
          <w:b/>
        </w:rPr>
        <w:t xml:space="preserve">include study</w:t>
      </w:r>
      <w:r>
        <w:t xml:space="preserve">, we expected variability in the truth effect to be greater when the exposure and judgment occur on the same day, as repetition-based fluency is likely more salient in short-delay conditions.</w:t>
      </w:r>
    </w:p>
    <w:p>
      <w:pPr>
        <w:pStyle w:val="Textkrper"/>
      </w:pPr>
      <w:r>
        <w:t xml:space="preserve">In line with this expectation, we found that the variance in the random effect of repetition was indeed larger when judgments were made on the same day as exposure, compared to when judgments were delayed to a later day.</w:t>
      </w:r>
      <w:r>
        <w:t xml:space="preserve"> </w:t>
      </w:r>
      <w:r>
        <w:rPr>
          <w:bCs/>
          <w:b/>
        </w:rPr>
        <w:t xml:space="preserve">Interpretation</w:t>
      </w:r>
      <w:r>
        <w:rPr>
          <w:bCs/>
          <w:b/>
        </w:rPr>
        <w:t xml:space="preserve"> </w:t>
      </w:r>
    </w:p>
    <w:p>
      <w:pPr>
        <w:pStyle w:val="Textkrper"/>
      </w:pPr>
      <w:r>
        <w:t xml:space="preserve">However, these exploratory results should be interpreted cautiously. We did not test the delay-related differences for significance, and the analysis did not control for potential confounding factors such as sample composition, procedural variation, or other study-level covariates.</w:t>
      </w:r>
      <w:r>
        <w:t xml:space="preserve"> </w:t>
      </w:r>
      <w:r>
        <w:rPr>
          <w:bCs/>
          <w:b/>
        </w:rPr>
        <w:t xml:space="preserve">Something, in time with more data, this will become more representative. But it already points in one direction</w:t>
      </w:r>
    </w:p>
    <w:p>
      <w:pPr>
        <w:pStyle w:val="Textkrper"/>
      </w:pPr>
      <w:r>
        <w:t xml:space="preserve">Taken together, these initial analyses demonstrate TED’s utility for modeling complex interactions and variance structures that would be difficult to assess using single-study data. The open, extensible nature of TED ensures that these questions can be revisited and refined as the database continues to grow. We see this as a first step toward more nuanced investigations of the truth effect grounded in large-scale, reproducible data.</w:t>
      </w:r>
    </w:p>
    <w:bookmarkStart w:id="46"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This facilitates both direct and conceptual replications and provides a foundation for transparent, data-driven reassessment of prior findings.</w:t>
      </w:r>
    </w:p>
    <w:p>
      <w:pPr>
        <w:pStyle w:val="Textkrper"/>
      </w:pPr>
      <w:r>
        <w:t xml:space="preserve">Beyond replication, TED also enables the development of formal cognitive models of the truth effect. With detailed trial-level data and metadata on procedural variables, researchers can test and compare models such as drift diffusion models, multinomial processing tree models, or signal detection accounts of truth judgments. The scale and granularity of TED make it possible to fit hierarchical models across subjects, statements, or studies, and to split data into independent training and testing sets—supporting robust model evaluation and cross-validation. This opens the door for developing and benchmarking cognitive theories of truth judgments with strong empirical support.</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ACDC project, improving on data submission and ease-of-use and can as a blueprint and jumping-off point for future database development. All aspects of the project—including the SQL schema, submission interface, R extraction package, and the interactive overview website—are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platform for cumulative science: one that supports rigorous replication, sophisticated cognitive modeling, empirical synthesis, and infrastructure reusability while lowering the barriers to collaboration and long-term research development.</w:t>
      </w:r>
    </w:p>
    <w:bookmarkEnd w:id="46"/>
    <w:bookmarkStart w:id="47" w:name="conclusion"/>
    <w:p>
      <w:pPr>
        <w:pStyle w:val="berschrift2"/>
      </w:pPr>
      <w:r>
        <w:t xml:space="preserve">Conclusion</w:t>
      </w:r>
    </w:p>
    <w:p>
      <w:pPr>
        <w:pStyle w:val="FirstParagraph"/>
      </w:pPr>
      <w:r>
        <w:t xml:space="preserve">In this paper, we introduced the Truth-Effect Database (TED), a structured, large-scale resource for cumulative research on truth judgments. TED includes not only standardized, trial-level data but also open tools for user interaction, including a submission interface, a data exploration website, and an R package for flexible data extraction.</w:t>
      </w:r>
    </w:p>
    <w:p>
      <w:pPr>
        <w:pStyle w:val="Textkrper"/>
      </w:pPr>
      <w:r>
        <w:t xml:space="preserve">We illustrated the utility of TED through initial multilevel analyses, which highlighted substantial subject-level variance in the truth effect. This finding points to the need for further theoretical and empirical work on individual differences in susceptibility to repetition.</w:t>
      </w:r>
    </w:p>
    <w:p>
      <w:pPr>
        <w:pStyle w:val="Textkrper"/>
      </w:pPr>
      <w:r>
        <w:t xml:space="preserve">Beyond this first demonstration, TED provides the foundation for a wide range of future research. These include living meta-analyses that evolve as new data are added, simulation-based power analyses informed by real-world variance,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47"/>
    <w:bookmarkEnd w:id="48"/>
    <w:bookmarkStart w:id="82" w:name="references"/>
    <w:p>
      <w:pPr>
        <w:pStyle w:val="berschrift1"/>
      </w:pPr>
      <w:r>
        <w:t xml:space="preserve">References</w:t>
      </w:r>
    </w:p>
    <w:bookmarkStart w:id="81" w:name="refs"/>
    <w:bookmarkStart w:id="50"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49">
        <w:r>
          <w:rPr>
            <w:rStyle w:val="Hyperlink"/>
          </w:rPr>
          <w:t xml:space="preserve">https://github.com/crsh/papaja</w:t>
        </w:r>
      </w:hyperlink>
    </w:p>
    <w:bookmarkEnd w:id="50"/>
    <w:bookmarkStart w:id="52"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1">
        <w:r>
          <w:rPr>
            <w:rStyle w:val="Hyperlink"/>
          </w:rPr>
          <w:t xml:space="preserve">https://doi.org/10.18637/jss.v067.i01</w:t>
        </w:r>
      </w:hyperlink>
    </w:p>
    <w:bookmarkEnd w:id="52"/>
    <w:bookmarkStart w:id="53"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(No. 2; Vol. 33, pp. 179–183). SAGE Publications Sage CA: Los Angeles, CA.</w:t>
      </w:r>
    </w:p>
    <w:bookmarkEnd w:id="53"/>
    <w:bookmarkStart w:id="55"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54">
        <w:r>
          <w:rPr>
            <w:rStyle w:val="Hyperlink"/>
          </w:rPr>
          <w:t xml:space="preserve">https://doi.org/10.18637/jss.v080.i01</w:t>
        </w:r>
      </w:hyperlink>
    </w:p>
    <w:bookmarkEnd w:id="55"/>
    <w:bookmarkStart w:id="57"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56">
        <w:r>
          <w:rPr>
            <w:rStyle w:val="Hyperlink"/>
          </w:rPr>
          <w:t xml:space="preserve">https://doi.org/10.32614/RJ-2018-017</w:t>
        </w:r>
      </w:hyperlink>
    </w:p>
    <w:bookmarkEnd w:id="57"/>
    <w:bookmarkStart w:id="59"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58">
        <w:r>
          <w:rPr>
            <w:rStyle w:val="Hyperlink"/>
          </w:rPr>
          <w:t xml:space="preserve">https://doi.org/10.18637/jss.v100.i05</w:t>
        </w:r>
      </w:hyperlink>
    </w:p>
    <w:bookmarkEnd w:id="59"/>
    <w:bookmarkStart w:id="60"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0"/>
    <w:bookmarkStart w:id="62"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1">
        <w:r>
          <w:rPr>
            <w:rStyle w:val="Hyperlink"/>
          </w:rPr>
          <w:t xml:space="preserve">https://doi.org/10.5195/jmla.2017.88</w:t>
        </w:r>
      </w:hyperlink>
    </w:p>
    <w:bookmarkEnd w:id="62"/>
    <w:bookmarkStart w:id="63"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63"/>
    <w:bookmarkStart w:id="64"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64"/>
    <w:bookmarkStart w:id="66"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65">
        <w:r>
          <w:rPr>
            <w:rStyle w:val="Hyperlink"/>
          </w:rPr>
          <w:t xml:space="preserve">https://doi.org/10.3758/s13423-021-01995-w</w:t>
        </w:r>
      </w:hyperlink>
    </w:p>
    <w:bookmarkEnd w:id="66"/>
    <w:bookmarkStart w:id="67"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67"/>
    <w:bookmarkStart w:id="68"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68"/>
    <w:bookmarkStart w:id="70"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69">
        <w:r>
          <w:rPr>
            <w:rStyle w:val="Hyperlink"/>
          </w:rPr>
          <w:t xml:space="preserve">https://github.com/SLesche/acdc-query</w:t>
        </w:r>
      </w:hyperlink>
    </w:p>
    <w:bookmarkEnd w:id="70"/>
    <w:bookmarkStart w:id="71"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71"/>
    <w:bookmarkStart w:id="72"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72"/>
    <w:bookmarkStart w:id="73"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73"/>
    <w:bookmarkStart w:id="75"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74">
        <w:r>
          <w:rPr>
            <w:rStyle w:val="Hyperlink"/>
          </w:rPr>
          <w:t xml:space="preserve">https://www.R-project.org/</w:t>
        </w:r>
      </w:hyperlink>
    </w:p>
    <w:bookmarkEnd w:id="75"/>
    <w:bookmarkStart w:id="77"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76">
        <w:r>
          <w:rPr>
            <w:rStyle w:val="Hyperlink"/>
          </w:rPr>
          <w:t xml:space="preserve">https://doi.org/10.21105/joss.01686</w:t>
        </w:r>
      </w:hyperlink>
    </w:p>
    <w:bookmarkEnd w:id="77"/>
    <w:bookmarkStart w:id="78"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78"/>
    <w:bookmarkStart w:id="80"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79">
        <w:r>
          <w:rPr>
            <w:rStyle w:val="Hyperlink"/>
          </w:rPr>
          <w:t xml:space="preserve">https://yihui.org/knitr/</w:t>
        </w:r>
      </w:hyperlink>
    </w:p>
    <w:bookmarkEnd w:id="80"/>
    <w:bookmarkEnd w:id="81"/>
    <w:p>
      <w:r>
        <w:br w:type="page"/>
      </w:r>
    </w:p>
    <w:bookmarkEnd w:id="82"/>
    <w:bookmarkStart w:id="83" w:name="appendix"/>
    <w:p>
      <w:pPr>
        <w:pStyle w:val="berschrift1"/>
      </w:pPr>
      <w:r>
        <w:t xml:space="preserve">Appendix</w:t>
      </w:r>
    </w:p>
    <w:bookmarkEnd w:id="83"/>
    <w:bookmarkStart w:id="84" w:name="talking-about-appendices"/>
    <w:p>
      <w:pPr>
        <w:pStyle w:val="berschrift1"/>
      </w:pPr>
      <w:r>
        <w:t xml:space="preserve">Talking about appendices</w:t>
      </w:r>
    </w:p>
    <w:bookmarkEnd w:id="84"/>
    <w:sectPr w:rsidR="00DA0F6A" w:rsidRPr="00A76E18" w:rsidSect="00CB20D0">
      <w:headerReference r:id="rId10" w:type="even"/>
      <w:headerReference r:id="rId9" w:type="default"/>
      <w:headerReference r:id="rId11"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1.42;</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1.1.32;</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0.1.1;</w:t>
      </w:r>
      <w:r>
        <w:t xml:space="preserve"> </w:t>
      </w:r>
      <w:hyperlink w:anchor="ref-R-papaja">
        <w:r>
          <w:rPr>
            <w:rStyle w:val="Hyperlink"/>
          </w:rPr>
          <w:t xml:space="preserve">Aust &amp; Barth, 2022</w:t>
        </w:r>
      </w:hyperlink>
      <w:r>
        <w:t xml:space="preserve">)</w:t>
      </w:r>
      <w:r>
        <w:t xml:space="preserve">, 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INTRODUCING TED</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INTRODUCING TED</w:t>
    </w:r>
  </w:p>
  <w:p w:rsidR="00CB20D0" w:rsidRPr="00A05772" w:rsidRDefault="00F57B6E" w:rsidP="00CB20D0">
    <w:pPr>
      <w:pStyle w:val="Kopfzeile"/>
      <w:ind w:right="357"/>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EC6A2DF6"/>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8C621322"/>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62BAE314"/>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24507FF6"/>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4C896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B6B486D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4282EB32"/>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7B8633C2"/>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8D1AAEE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E585DB0"/>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006D3F"/>
    <w:pPr>
      <w:spacing w:before="0"/>
    </w:pPr>
  </w:style>
  <w:style w:customStyle="1" w:styleId="Table" w:type="table">
    <w:name w:val="Table"/>
    <w:basedOn w:val="NormaleTabelle"/>
    <w:uiPriority w:val="99"/>
    <w:rsid w:val="00141BA7"/>
    <w:pPr>
      <w:spacing w:after="0"/>
    </w:pPr>
    <w:rPr>
      <w:rFonts w:ascii="Times New Roman" w:hAnsi="Times New Roman"/>
    </w:rPr>
    <w:tblPr>
      <w:tblBorders>
        <w:top w:color="auto" w:space="0" w:sz="12" w:val="single"/>
        <w:bottom w:color="auto" w:space="0" w:sz="4" w:val="single"/>
      </w:tblBorders>
    </w:tbl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006D3F"/>
    <w:pPr>
      <w:keepNext/>
    </w:pPr>
  </w:style>
  <w:style w:customStyle="1" w:styleId="ImageCaption" w:type="paragraph">
    <w:name w:val="Image Caption"/>
    <w:basedOn w:val="Beschriftung"/>
    <w:rsid w:val="00421B26"/>
    <w:rPr>
      <w:i w:val="0"/>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Type="http://schemas.openxmlformats.org/officeDocument/2006/relationships/image" Id="rId25" Target="media/rId25.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hyperlink" Id="rId51" Target="https://doi.org/10.18637/jss.v067.i01" TargetMode="External" /><Relationship Type="http://schemas.openxmlformats.org/officeDocument/2006/relationships/hyperlink" Id="rId54" Target="https://doi.org/10.18637/jss.v080.i01" TargetMode="External" /><Relationship Type="http://schemas.openxmlformats.org/officeDocument/2006/relationships/hyperlink" Id="rId58" Target="https://doi.org/10.18637/jss.v100.i05" TargetMode="External" /><Relationship Type="http://schemas.openxmlformats.org/officeDocument/2006/relationships/hyperlink" Id="rId76" Target="https://doi.org/10.21105/joss.01686" TargetMode="External" /><Relationship Type="http://schemas.openxmlformats.org/officeDocument/2006/relationships/hyperlink" Id="rId56" Target="https://doi.org/10.32614/RJ-2018-017" TargetMode="External" /><Relationship Type="http://schemas.openxmlformats.org/officeDocument/2006/relationships/hyperlink" Id="rId65" Target="https://doi.org/10.3758/s13423-021-01995-w" TargetMode="External" /><Relationship Type="http://schemas.openxmlformats.org/officeDocument/2006/relationships/hyperlink" Id="rId61" Target="https://doi.org/10.5195/jmla.2017.88" TargetMode="External" /><Relationship Type="http://schemas.openxmlformats.org/officeDocument/2006/relationships/hyperlink" Id="rId69"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49" Target="https://github.com/crsh/papaja" TargetMode="External" /><Relationship Type="http://schemas.openxmlformats.org/officeDocument/2006/relationships/hyperlink" Id="rId28" Target="https://slesche.github.io/truth-db/" TargetMode="External" /><Relationship Type="http://schemas.openxmlformats.org/officeDocument/2006/relationships/hyperlink" Id="rId74" Target="https://www.R-project.org/" TargetMode="External" /><Relationship Type="http://schemas.openxmlformats.org/officeDocument/2006/relationships/hyperlink" Id="rId79"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8637/jss.v067.i01" TargetMode="External" /><Relationship Type="http://schemas.openxmlformats.org/officeDocument/2006/relationships/hyperlink" Id="rId54" Target="https://doi.org/10.18637/jss.v080.i01" TargetMode="External" /><Relationship Type="http://schemas.openxmlformats.org/officeDocument/2006/relationships/hyperlink" Id="rId58" Target="https://doi.org/10.18637/jss.v100.i05" TargetMode="External" /><Relationship Type="http://schemas.openxmlformats.org/officeDocument/2006/relationships/hyperlink" Id="rId76" Target="https://doi.org/10.21105/joss.01686" TargetMode="External" /><Relationship Type="http://schemas.openxmlformats.org/officeDocument/2006/relationships/hyperlink" Id="rId56" Target="https://doi.org/10.32614/RJ-2018-017" TargetMode="External" /><Relationship Type="http://schemas.openxmlformats.org/officeDocument/2006/relationships/hyperlink" Id="rId65" Target="https://doi.org/10.3758/s13423-021-01995-w" TargetMode="External" /><Relationship Type="http://schemas.openxmlformats.org/officeDocument/2006/relationships/hyperlink" Id="rId61" Target="https://doi.org/10.5195/jmla.2017.88" TargetMode="External" /><Relationship Type="http://schemas.openxmlformats.org/officeDocument/2006/relationships/hyperlink" Id="rId69"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49" Target="https://github.com/crsh/papaja" TargetMode="External" /><Relationship Type="http://schemas.openxmlformats.org/officeDocument/2006/relationships/hyperlink" Id="rId28" Target="https://slesche.github.io/truth-db/" TargetMode="External" /><Relationship Type="http://schemas.openxmlformats.org/officeDocument/2006/relationships/hyperlink" Id="rId74" Target="https://www.R-project.org/" TargetMode="External" /><Relationship Type="http://schemas.openxmlformats.org/officeDocument/2006/relationships/hyperlink" Id="rId79"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2025-07-22T12:31:14Z</dcterms:created>
  <dcterms:modified xsi:type="dcterms:W3CDTF">2025-07-22T12:31:14Z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C:\Users\Sven\AppData\Local\R\win-library\4.2\papaja\rmd\apa7.csl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