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Database (ACDC; Haaf et al., in press) introduced a trial-level database for data from attentional control experiments, providing standardized variable names, metadata, and analysis-ready formats that streamline cross-study comparisons.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bookmarkStart w:id="21" w:name="the-present-study"/>
    <w:p>
      <w:pPr>
        <w:pStyle w:val="berschrift3"/>
      </w:pPr>
      <w:r>
        <w:t xml:space="preserve">The present study.</w:t>
      </w:r>
    </w:p>
    <w:p>
      <w:pPr>
        <w:pStyle w:val="FirstParagraph"/>
      </w:pPr>
      <w:r>
        <w:t xml:space="preserve">In this spirit, we introduce a centralized, trial-level database for the illusory truth effect. This database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1"/>
    <w:bookmarkStart w:id="22" w:name="the-illusory-truth-effect"/>
    <w:p>
      <w:pPr>
        <w:pStyle w:val="berschrift3"/>
      </w:pPr>
      <w:r>
        <w:t xml:space="preserve">The illusory truth effect.</w:t>
      </w:r>
    </w:p>
    <w:p>
      <w:pPr>
        <w:pStyle w:val="FirstParagraph"/>
      </w:pPr>
      <w:r>
        <w:t xml:space="preserve">Here a section why we chose the ITE, what it is and why its important</w:t>
      </w:r>
      <w:r>
        <w:t xml:space="preserve"> </w:t>
      </w:r>
      <w:r>
        <w:t xml:space="preserve">Hint at the Innenministerium</w:t>
      </w:r>
    </w:p>
    <w:bookmarkEnd w:id="22"/>
    <w:bookmarkEnd w:id="23"/>
    <w:bookmarkStart w:id="31" w:name="method"/>
    <w:p>
      <w:pPr>
        <w:pStyle w:val="berschrift1"/>
      </w:pPr>
      <w:r>
        <w:t xml:space="preserve">Method</w:t>
      </w:r>
    </w:p>
    <w:bookmarkStart w:id="30"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w:t>
      </w:r>
      <w:r>
        <w:t xml:space="preserve"> </w:t>
      </w:r>
      <w:hyperlink r:id="rId24">
        <w:r>
          <w:rPr>
            <w:rStyle w:val="Hyperlink"/>
          </w:rPr>
          <w:t xml:space="preserve">Github</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rPr>
          <w:bCs/>
          <w:b/>
        </w:rPr>
        <w:t xml:space="preserve">SOMETHING</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p>
    <w:bookmarkStart w:id="26" w:name="data-submission"/>
    <w:p>
      <w:pPr>
        <w:pStyle w:val="berschrift3"/>
      </w:pPr>
      <w:r>
        <w:t xml:space="preserve">Data Submission.</w:t>
      </w:r>
    </w:p>
    <w:p>
      <w:pPr>
        <w:pStyle w:val="FirstParagraph"/>
      </w:pPr>
      <w:r>
        <w:t xml:space="preserve">To ease the process of submitting data to the database, we built a</w:t>
      </w:r>
      <w:r>
        <w:t xml:space="preserve"> </w:t>
      </w:r>
      <w:hyperlink r:id="rId25">
        <w:r>
          <w:rPr>
            <w:rStyle w:val="Hyperlink"/>
          </w:rPr>
          <w:t xml:space="preserve">website</w:t>
        </w:r>
      </w:hyperlink>
      <w:r>
        <w:t xml:space="preserve"> </w:t>
      </w:r>
      <w:r>
        <w:t xml:space="preserve">that guides users through the submission process and checks submitted information for inconsistencies or errors. This website is designed to minimize both the effort of submitting new data to the database as well as identify potential errors in the submission process.</w:t>
      </w:r>
      <w:r>
        <w:t xml:space="preserve"> </w:t>
      </w:r>
      <w:r>
        <w:rPr>
          <w:bCs/>
          <w:b/>
        </w:rPr>
        <w:t xml:space="preserve">Hier fehlt mir noch irgendwas</w:t>
      </w:r>
    </w:p>
    <w:bookmarkEnd w:id="26"/>
    <w:bookmarkStart w:id="27"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 The R package will automatically construct the necessary SQL query and return the filtered data with the selected columns to the user. A detailed user guide on using the R package to interact with our database can be found on the databases</w:t>
      </w:r>
      <w:r>
        <w:t xml:space="preserve"> </w:t>
      </w:r>
      <w:hyperlink r:id="rId24">
        <w:r>
          <w:rPr>
            <w:rStyle w:val="Hyperlink"/>
          </w:rPr>
          <w:t xml:space="preserve">GitHub</w:t>
        </w:r>
      </w:hyperlink>
      <w:r>
        <w:t xml:space="preserve">.</w:t>
      </w:r>
    </w:p>
    <w:bookmarkEnd w:id="27"/>
    <w:bookmarkStart w:id="28" w:name="data-selection"/>
    <w:p>
      <w:pPr>
        <w:pStyle w:val="berschrift3"/>
      </w:pPr>
      <w:r>
        <w:t xml:space="preserve">Data Selection.</w:t>
      </w:r>
    </w:p>
    <w:p>
      <w:pPr>
        <w:pStyle w:val="FirstParagraph"/>
      </w:pPr>
      <w:r>
        <w:rPr>
          <w:bCs/>
          <w:b/>
        </w:rPr>
        <w:t xml:space="preserve">Something about submission criteria, which data are even allowed</w:t>
      </w:r>
      <w:r>
        <w:t xml:space="preserve"> </w:t>
      </w:r>
      <w:r>
        <w:t xml:space="preserve">Data selection was based on earlier work by</w:t>
      </w:r>
      <w:r>
        <w:t xml:space="preserve"> </w:t>
      </w:r>
      <w:r>
        <w:t xml:space="preserve">Henderson et al. (</w:t>
      </w:r>
      <w:hyperlink w:anchor="X49ac4e5bce0df09140f68aadccf2f472a43a687">
        <w:r>
          <w:rPr>
            <w:rStyle w:val="Hyperlink"/>
          </w:rPr>
          <w:t xml:space="preserve">2022</w:t>
        </w:r>
      </w:hyperlink>
      <w:r>
        <w:t xml:space="preserve">)</w:t>
      </w:r>
      <w:r>
        <w:t xml:space="preserve"> </w:t>
      </w:r>
      <w:r>
        <w:t xml:space="preserve">who identified 17 publications with accessible raw data and extended by our own literature search using the same search terms to include the years 2022-2025. In addition, we reached out to colleagues and asked them for freely available data sets.</w:t>
      </w:r>
    </w:p>
    <w:bookmarkEnd w:id="28"/>
    <w:bookmarkStart w:id="29" w:name="data-analysis"/>
    <w:p>
      <w:pPr>
        <w:pStyle w:val="berschrift3"/>
      </w:pPr>
      <w:r>
        <w:t xml:space="preserve">Data Analysis.</w:t>
      </w:r>
    </w:p>
    <w:p>
      <w:pPr>
        <w:pStyle w:val="FirstParagraph"/>
      </w:pPr>
      <w:r>
        <w:rPr>
          <w:bCs/>
          <w:b/>
        </w:rPr>
        <w:t xml:space="preserve">something about the meta-analysis we will run here</w:t>
      </w:r>
    </w:p>
    <w:bookmarkEnd w:id="29"/>
    <w:bookmarkEnd w:id="30"/>
    <w:bookmarkEnd w:id="31"/>
    <w:bookmarkStart w:id="44" w:name="results"/>
    <w:p>
      <w:pPr>
        <w:pStyle w:val="berschrift1"/>
      </w:pPr>
      <w:r>
        <w:t xml:space="preserve">Results</w:t>
      </w:r>
    </w:p>
    <w:p>
      <w:pPr>
        <w:pStyle w:val="SourceCode"/>
      </w:pPr>
      <w:r>
        <w:rPr>
          <w:rStyle w:val="VerbatimChar"/>
        </w:rPr>
        <w:t xml:space="preserve">## [1] "Querying through observation table. Query times may be longer."</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2"/>
      </w:r>
      <w:r>
        <w:t xml:space="preserve">.</w:t>
      </w:r>
    </w:p>
    <w:p>
      <w:pPr>
        <w:pStyle w:val="Textkrper"/>
      </w:pPr>
      <w:r>
        <w:t xml:space="preserve">.</w:t>
      </w:r>
    </w:p>
    <w:p>
      <w:pPr>
        <w:pStyle w:val="Textkrper"/>
      </w:pPr>
      <w:r>
        <w:t xml:space="preserve">In the current version of the manuscript, we included 48 studies from 21 publications, spanning 9983 participants contributing 530644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212.17 participants (</w:t>
      </w:r>
      <m:oMath>
        <m:sSub>
          <m:e>
            <m:r>
              <m:t>μ</m:t>
            </m:r>
          </m:e>
          <m:sub>
            <m:r>
              <m:t>a</m:t>
            </m:r>
            <m:r>
              <m:t>g</m:t>
            </m:r>
            <m:r>
              <m:t>e</m:t>
            </m:r>
          </m:sub>
        </m:sSub>
        <m:r>
          <m:rPr>
            <m:sty m:val="p"/>
          </m:rPr>
          <m:t>=</m:t>
        </m:r>
      </m:oMath>
      <w:r>
        <w:t xml:space="preserve"> </w:t>
      </w:r>
      <w:r>
        <w:t xml:space="preserve">32.39,</w:t>
      </w:r>
      <m:oMath>
        <m:sSub>
          <m:e>
            <m:r>
              <m:t>σ</m:t>
            </m:r>
          </m:e>
          <m:sub>
            <m:r>
              <m:t>a</m:t>
            </m:r>
            <m:r>
              <m:t>g</m:t>
            </m:r>
            <m:r>
              <m:t>e</m:t>
            </m:r>
          </m:sub>
        </m:sSub>
        <m:r>
          <m:rPr>
            <m:sty m:val="p"/>
          </m:rPr>
          <m:t>=</m:t>
        </m:r>
      </m:oMath>
      <w:r>
        <w:t xml:space="preserve"> </w:t>
      </w:r>
      <w:r>
        <w:t xml:space="preserve">7.23). An overview of the rating scale usage for truth judgments and the use of a filler task over all included studies can be found in Table</w:t>
      </w:r>
      <w:r>
        <w:t xml:space="preserve"> </w:t>
      </w:r>
      <w:r>
        <w:t xml:space="preserve">1</w:t>
      </w:r>
      <w:r>
        <w:t xml:space="preserve">.</w:t>
      </w:r>
    </w:p>
    <w:p>
      <w:pPr>
        <w:pStyle w:val="CaptionedFigure"/>
      </w:pPr>
      <w:r>
        <w:drawing>
          <wp:inline>
            <wp:extent cx="4587290" cy="3669832"/>
            <wp:effectExtent b="0" l="0" r="0" t="0"/>
            <wp:docPr descr="Figure 1: Overview of Study-related variables in TED" title="" id="34" name="Picture"/>
            <a:graphic>
              <a:graphicData uri="http://schemas.openxmlformats.org/drawingml/2006/picture">
                <pic:pic>
                  <pic:nvPicPr>
                    <pic:cNvPr descr="C:/Users/Sven/Documents/projects/research/ted/truth-db-paper/markdown/output/apa7_document_files/figure-docx/study-overview-plot-1.png" id="35" name="Picture"/>
                    <pic:cNvPicPr>
                      <a:picLocks noChangeArrowheads="1" noChangeAspect="1"/>
                    </pic:cNvPicPr>
                  </pic:nvPicPr>
                  <pic:blipFill>
                    <a:blip r:embed="rId33"/>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36" w:name="fig:study-overview-plot"/>
      <w:bookmarkEnd w:id="36"/>
      <w:r>
        <w:rPr>
          <w:iCs/>
          <w:i/>
        </w:rPr>
        <w:t xml:space="preserve">Figure</w:t>
      </w:r>
      <w:r>
        <w:t xml:space="preserve"> </w:t>
      </w:r>
      <w:r>
        <w:t xml:space="preserve">1. Overview of Study-related variables in TED</w:t>
      </w:r>
    </w:p>
    <w:p>
      <w:pPr>
        <w:pStyle w:val="Textkrper"/>
      </w:pPr>
      <w:r>
        <w:t xml:space="preserve">On average, studies employed 66.96 (</w:t>
      </w:r>
      <m:oMath>
        <m:r>
          <m:t>S</m:t>
        </m:r>
        <m:r>
          <m:t>D</m:t>
        </m:r>
        <m:r>
          <m:rPr>
            <m:sty m:val="p"/>
          </m:rPr>
          <m:t>=</m:t>
        </m:r>
      </m:oMath>
      <w:r>
        <w:t xml:space="preserve"> </w:t>
      </w:r>
      <w:r>
        <w:t xml:space="preserve">42.38) statements per</w:t>
      </w:r>
      <w:r>
        <w:t xml:space="preserve"> </w:t>
      </w:r>
      <w:r>
        <w:t xml:space="preserve">participant in the judgment session and in most (85.07 % procedure settings 50% of statements were repeated. Of 67 judgment phases, 71.64 % were conducted on the same day as the exposure phase. The average delay between exposure and judgment phase if both were conducted on the same day was 5.08 minutes. The average delay between exposure and judgment phase, given the judgment phase was conducted at least one day after the exposure phase, was 6.26 days. An overview of the delay between exposure and judgment phase is provided in Figure</w:t>
      </w:r>
      <w:r>
        <w:t xml:space="preserve"> </w:t>
      </w:r>
      <w:r>
        <w:rPr>
          <w:bCs/>
          <w:b/>
        </w:rPr>
        <w:t xml:space="preserve">Here figure</w:t>
      </w:r>
      <w:r>
        <w:t xml:space="preserve">. An overview of additional variables pertaining to the procedure of the included studies can be found in Figure</w:t>
      </w:r>
      <w:r>
        <w:t xml:space="preserve"> </w:t>
      </w:r>
      <w:r>
        <w:t xml:space="preserve">2</w:t>
      </w:r>
      <w:r>
        <w:t xml:space="preserve">.</w:t>
      </w:r>
    </w:p>
    <w:p>
      <w:pPr>
        <w:pStyle w:val="CaptionedFigure"/>
      </w:pPr>
      <w:r>
        <w:drawing>
          <wp:inline>
            <wp:extent cx="4587290" cy="3669832"/>
            <wp:effectExtent b="0" l="0" r="0" t="0"/>
            <wp:docPr descr="Figure 2: Overview of Procedure-related variables in TED" title="" id="38" name="Picture"/>
            <a:graphic>
              <a:graphicData uri="http://schemas.openxmlformats.org/drawingml/2006/picture">
                <pic:pic>
                  <pic:nvPicPr>
                    <pic:cNvPr descr="C:/Users/Sven/Documents/projects/research/ted/truth-db-paper/markdown/output/apa7_document_files/figure-docx/procedure-overview-plot-1.png" id="39" name="Picture"/>
                    <pic:cNvPicPr>
                      <a:picLocks noChangeArrowheads="1" noChangeAspect="1"/>
                    </pic:cNvPicPr>
                  </pic:nvPicPr>
                  <pic:blipFill>
                    <a:blip r:embed="rId37"/>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bookmarkStart w:id="40" w:name="fig:procedure-overview-plot"/>
      <w:bookmarkEnd w:id="40"/>
      <w:r>
        <w:rPr>
          <w:iCs/>
          <w:i/>
        </w:rPr>
        <w:t xml:space="preserve">Figure</w:t>
      </w:r>
      <w:r>
        <w:t xml:space="preserve"> </w:t>
      </w:r>
      <w:r>
        <w:t xml:space="preserve">2. Overview of Procedure-related variables in TED</w:t>
      </w:r>
    </w:p>
    <w:p>
      <w:pPr>
        <w:pStyle w:val="Textkrper"/>
      </w:pPr>
      <w:r>
        <w:t xml:space="preserve">Something about the makeup of statements and how much data is available here.</w:t>
      </w:r>
      <w:r>
        <w:t xml:space="preserve"> </w:t>
      </w:r>
      <w:r>
        <w:t xml:space="preserve">Something about how much rt data is available</w:t>
      </w:r>
    </w:p>
    <w:bookmarkStart w:id="43" w:name="multi-level-modelling"/>
    <w:p>
      <w:pPr>
        <w:pStyle w:val="berschrift2"/>
      </w:pPr>
      <w:r>
        <w:t xml:space="preserve">Multi-level Modelling</w:t>
      </w:r>
    </w:p>
    <w:p>
      <w:pPr>
        <w:pStyle w:val="FirstParagraph"/>
      </w:pPr>
      <w:r>
        <w:t xml:space="preserve">To illustrate the benefits of our large collection of trial-level data, we applied multilevel models predicting truth judgments with repetition as a fixed effect and varying intercepts at the subject, statement, and procedure levels.</w:t>
      </w:r>
    </w:p>
    <w:p>
      <w:pPr>
        <w:pStyle w:val="Textkrper"/>
      </w:pPr>
      <w:r>
        <w:t xml:space="preserve">We fit five models per dataset. A baseline model with only random intercepts. A full model including random intercepts and random slopes for repetition across all grouping factors. Three reduced models, each excluding the random slope of repetition for one grouping factor (subject, statement, or procedure).</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w:t>
      </w:r>
    </w:p>
    <w:bookmarkStart w:id="41" w:name="dichotomous-truth-judgments"/>
    <w:p>
      <w:pPr>
        <w:pStyle w:val="berschrift3"/>
      </w:pPr>
      <w:r>
        <w:t xml:space="preserve">Dichotomous Truth Judgments.</w:t>
      </w:r>
    </w:p>
    <w:p>
      <w:pPr>
        <w:pStyle w:val="FirstParagraph"/>
      </w:pPr>
      <w:r>
        <w:t xml:space="preserve">The analysis was based on 103551 trials nested within 1497 subjects, 885 statements, and 12 procedures.</w:t>
      </w:r>
    </w:p>
    <w:p>
      <w:pPr>
        <w:pStyle w:val="Textkrper"/>
      </w:pPr>
      <w:r>
        <w:t xml:space="preserve">here is the model comparison</w:t>
      </w:r>
    </w:p>
    <w:p>
      <w:pPr>
        <w:pStyle w:val="Textkrper"/>
      </w:pPr>
      <w:r>
        <w:t xml:space="preserve">No random effect on statement seems to be best, which makes sense when seeing the full model.</w:t>
      </w:r>
      <w:r>
        <w:t xml:space="preserve"> </w:t>
      </w:r>
      <w:r>
        <w:t xml:space="preserve">-&gt; Almost no between statement variance in the repetition effect.</w:t>
      </w:r>
    </w:p>
    <w:bookmarkEnd w:id="41"/>
    <w:bookmarkStart w:id="42" w:name="scale-truth-judgments"/>
    <w:p>
      <w:pPr>
        <w:pStyle w:val="berschrift3"/>
      </w:pPr>
      <w:r>
        <w:t xml:space="preserve">Scale Truth Judgments.</w:t>
      </w:r>
    </w:p>
    <w:p>
      <w:pPr>
        <w:pStyle w:val="FirstParagraph"/>
      </w:pPr>
      <w:r>
        <w:t xml:space="preserve">The analysis was based on 335455 trials nested within 6378 subjects, 1663 statements, and 47 procedures.</w:t>
      </w:r>
    </w:p>
    <w:p>
      <w:pPr>
        <w:pStyle w:val="Textkrper"/>
      </w:pPr>
      <w:r>
        <w:t xml:space="preserve">Was based on x trials, nested in y subject and z procedures.</w:t>
      </w:r>
      <w:r>
        <w:t xml:space="preserve"> </w:t>
      </w:r>
      <w:r>
        <w:t xml:space="preserve">here is the model comparison</w:t>
      </w:r>
    </w:p>
    <w:p>
      <w:pPr>
        <w:pStyle w:val="Textkrper"/>
      </w:pPr>
      <w:r>
        <w:t xml:space="preserve">The full model is best</w:t>
      </w:r>
      <w:r>
        <w:t xml:space="preserve"> </w:t>
      </w:r>
      <w:r>
        <w:t xml:space="preserve">-&gt; But still - Almost no between statement variance in the repetition effect.</w:t>
      </w:r>
    </w:p>
    <w:p>
      <w:pPr>
        <w:pStyle w:val="Textkrper"/>
      </w:pPr>
      <w:r>
        <w:t xml:space="preserve">Then, using the scale data (as we had more trials here) split by repetition time (same-day vs not)</w:t>
      </w:r>
      <w:r>
        <w:t xml:space="preserve"> </w:t>
      </w:r>
      <w:r>
        <w:t xml:space="preserve">Here, the variance between subject is reduced in later</w:t>
      </w:r>
    </w:p>
    <w:bookmarkEnd w:id="42"/>
    <w:bookmarkEnd w:id="43"/>
    <w:bookmarkEnd w:id="44"/>
    <w:bookmarkStart w:id="45" w:name="discussion"/>
    <w:p>
      <w:pPr>
        <w:pStyle w:val="berschrift1"/>
      </w:pPr>
      <w:r>
        <w:t xml:space="preserve">Discussion</w:t>
      </w:r>
    </w:p>
    <w:p>
      <w:pPr>
        <w:pStyle w:val="FirstParagraph"/>
      </w:pPr>
      <w:r>
        <w:t xml:space="preserve">Show ease of use, highlight this</w:t>
      </w:r>
    </w:p>
    <w:p>
      <w:pPr>
        <w:pStyle w:val="Textkrper"/>
      </w:pPr>
      <w:r>
        <w:t xml:space="preserve">Show results from variance decomposition of truth effect and the impact of repetition timing</w:t>
      </w:r>
    </w:p>
    <w:p>
      <w:pPr>
        <w:pStyle w:val="Textkrper"/>
      </w:pPr>
      <w:r>
        <w:t xml:space="preserve">discuss selection bias in initial study sample. Discuss how we hope others can contribute, this needs to be added to the database description aswell (a text on how we deal with people submitting data).</w:t>
      </w:r>
    </w:p>
    <w:p>
      <w:pPr>
        <w:pStyle w:val="Textkrper"/>
      </w:pPr>
      <w:r>
        <w:t xml:space="preserve">Discuss certain technical aspects (selection of variables) implementation of data structure</w:t>
      </w:r>
    </w:p>
    <w:p>
      <w:pPr>
        <w:pStyle w:val="Textkrper"/>
      </w:pPr>
      <w:r>
        <w:t xml:space="preserve">Discuss the important aspect of longevity! Highlight what could be done in the future with more funding (dedicated server, team review)</w:t>
      </w:r>
    </w:p>
    <w:p>
      <w:pPr>
        <w:pStyle w:val="Textkrper"/>
      </w:pPr>
      <w:r>
        <w:t xml:space="preserve">Discuss funding DFG, Innenministerium</w:t>
      </w:r>
    </w:p>
    <w:p>
      <w:pPr>
        <w:pStyle w:val="Textkrper"/>
      </w:pPr>
      <w:r>
        <w:t xml:space="preserve">Discuss data ürincipiles such as FAIR, as directed by DFG</w:t>
      </w:r>
    </w:p>
    <w:p>
      <w:pPr>
        <w:pStyle w:val="Textkrper"/>
      </w:pPr>
      <w:r>
        <w:t xml:space="preserve">Discuss incentives for data submission (maybe add to introduction aswell)</w:t>
      </w:r>
    </w:p>
    <w:p>
      <w:r>
        <w:br w:type="page"/>
      </w:r>
    </w:p>
    <w:bookmarkEnd w:id="45"/>
    <w:bookmarkStart w:id="79" w:name="references"/>
    <w:p>
      <w:pPr>
        <w:pStyle w:val="berschrift1"/>
      </w:pPr>
      <w:r>
        <w:t xml:space="preserve">References</w:t>
      </w:r>
    </w:p>
    <w:bookmarkStart w:id="78" w:name="refs"/>
    <w:bookmarkStart w:id="47"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46">
        <w:r>
          <w:rPr>
            <w:rStyle w:val="Hyperlink"/>
          </w:rPr>
          <w:t xml:space="preserve">https://github.com/crsh/papaja</w:t>
        </w:r>
      </w:hyperlink>
    </w:p>
    <w:bookmarkEnd w:id="47"/>
    <w:bookmarkStart w:id="49" w:name="ref-R-lme4"/>
    <w:p>
      <w:pPr>
        <w:pStyle w:val="Literaturverzeichnis"/>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48">
        <w:r>
          <w:rPr>
            <w:rStyle w:val="Hyperlink"/>
          </w:rPr>
          <w:t xml:space="preserve">https://doi.org/10.18637/jss.v067.i01</w:t>
        </w:r>
      </w:hyperlink>
    </w:p>
    <w:bookmarkEnd w:id="49"/>
    <w:bookmarkStart w:id="50"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(2; Vol. 33, pp. 179–183). SAGE Publications Sage CA: Los Angeles, CA.</w:t>
      </w:r>
    </w:p>
    <w:bookmarkEnd w:id="50"/>
    <w:bookmarkStart w:id="52"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51">
        <w:r>
          <w:rPr>
            <w:rStyle w:val="Hyperlink"/>
          </w:rPr>
          <w:t xml:space="preserve">https://doi.org/10.18637/jss.v080.i01</w:t>
        </w:r>
      </w:hyperlink>
    </w:p>
    <w:bookmarkEnd w:id="52"/>
    <w:bookmarkStart w:id="54"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53">
        <w:r>
          <w:rPr>
            <w:rStyle w:val="Hyperlink"/>
          </w:rPr>
          <w:t xml:space="preserve">https://doi.org/10.32614/RJ-2018-017</w:t>
        </w:r>
      </w:hyperlink>
    </w:p>
    <w:bookmarkEnd w:id="54"/>
    <w:bookmarkStart w:id="56"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55">
        <w:r>
          <w:rPr>
            <w:rStyle w:val="Hyperlink"/>
          </w:rPr>
          <w:t xml:space="preserve">https://doi.org/10.18637/jss.v100.i05</w:t>
        </w:r>
      </w:hyperlink>
    </w:p>
    <w:bookmarkEnd w:id="56"/>
    <w:bookmarkStart w:id="57"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57"/>
    <w:bookmarkStart w:id="59"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58">
        <w:r>
          <w:rPr>
            <w:rStyle w:val="Hyperlink"/>
          </w:rPr>
          <w:t xml:space="preserve">https://doi.org/10.5195/jmla.2017.88</w:t>
        </w:r>
      </w:hyperlink>
    </w:p>
    <w:bookmarkEnd w:id="59"/>
    <w:bookmarkStart w:id="60"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60"/>
    <w:bookmarkStart w:id="61"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61"/>
    <w:bookmarkStart w:id="63"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62">
        <w:r>
          <w:rPr>
            <w:rStyle w:val="Hyperlink"/>
          </w:rPr>
          <w:t xml:space="preserve">https://doi.org/10.3758/s13423-021-01995-w</w:t>
        </w:r>
      </w:hyperlink>
    </w:p>
    <w:bookmarkEnd w:id="63"/>
    <w:bookmarkStart w:id="64"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64"/>
    <w:bookmarkStart w:id="65"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65"/>
    <w:bookmarkStart w:id="67"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66">
        <w:r>
          <w:rPr>
            <w:rStyle w:val="Hyperlink"/>
          </w:rPr>
          <w:t xml:space="preserve">https://github.com/SLesche/acdc-query</w:t>
        </w:r>
      </w:hyperlink>
    </w:p>
    <w:bookmarkEnd w:id="67"/>
    <w:bookmarkStart w:id="68"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68"/>
    <w:bookmarkStart w:id="69"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69"/>
    <w:bookmarkStart w:id="70"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70"/>
    <w:bookmarkStart w:id="72"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71">
        <w:r>
          <w:rPr>
            <w:rStyle w:val="Hyperlink"/>
          </w:rPr>
          <w:t xml:space="preserve">https://www.R-project.org/</w:t>
        </w:r>
      </w:hyperlink>
    </w:p>
    <w:bookmarkEnd w:id="72"/>
    <w:bookmarkStart w:id="74"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73">
        <w:r>
          <w:rPr>
            <w:rStyle w:val="Hyperlink"/>
          </w:rPr>
          <w:t xml:space="preserve">https://doi.org/10.21105/joss.01686</w:t>
        </w:r>
      </w:hyperlink>
    </w:p>
    <w:bookmarkEnd w:id="74"/>
    <w:bookmarkStart w:id="75"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75"/>
    <w:bookmarkStart w:id="77"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76">
        <w:r>
          <w:rPr>
            <w:rStyle w:val="Hyperlink"/>
          </w:rPr>
          <w:t xml:space="preserve">https://yihui.org/knitr/</w:t>
        </w:r>
      </w:hyperlink>
    </w:p>
    <w:bookmarkEnd w:id="77"/>
    <w:bookmarkEnd w:id="78"/>
    <w:p>
      <w:r>
        <w:br w:type="page"/>
      </w:r>
    </w:p>
    <w:bookmarkEnd w:id="79"/>
    <w:bookmarkStart w:id="80" w:name="appendix"/>
    <w:p>
      <w:pPr>
        <w:pStyle w:val="berschrift1"/>
      </w:pPr>
      <w:r>
        <w:t xml:space="preserve">Appendix</w:t>
      </w:r>
    </w:p>
    <w:bookmarkEnd w:id="80"/>
    <w:bookmarkStart w:id="81" w:name="talking-about-appendices"/>
    <w:p>
      <w:pPr>
        <w:pStyle w:val="berschrift1"/>
      </w:pPr>
      <w:r>
        <w:t xml:space="preserve">Talking about appendices</w:t>
      </w:r>
    </w:p>
    <w:bookmarkEnd w:id="8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lme4</w:t>
      </w:r>
      <w:r>
        <w:t xml:space="preserve"> </w:t>
      </w:r>
      <w:r>
        <w:t xml:space="preserve">(Version 1.1.35.4;</w:t>
      </w:r>
      <w:r>
        <w:t xml:space="preserve"> </w:t>
      </w:r>
      <w:hyperlink w:anchor="ref-R-lme4">
        <w:r>
          <w:rPr>
            <w:rStyle w:val="Hyperlink"/>
          </w:rPr>
          <w:t xml:space="preserve">Bates et al.,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hyperlink" Id="rId48" Target="https://doi.org/10.18637/jss.v067.i01" TargetMode="External" /><Relationship Type="http://schemas.openxmlformats.org/officeDocument/2006/relationships/hyperlink" Id="rId51" Target="https://doi.org/10.18637/jss.v080.i01" TargetMode="External" /><Relationship Type="http://schemas.openxmlformats.org/officeDocument/2006/relationships/hyperlink" Id="rId55" Target="https://doi.org/10.18637/jss.v100.i05" TargetMode="External" /><Relationship Type="http://schemas.openxmlformats.org/officeDocument/2006/relationships/hyperlink" Id="rId73" Target="https://doi.org/10.21105/joss.01686" TargetMode="External" /><Relationship Type="http://schemas.openxmlformats.org/officeDocument/2006/relationships/hyperlink" Id="rId53" Target="https://doi.org/10.32614/RJ-2018-017" TargetMode="External" /><Relationship Type="http://schemas.openxmlformats.org/officeDocument/2006/relationships/hyperlink" Id="rId62" Target="https://doi.org/10.3758/s13423-021-01995-w" TargetMode="External" /><Relationship Type="http://schemas.openxmlformats.org/officeDocument/2006/relationships/hyperlink" Id="rId58" Target="https://doi.org/10.5195/jmla.2017.88" TargetMode="External" /><Relationship Type="http://schemas.openxmlformats.org/officeDocument/2006/relationships/hyperlink" Id="rId66"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46" Target="https://github.com/crsh/papaja" TargetMode="External" /><Relationship Type="http://schemas.openxmlformats.org/officeDocument/2006/relationships/hyperlink" Id="rId25" Target="https://slesche.github.io/truth-db/data-submission.html" TargetMode="External" /><Relationship Type="http://schemas.openxmlformats.org/officeDocument/2006/relationships/hyperlink" Id="rId71" Target="https://www.R-project.org/" TargetMode="External" /><Relationship Type="http://schemas.openxmlformats.org/officeDocument/2006/relationships/hyperlink" Id="rId76"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8637/jss.v067.i01" TargetMode="External" /><Relationship Type="http://schemas.openxmlformats.org/officeDocument/2006/relationships/hyperlink" Id="rId51" Target="https://doi.org/10.18637/jss.v080.i01" TargetMode="External" /><Relationship Type="http://schemas.openxmlformats.org/officeDocument/2006/relationships/hyperlink" Id="rId55" Target="https://doi.org/10.18637/jss.v100.i05" TargetMode="External" /><Relationship Type="http://schemas.openxmlformats.org/officeDocument/2006/relationships/hyperlink" Id="rId73" Target="https://doi.org/10.21105/joss.01686" TargetMode="External" /><Relationship Type="http://schemas.openxmlformats.org/officeDocument/2006/relationships/hyperlink" Id="rId53" Target="https://doi.org/10.32614/RJ-2018-017" TargetMode="External" /><Relationship Type="http://schemas.openxmlformats.org/officeDocument/2006/relationships/hyperlink" Id="rId62" Target="https://doi.org/10.3758/s13423-021-01995-w" TargetMode="External" /><Relationship Type="http://schemas.openxmlformats.org/officeDocument/2006/relationships/hyperlink" Id="rId58" Target="https://doi.org/10.5195/jmla.2017.88" TargetMode="External" /><Relationship Type="http://schemas.openxmlformats.org/officeDocument/2006/relationships/hyperlink" Id="rId66" Target="https://github.com/SLesche/acdc-query" TargetMode="External" /><Relationship Type="http://schemas.openxmlformats.org/officeDocument/2006/relationships/hyperlink" Id="rId24" Target="https://github.com/SLesche/truth-db" TargetMode="External" /><Relationship Type="http://schemas.openxmlformats.org/officeDocument/2006/relationships/hyperlink" Id="rId46" Target="https://github.com/crsh/papaja" TargetMode="External" /><Relationship Type="http://schemas.openxmlformats.org/officeDocument/2006/relationships/hyperlink" Id="rId25" Target="https://slesche.github.io/truth-db/data-submission.html" TargetMode="External" /><Relationship Type="http://schemas.openxmlformats.org/officeDocument/2006/relationships/hyperlink" Id="rId71" Target="https://www.R-project.org/" TargetMode="External" /><Relationship Type="http://schemas.openxmlformats.org/officeDocument/2006/relationships/hyperlink" Id="rId76"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2025-07-17T08:55:24Z</dcterms:created>
  <dcterms:modified xsi:type="dcterms:W3CDTF">2025-07-17T08:55:24Z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