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Author Notes go here.</w:t>
      </w:r>
    </w:p>
    <w:p>
      <w:pPr>
        <w:pStyle w:val="authornote"/>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Database (ACDC; Haaf et al., in press) introduced a trial-level database for data from attentional control experiments, providing standardized variable names, metadata, and analysis-ready formats that streamline cross-study comparisons.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bookmarkStart w:id="21" w:name="the-present-study"/>
    <w:p>
      <w:pPr>
        <w:pStyle w:val="berschrift3"/>
      </w:pPr>
      <w:r>
        <w:t xml:space="preserve">The present study.</w:t>
      </w:r>
    </w:p>
    <w:p>
      <w:pPr>
        <w:pStyle w:val="FirstParagraph"/>
      </w:pPr>
      <w:r>
        <w:t xml:space="preserve">In this spirit, we introduce a centralized, trial-level database for the illusory truth effect. This database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1"/>
    <w:bookmarkStart w:id="22" w:name="the-illusory-truth-effect"/>
    <w:p>
      <w:pPr>
        <w:pStyle w:val="berschrift3"/>
      </w:pPr>
      <w:r>
        <w:t xml:space="preserve">The illusory truth effect.</w:t>
      </w:r>
    </w:p>
    <w:p>
      <w:pPr>
        <w:pStyle w:val="FirstParagraph"/>
      </w:pPr>
      <w:r>
        <w:t xml:space="preserve">Here a section why we chose the ITE, what it is and why its important</w:t>
      </w:r>
      <w:r>
        <w:t xml:space="preserve"> </w:t>
      </w:r>
      <w:r>
        <w:t xml:space="preserve">Hint at the Innenministerium</w:t>
      </w:r>
    </w:p>
    <w:bookmarkEnd w:id="22"/>
    <w:bookmarkEnd w:id="23"/>
    <w:bookmarkStart w:id="33" w:name="method"/>
    <w:p>
      <w:pPr>
        <w:pStyle w:val="berschrift1"/>
      </w:pPr>
      <w:r>
        <w:t xml:space="preserve">Method</w:t>
      </w:r>
    </w:p>
    <w:bookmarkStart w:id="32"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w:t>
      </w:r>
      <w:r>
        <w:t xml:space="preserve"> </w:t>
      </w:r>
      <w:hyperlink r:id="rId24">
        <w:r>
          <w:rPr>
            <w:rStyle w:val="Hyperlink"/>
          </w:rPr>
          <w:t xml:space="preserve">Github</w:t>
        </w:r>
      </w:hyperlink>
      <w:r>
        <w:t xml:space="preserve">.</w:t>
      </w:r>
    </w:p>
    <w:p>
      <w:pPr>
        <w:pStyle w:val="Textkrper"/>
      </w:pPr>
      <w:r>
        <w:t xml:space="preserve">The database is implemented using Structured Query Language (SQL), specifically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tables—rather than in a single flat file—the database minimizes redundancy and enhances both storage efficiency and query performance.</w:t>
      </w:r>
    </w:p>
    <w:p>
      <w:pPr>
        <w:pStyle w:val="Textkrper"/>
      </w:pPr>
      <w:r>
        <w:t xml:space="preserve">The design of our database is illustrated in Figure</w:t>
      </w:r>
      <w:r>
        <w:t xml:space="preserve"> </w:t>
      </w:r>
      <w:r>
        <w:t xml:space="preserve">1</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tbl>
      <w:tblPr>
        <w:tblStyle w:val="FigureTable"/>
        <w:tblW w:type="auto" w:w="0"/>
        <w:tblLook w:firstRow="0" w:lastRow="0" w:firstColumn="0" w:lastColumn="0"/>
        <w:jc w:val="center"/>
      </w:tblPr>
      <w:tblGrid>
        <w:gridCol w:w="7920"/>
      </w:tblGrid>
      <w:tr>
        <w:tc>
          <w:tcPr/>
          <w:p>
            <w:pPr>
              <w:pStyle w:val="Compact"/>
              <w:jc w:val="center"/>
            </w:pPr>
            <w:bookmarkStart w:id="25" w:name="fig:database-overview-plot"/>
            <w:bookmarkEnd w:id="25"/>
            <w:r>
              <w:t xml:space="preserve">Figure 1: Overview of TED Structure</w:t>
            </w:r>
          </w:p>
        </w:tc>
      </w:tr>
    </w:tbl>
    <w:p>
      <w:pPr>
        <w:pStyle w:val="ImageCaption"/>
      </w:pPr>
      <w:bookmarkStart w:id="26" w:name="fig:database-overview-plot"/>
      <w:bookmarkEnd w:id="26"/>
      <w:r>
        <w:rPr>
          <w:iCs/>
          <w:i/>
        </w:rPr>
        <w:t xml:space="preserve">Figure</w:t>
      </w:r>
      <w:r>
        <w:t xml:space="preserve"> </w:t>
      </w:r>
      <w:r>
        <w:t xml:space="preserve">1. Overview of TED Structure</w:t>
      </w:r>
    </w:p>
    <w:p>
      <w:pPr>
        <w:pStyle w:val="Textkrper"/>
      </w:pPr>
      <w:r>
        <w:t xml:space="preserve">We argue that while the use of a relational database adds some complexity, it also introduces an intuitive naming system and structure for variables of interest. Importantly, our goal is that variable names and their table location are the only understanding that users need to have in order to interact with the database. To this end, we have developed tools that require little to no understanding of the database structure or SQL in order to submit and extract data from the database.</w:t>
      </w:r>
    </w:p>
    <w:bookmarkStart w:id="28" w:name="data-submission"/>
    <w:p>
      <w:pPr>
        <w:pStyle w:val="berschrift3"/>
      </w:pPr>
      <w:r>
        <w:t xml:space="preserve">Data Submission.</w:t>
      </w:r>
    </w:p>
    <w:p>
      <w:pPr>
        <w:pStyle w:val="FirstParagraph"/>
      </w:pPr>
      <w:r>
        <w:t xml:space="preserve">To ease the process of submitting data to the database, we built a website (</w:t>
      </w:r>
      <w:hyperlink r:id="rId27">
        <w:r>
          <w:rPr>
            <w:rStyle w:val="Hyperlink"/>
          </w:rPr>
          <w:t xml:space="preserve">https://slesche.github.io/truth-db/</w:t>
        </w:r>
      </w:hyperlink>
      <w:r>
        <w:t xml:space="preserve">) that guides users through the submission process and checks submitted information for inconsistencies or errors. This website is designed to minimize both the effort of submitting new data to the database as well as identify potential errors in the submission process.</w:t>
      </w:r>
    </w:p>
    <w:bookmarkEnd w:id="28"/>
    <w:bookmarkStart w:id="29" w:name="data-extraction"/>
    <w:p>
      <w:pPr>
        <w:pStyle w:val="berschrift3"/>
      </w:pPr>
      <w:r>
        <w:t xml:space="preserve">Data Extraction.</w:t>
      </w:r>
    </w:p>
    <w:p>
      <w:pPr>
        <w:pStyle w:val="FirstParagraph"/>
      </w:pPr>
      <w:r>
        <w:t xml:space="preserve">We provide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 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https://github.com/SLesche/truth-db</w:t>
        </w:r>
      </w:hyperlink>
      <w:r>
        <w:t xml:space="preserve">).</w:t>
      </w:r>
    </w:p>
    <w:bookmarkEnd w:id="29"/>
    <w:bookmarkStart w:id="30" w:name="data-selection"/>
    <w:p>
      <w:pPr>
        <w:pStyle w:val="berschrift3"/>
      </w:pPr>
      <w:r>
        <w:t xml:space="preserve">Data Selection.</w:t>
      </w:r>
    </w:p>
    <w:p>
      <w:pPr>
        <w:pStyle w:val="FirstParagraph"/>
      </w:pPr>
      <w:r>
        <w:t xml:space="preserve">We included only data from studies that were focused on the repetition-based illusory truth effect. To be included, a study has to have collected truth judgments of visual or auditory stimuli. Some of these stimuli had to have been presented earlier. Data selection was based on earlier work by</w:t>
      </w:r>
      <w:r>
        <w:t xml:space="preserve"> </w:t>
      </w:r>
      <w:r>
        <w:t xml:space="preserve">Henderson et al. (</w:t>
      </w:r>
      <w:hyperlink w:anchor="X49ac4e5bce0df09140f68aadccf2f472a43a687">
        <w:r>
          <w:rPr>
            <w:rStyle w:val="Hyperlink"/>
          </w:rPr>
          <w:t xml:space="preserve">2022</w:t>
        </w:r>
      </w:hyperlink>
      <w:r>
        <w:t xml:space="preserve">)</w:t>
      </w:r>
      <w:r>
        <w:t xml:space="preserve"> </w:t>
      </w:r>
      <w:r>
        <w:t xml:space="preserve">who identified 17 publications with accessible raw data and extended by our own literature search using the same search terms to include the years 2022-2025. In addition, we reached out to colleagues and asked them for freely available data sets.</w:t>
      </w:r>
    </w:p>
    <w:bookmarkEnd w:id="30"/>
    <w:bookmarkStart w:id="31" w:name="data-analysis"/>
    <w:p>
      <w:pPr>
        <w:pStyle w:val="berschrift3"/>
      </w:pPr>
      <w:r>
        <w:t xml:space="preserve">Data Analysis.</w:t>
      </w:r>
    </w:p>
    <w:p>
      <w:pPr>
        <w:pStyle w:val="FirstParagraph"/>
      </w:pPr>
      <w:r>
        <w:t xml:space="preserve">To illustrate the analytical potential of TED, we conducted a multilevel model predicting truth judgments, incorporating both fixed and random effects of repetition at the statement, subject, and procedure (i.e., study)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1"/>
    <w:bookmarkEnd w:id="32"/>
    <w:bookmarkEnd w:id="33"/>
    <w:bookmarkStart w:id="50" w:name="results"/>
    <w:p>
      <w:pPr>
        <w:pStyle w:val="berschrift1"/>
      </w:pPr>
      <w:r>
        <w:t xml:space="preserve">Results</w:t>
      </w:r>
    </w:p>
    <w:p>
      <w:pPr>
        <w:pStyle w:val="SourceCode"/>
      </w:pPr>
      <w:r>
        <w:rPr>
          <w:rStyle w:val="VerbatimChar"/>
        </w:rPr>
        <w:t xml:space="preserve">## [1] "Querying through observation table. Query times may be longer."</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4"/>
      </w:r>
      <w:r>
        <w:t xml:space="preserve">.</w:t>
      </w:r>
    </w:p>
    <w:p>
      <w:pPr>
        <w:pStyle w:val="Textkrper"/>
      </w:pPr>
      <w:r>
        <w:t xml:space="preserve">.</w:t>
      </w:r>
    </w:p>
    <w:p>
      <w:pPr>
        <w:pStyle w:val="Textkrper"/>
      </w:pPr>
      <w:r>
        <w:t xml:space="preserve">In the current version of the manuscript, we included 48 studies from 21 publications, spanning 9983 participants contributing 530644 trials. A complete list of the included publications can be found in Table</w:t>
      </w:r>
      <w:r>
        <w:t xml:space="preserve"> </w:t>
      </w:r>
      <w:r>
        <w:rPr>
          <w:bCs/>
          <w:b/>
        </w:rPr>
        <w:t xml:space="preserve">table with refs, studies, trials here</w:t>
      </w:r>
      <w:r>
        <w:t xml:space="preserve">.</w:t>
      </w:r>
    </w:p>
    <w:p>
      <w:pPr>
        <w:pStyle w:val="Textkrper"/>
      </w:pPr>
      <w:r>
        <w:t xml:space="preserve">Sample composition ranged from 29 to 949 participants. On average, studies included 212.17 participants (</w:t>
      </w:r>
      <m:oMath>
        <m:sSub>
          <m:e>
            <m:r>
              <m:t>μ</m:t>
            </m:r>
          </m:e>
          <m:sub>
            <m:r>
              <m:t>a</m:t>
            </m:r>
            <m:r>
              <m:t>g</m:t>
            </m:r>
            <m:r>
              <m:t>e</m:t>
            </m:r>
          </m:sub>
        </m:sSub>
        <m:r>
          <m:rPr>
            <m:sty m:val="p"/>
          </m:rPr>
          <m:t>=</m:t>
        </m:r>
      </m:oMath>
      <w:r>
        <w:t xml:space="preserve"> </w:t>
      </w:r>
      <w:r>
        <w:t xml:space="preserve">32.39,</w:t>
      </w:r>
      <m:oMath>
        <m:sSub>
          <m:e>
            <m:r>
              <m:t>σ</m:t>
            </m:r>
          </m:e>
          <m:sub>
            <m:r>
              <m:t>a</m:t>
            </m:r>
            <m:r>
              <m:t>g</m:t>
            </m:r>
            <m:r>
              <m:t>e</m:t>
            </m:r>
          </m:sub>
        </m:sSub>
        <m:r>
          <m:rPr>
            <m:sty m:val="p"/>
          </m:rPr>
          <m:t>=</m:t>
        </m:r>
      </m:oMath>
      <w:r>
        <w:t xml:space="preserve"> </w:t>
      </w:r>
      <w:r>
        <w:t xml:space="preserve">7.23). An overview of the rating scale usage for truth judgments and the use of a filler task over all included studies can be found in Figure</w:t>
      </w:r>
      <w:r>
        <w:t xml:space="preserve"> </w:t>
      </w:r>
      <w:r>
        <w:t xml:space="preserve">2</w:t>
      </w:r>
      <w:r>
        <w:t xml:space="preserve">.</w:t>
      </w:r>
    </w:p>
    <w:p>
      <w:pPr>
        <w:pStyle w:val="CaptionedFigure"/>
      </w:pPr>
      <w:r>
        <w:drawing>
          <wp:inline>
            <wp:extent cx="4587290" cy="3669832"/>
            <wp:effectExtent b="0" l="0" r="0" t="0"/>
            <wp:docPr descr="Figure 2: Overview of Study-related variables in TED" title="" id="36" name="Picture"/>
            <a:graphic>
              <a:graphicData uri="http://schemas.openxmlformats.org/drawingml/2006/picture">
                <pic:pic>
                  <pic:nvPicPr>
                    <pic:cNvPr descr="C:/Users/Sven/Documents/projects/research/ted/truth-db-paper/markdown/output/apa7_document_files/figure-docx/study-overview-plot-1.png" id="37" name="Picture"/>
                    <pic:cNvPicPr>
                      <a:picLocks noChangeArrowheads="1" noChangeAspect="1"/>
                    </pic:cNvPicPr>
                  </pic:nvPicPr>
                  <pic:blipFill>
                    <a:blip r:embed="rId35"/>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38" w:name="fig:study-overview-plot"/>
      <w:bookmarkEnd w:id="38"/>
      <w:r>
        <w:rPr>
          <w:iCs/>
          <w:i/>
        </w:rPr>
        <w:t xml:space="preserve">Figure</w:t>
      </w:r>
      <w:r>
        <w:t xml:space="preserve"> </w:t>
      </w:r>
      <w:r>
        <w:t xml:space="preserve">2. Overview of Study-related variables in TED</w:t>
      </w:r>
    </w:p>
    <w:p>
      <w:pPr>
        <w:pStyle w:val="Textkrper"/>
      </w:pPr>
      <w:r>
        <w:t xml:space="preserve">On average, studies employed 66.96 (</w:t>
      </w:r>
      <m:oMath>
        <m:r>
          <m:t>S</m:t>
        </m:r>
        <m:r>
          <m:t>D</m:t>
        </m:r>
        <m:r>
          <m:rPr>
            <m:sty m:val="p"/>
          </m:rPr>
          <m:t>=</m:t>
        </m:r>
      </m:oMath>
      <w:r>
        <w:t xml:space="preserve"> </w:t>
      </w:r>
      <w:r>
        <w:t xml:space="preserve">42.38) statements per</w:t>
      </w:r>
      <w:r>
        <w:t xml:space="preserve"> </w:t>
      </w:r>
      <w:r>
        <w:t xml:space="preserve">participant in the judgment session and in 85.07 % of procedure settings exactly 50% of statements were repeated. Of 67 judgment phases, 71.64 % were conducted on the same day as the exposure phase. The average delay between exposure and judgment phase if both were conducted on the same day was 5.08 minutes. The average delay between exposure and judgment phase, given the judgment phase was conducted at least one day after the exposure phase, was 6.26 days. An overview of the delay between exposure and judgment phase is provided in Figure</w:t>
      </w:r>
      <w:r>
        <w:t xml:space="preserve"> </w:t>
      </w:r>
      <w:r>
        <w:rPr>
          <w:bCs/>
          <w:b/>
        </w:rPr>
        <w:t xml:space="preserve">Here figure</w:t>
      </w:r>
      <w:r>
        <w:t xml:space="preserve">. An overview of additional variables pertaining to the procedure of the included studies can be found in Figure</w:t>
      </w:r>
      <w:r>
        <w:t xml:space="preserve"> </w:t>
      </w:r>
      <w:r>
        <w:t xml:space="preserve">3</w:t>
      </w:r>
      <w:r>
        <w:t xml:space="preserve">.</w:t>
      </w:r>
    </w:p>
    <w:p>
      <w:pPr>
        <w:pStyle w:val="CaptionedFigure"/>
      </w:pPr>
      <w:r>
        <w:drawing>
          <wp:inline>
            <wp:extent cx="4587290" cy="3669832"/>
            <wp:effectExtent b="0" l="0" r="0" t="0"/>
            <wp:docPr descr="Figure 3: Overview of Procedure-related variables in TED" title="" id="40" name="Picture"/>
            <a:graphic>
              <a:graphicData uri="http://schemas.openxmlformats.org/drawingml/2006/picture">
                <pic:pic>
                  <pic:nvPicPr>
                    <pic:cNvPr descr="C:/Users/Sven/Documents/projects/research/ted/truth-db-paper/markdown/output/apa7_document_files/figure-docx/procedure-overview-plot-1.png" id="41" name="Picture"/>
                    <pic:cNvPicPr>
                      <a:picLocks noChangeArrowheads="1" noChangeAspect="1"/>
                    </pic:cNvPicPr>
                  </pic:nvPicPr>
                  <pic:blipFill>
                    <a:blip r:embed="rId39"/>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2" w:name="fig:procedure-overview-plot"/>
      <w:bookmarkEnd w:id="42"/>
      <w:r>
        <w:rPr>
          <w:iCs/>
          <w:i/>
        </w:rPr>
        <w:t xml:space="preserve">Figure</w:t>
      </w:r>
      <w:r>
        <w:t xml:space="preserve"> </w:t>
      </w:r>
      <w:r>
        <w:t xml:space="preserve">3. Overview of Procedure-related variables in TED</w:t>
      </w:r>
    </w:p>
    <w:p>
      <w:pPr>
        <w:pStyle w:val="Textkrper"/>
      </w:pPr>
      <w:r>
        <w:t xml:space="preserve">Detailed information on the statements presented is available for 45 out of 48 studies. Data on the accuracy of a statement is available for 0.83 % of trials, the detailed statement text is available for 0.69 % of trials, and response times are available for 0.23 % of trials.</w:t>
      </w:r>
    </w:p>
    <w:bookmarkStart w:id="49" w:name="multi-level-modelling"/>
    <w:p>
      <w:pPr>
        <w:pStyle w:val="berschrift2"/>
      </w:pPr>
      <w:r>
        <w:t xml:space="preserve">Multi-level Modelling</w:t>
      </w:r>
    </w:p>
    <w:p>
      <w:pPr>
        <w:pStyle w:val="FirstParagraph"/>
      </w:pPr>
      <w:r>
        <w:t xml:space="preserve">To illustrate the benefits of our large collection of trial-level data, we applied multilevel models predicting truth judgments with repetition as a fixed effect and varying intercepts at the subject, statement, and procedure levels.</w:t>
      </w:r>
    </w:p>
    <w:p>
      <w:pPr>
        <w:pStyle w:val="Textkrper"/>
      </w:pPr>
      <w:r>
        <w:t xml:space="preserve">We fit five models per dataset. A baseline model with only random intercepts. A full model including random intercepts and random slopes for repetition across all grouping factors. Three reduced models, each excluding the random slope of repetition for one grouping factor (subject, statement, or procedure).</w:t>
      </w:r>
    </w:p>
    <w:p>
      <w:pPr>
        <w:pStyle w:val="Textkrper"/>
      </w:pPr>
      <w:r>
        <w:t xml:space="preserve">We analyzed the dichotomous and Likert-type response formats separately due to differences in their scale characteristics. Dichotomous responses (e.g., true/false) require logistic models, whereas Likert-type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w:t>
      </w:r>
    </w:p>
    <w:bookmarkStart w:id="45" w:name="dichotomous-truth-judgments"/>
    <w:p>
      <w:pPr>
        <w:pStyle w:val="berschrift3"/>
      </w:pPr>
      <w:r>
        <w:t xml:space="preserve">Dichotomous Truth Judgments.</w:t>
      </w:r>
    </w:p>
    <w:p>
      <w:pPr>
        <w:pStyle w:val="FirstParagraph"/>
      </w:pPr>
      <w:r>
        <w:t xml:space="preserve">The analysis was based on 103551 trials nested within 1497 subjects, 885 statements, and 12 procedures.</w:t>
      </w:r>
    </w:p>
    <w:p>
      <w:pPr>
        <w:pStyle w:val="Textkrper"/>
      </w:pPr>
      <w:r>
        <w:t xml:space="preserve">Table:</w:t>
      </w:r>
      <w:r>
        <w:t xml:space="preserve"> </w:t>
      </w:r>
      <w:bookmarkStart w:id="43" w:name="tab:model-comp-dichotomous"/>
      <w:bookmarkEnd w:id="43"/>
      <w:r>
        <w:t xml:space="preserve">Table 1:</w:t>
      </w:r>
    </w:p>
    <w:p>
      <w:pPr>
        <w:pStyle w:val="TableCaption"/>
      </w:pPr>
      <w:bookmarkStart w:id="44" w:name="tab:model-comp-dichotomous"/>
      <w:bookmarkEnd w:id="44"/>
      <w:r>
        <w:t xml:space="preserve">Table 1</w:t>
      </w:r>
      <w:r>
        <w:br/>
      </w:r>
      <w:r>
        <w:rPr>
          <w:iCs/>
          <w:i/>
        </w:rPr>
        <w:t xml:space="preserve">Overview</w:t>
      </w:r>
      <w:r>
        <w:rPr>
          <w:iCs/>
          <w:i/>
        </w:rPr>
        <w:t xml:space="preserve"> </w:t>
      </w:r>
      <w:r>
        <w:rPr>
          <w:iCs/>
          <w:i/>
        </w:rPr>
        <w:t xml:space="preserve">of</w:t>
      </w:r>
      <w:r>
        <w:rPr>
          <w:iCs/>
          <w:i/>
        </w:rPr>
        <w:t xml:space="preserve"> </w:t>
      </w:r>
      <w:r>
        <w:rPr>
          <w:iCs/>
          <w:i/>
        </w:rPr>
        <w:t xml:space="preserve">Information</w:t>
      </w:r>
      <w:r>
        <w:rPr>
          <w:iCs/>
          <w:i/>
        </w:rPr>
        <w:t xml:space="preserve"> </w:t>
      </w:r>
      <w:r>
        <w:rPr>
          <w:iCs/>
          <w:i/>
        </w:rPr>
        <w:t xml:space="preserve">Criteria.</w:t>
      </w:r>
      <w:r>
        <w:rPr>
          <w:iCs/>
          <w:i/>
        </w:rPr>
        <w:t xml:space="preserve"> </w:t>
      </w:r>
      <w:r>
        <w:rPr>
          <w:iCs/>
          <w:i/>
        </w:rPr>
        <w:t xml:space="preserve">Models…</w:t>
      </w:r>
    </w:p>
    <w:tbl>
      <w:tblPr>
        <w:tblStyle w:val="Table"/>
        <w:tblW w:type="auto" w:w="0"/>
        <w:tblLook w:firstRow="1" w:lastRow="0" w:firstColumn="0" w:lastColumn="0" w:noHBand="0" w:noVBand="0" w:val="0020"/>
        <w:jc w:val="start"/>
        <w:tblCaption w:val="Table 1 Overview of Information Criteria. Models…"/>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model_check_dichotomous</w:t>
            </w:r>
          </w:p>
        </w:tc>
        <w:tc>
          <w:tcPr/>
          <w:p>
            <w:pPr>
              <w:pStyle w:val="Compact"/>
              <w:jc w:val="left"/>
            </w:pPr>
            <w:r>
              <w:t xml:space="preserve">5.00</w:t>
            </w:r>
          </w:p>
        </w:tc>
        <w:tc>
          <w:tcPr/>
          <w:p>
            <w:pPr>
              <w:pStyle w:val="Compact"/>
              <w:jc w:val="left"/>
            </w:pPr>
            <w:r>
              <w:t xml:space="preserve">120,999.71</w:t>
            </w:r>
          </w:p>
        </w:tc>
        <w:tc>
          <w:tcPr/>
          <w:p>
            <w:pPr>
              <w:pStyle w:val="Compact"/>
              <w:jc w:val="left"/>
            </w:pPr>
            <w:r>
              <w:t xml:space="preserve">121,047.45</w:t>
            </w:r>
          </w:p>
        </w:tc>
        <w:tc>
          <w:tcPr/>
          <w:p>
            <w:pPr>
              <w:pStyle w:val="Compact"/>
              <w:jc w:val="left"/>
            </w:pPr>
            <w:r>
              <w:t xml:space="preserve">-60,494.86</w:t>
            </w:r>
          </w:p>
        </w:tc>
        <w:tc>
          <w:tcPr/>
          <w:p>
            <w:pPr>
              <w:pStyle w:val="Compact"/>
              <w:jc w:val="left"/>
            </w:pPr>
            <w:r>
              <w:t xml:space="preserve">120,989.71</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model_nosubject_re_dichotomous</w:t>
            </w:r>
          </w:p>
        </w:tc>
        <w:tc>
          <w:tcPr/>
          <w:p>
            <w:pPr>
              <w:pStyle w:val="Compact"/>
              <w:jc w:val="left"/>
            </w:pPr>
            <w:r>
              <w:t xml:space="preserve">9.00</w:t>
            </w:r>
          </w:p>
        </w:tc>
        <w:tc>
          <w:tcPr/>
          <w:p>
            <w:pPr>
              <w:pStyle w:val="Compact"/>
              <w:jc w:val="left"/>
            </w:pPr>
            <w:r>
              <w:t xml:space="preserve">120,841.57</w:t>
            </w:r>
          </w:p>
        </w:tc>
        <w:tc>
          <w:tcPr/>
          <w:p>
            <w:pPr>
              <w:pStyle w:val="Compact"/>
              <w:jc w:val="left"/>
            </w:pPr>
            <w:r>
              <w:t xml:space="preserve">120,927.50</w:t>
            </w:r>
          </w:p>
        </w:tc>
        <w:tc>
          <w:tcPr/>
          <w:p>
            <w:pPr>
              <w:pStyle w:val="Compact"/>
              <w:jc w:val="left"/>
            </w:pPr>
            <w:r>
              <w:t xml:space="preserve">-60,411.78</w:t>
            </w:r>
          </w:p>
        </w:tc>
        <w:tc>
          <w:tcPr/>
          <w:p>
            <w:pPr>
              <w:pStyle w:val="Compact"/>
              <w:jc w:val="left"/>
            </w:pPr>
            <w:r>
              <w:t xml:space="preserve">120,823.57</w:t>
            </w:r>
          </w:p>
        </w:tc>
        <w:tc>
          <w:tcPr/>
          <w:p>
            <w:pPr>
              <w:pStyle w:val="Compact"/>
              <w:jc w:val="left"/>
            </w:pPr>
            <w:r>
              <w:t xml:space="preserve">166.14</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model_noprocedure_re_dichotomous</w:t>
            </w:r>
          </w:p>
        </w:tc>
        <w:tc>
          <w:tcPr/>
          <w:p>
            <w:pPr>
              <w:pStyle w:val="Compact"/>
              <w:jc w:val="left"/>
            </w:pPr>
            <w:r>
              <w:t xml:space="preserve">9.00</w:t>
            </w:r>
          </w:p>
        </w:tc>
        <w:tc>
          <w:tcPr/>
          <w:p>
            <w:pPr>
              <w:pStyle w:val="Compact"/>
              <w:jc w:val="left"/>
            </w:pPr>
            <w:r>
              <w:t xml:space="preserve">120,144.74</w:t>
            </w:r>
          </w:p>
        </w:tc>
        <w:tc>
          <w:tcPr/>
          <w:p>
            <w:pPr>
              <w:pStyle w:val="Compact"/>
              <w:jc w:val="left"/>
            </w:pPr>
            <w:r>
              <w:t xml:space="preserve">120,230.67</w:t>
            </w:r>
          </w:p>
        </w:tc>
        <w:tc>
          <w:tcPr/>
          <w:p>
            <w:pPr>
              <w:pStyle w:val="Compact"/>
              <w:jc w:val="left"/>
            </w:pPr>
            <w:r>
              <w:t xml:space="preserve">-60,063.37</w:t>
            </w:r>
          </w:p>
        </w:tc>
        <w:tc>
          <w:tcPr/>
          <w:p>
            <w:pPr>
              <w:pStyle w:val="Compact"/>
              <w:jc w:val="left"/>
            </w:pPr>
            <w:r>
              <w:t xml:space="preserve">120,126.74</w:t>
            </w:r>
          </w:p>
        </w:tc>
        <w:tc>
          <w:tcPr/>
          <w:p>
            <w:pPr>
              <w:pStyle w:val="Compact"/>
              <w:jc w:val="left"/>
            </w:pPr>
            <w:r>
              <w:t xml:space="preserve">696.83</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model_nostatement_re_dichotomous</w:t>
            </w:r>
          </w:p>
        </w:tc>
        <w:tc>
          <w:tcPr/>
          <w:p>
            <w:pPr>
              <w:pStyle w:val="Compact"/>
              <w:jc w:val="left"/>
            </w:pPr>
            <w:r>
              <w:t xml:space="preserve">9.00</w:t>
            </w:r>
          </w:p>
        </w:tc>
        <w:tc>
          <w:tcPr/>
          <w:p>
            <w:pPr>
              <w:pStyle w:val="Compact"/>
              <w:jc w:val="left"/>
            </w:pPr>
            <w:r>
              <w:t xml:space="preserve">120,088.15</w:t>
            </w:r>
          </w:p>
        </w:tc>
        <w:tc>
          <w:tcPr/>
          <w:p>
            <w:pPr>
              <w:pStyle w:val="Compact"/>
              <w:jc w:val="left"/>
            </w:pPr>
            <w:r>
              <w:t xml:space="preserve">120,174.08</w:t>
            </w:r>
          </w:p>
        </w:tc>
        <w:tc>
          <w:tcPr/>
          <w:p>
            <w:pPr>
              <w:pStyle w:val="Compact"/>
              <w:jc w:val="left"/>
            </w:pPr>
            <w:r>
              <w:t xml:space="preserve">-60,035.07</w:t>
            </w:r>
          </w:p>
        </w:tc>
        <w:tc>
          <w:tcPr/>
          <w:p>
            <w:pPr>
              <w:pStyle w:val="Compact"/>
              <w:jc w:val="left"/>
            </w:pPr>
            <w:r>
              <w:t xml:space="preserve">120,070.15</w:t>
            </w:r>
          </w:p>
        </w:tc>
        <w:tc>
          <w:tcPr/>
          <w:p>
            <w:pPr>
              <w:pStyle w:val="Compact"/>
              <w:jc w:val="left"/>
            </w:pPr>
            <w:r>
              <w:t xml:space="preserve">56.60</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model_full_re_dichotomous</w:t>
            </w:r>
          </w:p>
        </w:tc>
        <w:tc>
          <w:tcPr/>
          <w:p>
            <w:pPr>
              <w:pStyle w:val="Compact"/>
              <w:jc w:val="left"/>
            </w:pPr>
            <w:r>
              <w:t xml:space="preserve">11.00</w:t>
            </w:r>
          </w:p>
        </w:tc>
        <w:tc>
          <w:tcPr/>
          <w:p>
            <w:pPr>
              <w:pStyle w:val="Compact"/>
              <w:jc w:val="left"/>
            </w:pPr>
            <w:r>
              <w:t xml:space="preserve">120,086.59</w:t>
            </w:r>
          </w:p>
        </w:tc>
        <w:tc>
          <w:tcPr/>
          <w:p>
            <w:pPr>
              <w:pStyle w:val="Compact"/>
              <w:jc w:val="left"/>
            </w:pPr>
            <w:r>
              <w:t xml:space="preserve">120,191.61</w:t>
            </w:r>
          </w:p>
        </w:tc>
        <w:tc>
          <w:tcPr/>
          <w:p>
            <w:pPr>
              <w:pStyle w:val="Compact"/>
              <w:jc w:val="left"/>
            </w:pPr>
            <w:r>
              <w:t xml:space="preserve">-60,032.29</w:t>
            </w:r>
          </w:p>
        </w:tc>
        <w:tc>
          <w:tcPr/>
          <w:p>
            <w:pPr>
              <w:pStyle w:val="Compact"/>
              <w:jc w:val="left"/>
            </w:pPr>
            <w:r>
              <w:t xml:space="preserve">120,064.59</w:t>
            </w:r>
          </w:p>
        </w:tc>
        <w:tc>
          <w:tcPr/>
          <w:p>
            <w:pPr>
              <w:pStyle w:val="Compact"/>
              <w:jc w:val="left"/>
            </w:pPr>
            <w:r>
              <w:t xml:space="preserve">5.56</w:t>
            </w:r>
          </w:p>
        </w:tc>
        <w:tc>
          <w:tcPr/>
          <w:p>
            <w:pPr>
              <w:pStyle w:val="Compact"/>
              <w:jc w:val="left"/>
            </w:pPr>
            <w:r>
              <w:t xml:space="preserve">2.00</w:t>
            </w:r>
          </w:p>
        </w:tc>
        <w:tc>
          <w:tcPr/>
          <w:p>
            <w:pPr>
              <w:pStyle w:val="Compact"/>
              <w:jc w:val="left"/>
            </w:pPr>
            <w:r>
              <w:t xml:space="preserve">0.06</w:t>
            </w:r>
          </w:p>
        </w:tc>
      </w:tr>
    </w:tbl>
    <w:p>
      <w:pPr>
        <w:pStyle w:val="Textkrper"/>
      </w:pPr>
      <w:r>
        <w:t xml:space="preserve">All models that included a random effect of repetition at any level outperformed the baseline model with only random intercepts. Detailed model comparisons, based on information criteria, are presented in Table</w:t>
      </w:r>
      <w:r>
        <w:t xml:space="preserve"> </w:t>
      </w:r>
      <w:r>
        <w:t xml:space="preserve">1</w:t>
      </w:r>
      <w:r>
        <w:t xml:space="preserve">.</w:t>
      </w:r>
    </w:p>
    <w:p>
      <w:pPr>
        <w:pStyle w:val="Textkrper"/>
      </w:pPr>
      <w:r>
        <w:t xml:space="preserve">The model incorporating random effects at all hierarchical levels provided the best overall fit. Compared to the model excluding random effects of statements, it demonstrated a slightly lower AIC and a marginally higher BIC. This is attributable to the minimal variance observed in the repetition effect at the statement level. Notably, the variance of the random effect of repetition was highest at the subject level, followed by the procedure level.</w:t>
      </w:r>
    </w:p>
    <w:bookmarkEnd w:id="45"/>
    <w:bookmarkStart w:id="48" w:name="scale-truth-judgments"/>
    <w:p>
      <w:pPr>
        <w:pStyle w:val="berschrift3"/>
      </w:pPr>
      <w:r>
        <w:t xml:space="preserve">Scale Truth Judgments.</w:t>
      </w:r>
    </w:p>
    <w:p>
      <w:pPr>
        <w:pStyle w:val="FirstParagraph"/>
      </w:pPr>
      <w:r>
        <w:t xml:space="preserve">The analysis was based on 335455 trials nested within 6378 subjects, 1663 statements, and 47 procedures.</w:t>
      </w:r>
    </w:p>
    <w:p>
      <w:pPr>
        <w:pStyle w:val="Textkrper"/>
      </w:pPr>
      <w:r>
        <w:t xml:space="preserve">We employed the</w:t>
      </w:r>
      <w:r>
        <w:t xml:space="preserve"> </w:t>
      </w:r>
      <w:r>
        <w:t xml:space="preserve">“</w:t>
      </w:r>
      <w:r>
        <w:t xml:space="preserve">bobyqa</w:t>
      </w:r>
      <w:r>
        <w:t xml:space="preserve">”</w:t>
      </w:r>
      <w:r>
        <w:t xml:space="preserve"> </w:t>
      </w:r>
      <w:r>
        <w:t xml:space="preserve">optimizer, as some models initially failed to converge, and estimated the models using full maximum likelihood. An overview of the information criteria for all evaluated models is presented in Table</w:t>
      </w:r>
      <w:r>
        <w:t xml:space="preserve"> </w:t>
      </w:r>
      <w:r>
        <w:t xml:space="preserve">2</w:t>
      </w:r>
      <w:r>
        <w:t xml:space="preserve">.</w:t>
      </w:r>
    </w:p>
    <w:p>
      <w:pPr>
        <w:pStyle w:val="Textkrper"/>
      </w:pPr>
      <w:r>
        <w:t xml:space="preserve">Table:</w:t>
      </w:r>
      <w:r>
        <w:t xml:space="preserve"> </w:t>
      </w:r>
      <w:bookmarkStart w:id="46" w:name="tab:model-comp-scale"/>
      <w:bookmarkEnd w:id="46"/>
      <w:r>
        <w:t xml:space="preserve">Table 2:</w:t>
      </w:r>
    </w:p>
    <w:p>
      <w:pPr>
        <w:pStyle w:val="TableCaption"/>
      </w:pPr>
      <w:bookmarkStart w:id="47" w:name="tab:model-comp-scale"/>
      <w:bookmarkEnd w:id="47"/>
      <w:r>
        <w:t xml:space="preserve">Table 2</w:t>
      </w:r>
      <w:r>
        <w:br/>
      </w:r>
      <w:r>
        <w:rPr>
          <w:iCs/>
          <w:i/>
        </w:rPr>
        <w:t xml:space="preserve">Overview</w:t>
      </w:r>
      <w:r>
        <w:rPr>
          <w:iCs/>
          <w:i/>
        </w:rPr>
        <w:t xml:space="preserve"> </w:t>
      </w:r>
      <w:r>
        <w:rPr>
          <w:iCs/>
          <w:i/>
        </w:rPr>
        <w:t xml:space="preserve">of</w:t>
      </w:r>
      <w:r>
        <w:rPr>
          <w:iCs/>
          <w:i/>
        </w:rPr>
        <w:t xml:space="preserve"> </w:t>
      </w:r>
      <w:r>
        <w:rPr>
          <w:iCs/>
          <w:i/>
        </w:rPr>
        <w:t xml:space="preserve">Information</w:t>
      </w:r>
      <w:r>
        <w:rPr>
          <w:iCs/>
          <w:i/>
        </w:rPr>
        <w:t xml:space="preserve"> </w:t>
      </w:r>
      <w:r>
        <w:rPr>
          <w:iCs/>
          <w:i/>
        </w:rPr>
        <w:t xml:space="preserve">Criteria.</w:t>
      </w:r>
      <w:r>
        <w:rPr>
          <w:iCs/>
          <w:i/>
        </w:rPr>
        <w:t xml:space="preserve"> </w:t>
      </w:r>
      <w:r>
        <w:rPr>
          <w:iCs/>
          <w:i/>
        </w:rPr>
        <w:t xml:space="preserve">Models…</w:t>
      </w:r>
    </w:p>
    <w:tbl>
      <w:tblPr>
        <w:tblStyle w:val="Table"/>
        <w:tblW w:type="auto" w:w="0"/>
        <w:tblLook w:firstRow="1" w:lastRow="0" w:firstColumn="0" w:lastColumn="0" w:noHBand="0" w:noVBand="0" w:val="0020"/>
        <w:jc w:val="start"/>
        <w:tblCaption w:val="Table 2 Overview of Information Criteria. Models…"/>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model_check_scale</w:t>
            </w:r>
          </w:p>
        </w:tc>
        <w:tc>
          <w:tcPr/>
          <w:p>
            <w:pPr>
              <w:pStyle w:val="Compact"/>
              <w:jc w:val="left"/>
            </w:pPr>
            <w:r>
              <w:t xml:space="preserve">6.00</w:t>
            </w:r>
          </w:p>
        </w:tc>
        <w:tc>
          <w:tcPr/>
          <w:p>
            <w:pPr>
              <w:pStyle w:val="Compact"/>
              <w:jc w:val="left"/>
            </w:pPr>
            <w:r>
              <w:t xml:space="preserve">82,221.92</w:t>
            </w:r>
          </w:p>
        </w:tc>
        <w:tc>
          <w:tcPr/>
          <w:p>
            <w:pPr>
              <w:pStyle w:val="Compact"/>
              <w:jc w:val="left"/>
            </w:pPr>
            <w:r>
              <w:t xml:space="preserve">82,286.26</w:t>
            </w:r>
          </w:p>
        </w:tc>
        <w:tc>
          <w:tcPr/>
          <w:p>
            <w:pPr>
              <w:pStyle w:val="Compact"/>
              <w:jc w:val="left"/>
            </w:pPr>
            <w:r>
              <w:t xml:space="preserve">-41,104.96</w:t>
            </w:r>
          </w:p>
        </w:tc>
        <w:tc>
          <w:tcPr/>
          <w:p>
            <w:pPr>
              <w:pStyle w:val="Compact"/>
              <w:jc w:val="left"/>
            </w:pPr>
            <w:r>
              <w:t xml:space="preserve">82,209.92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model_nosubject_re_scale</w:t>
            </w:r>
          </w:p>
        </w:tc>
        <w:tc>
          <w:tcPr/>
          <w:p>
            <w:pPr>
              <w:pStyle w:val="Compact"/>
              <w:jc w:val="left"/>
            </w:pPr>
            <w:r>
              <w:t xml:space="preserve">10.00</w:t>
            </w:r>
          </w:p>
        </w:tc>
        <w:tc>
          <w:tcPr/>
          <w:p>
            <w:pPr>
              <w:pStyle w:val="Compact"/>
              <w:jc w:val="left"/>
            </w:pPr>
            <w:r>
              <w:t xml:space="preserve">76,089.73</w:t>
            </w:r>
          </w:p>
        </w:tc>
        <w:tc>
          <w:tcPr/>
          <w:p>
            <w:pPr>
              <w:pStyle w:val="Compact"/>
              <w:jc w:val="left"/>
            </w:pPr>
            <w:r>
              <w:t xml:space="preserve">76,196.96</w:t>
            </w:r>
          </w:p>
        </w:tc>
        <w:tc>
          <w:tcPr/>
          <w:p>
            <w:pPr>
              <w:pStyle w:val="Compact"/>
              <w:jc w:val="left"/>
            </w:pPr>
            <w:r>
              <w:t xml:space="preserve">-38,034.87</w:t>
            </w:r>
          </w:p>
        </w:tc>
        <w:tc>
          <w:tcPr/>
          <w:p>
            <w:pPr>
              <w:pStyle w:val="Compact"/>
              <w:jc w:val="left"/>
            </w:pPr>
            <w:r>
              <w:t xml:space="preserve">76,069.73</w:t>
            </w:r>
          </w:p>
        </w:tc>
        <w:tc>
          <w:tcPr/>
          <w:p>
            <w:pPr>
              <w:pStyle w:val="Compact"/>
              <w:jc w:val="left"/>
            </w:pPr>
            <w:r>
              <w:t xml:space="preserve">6,140.19</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model_noprocedure_re_scale</w:t>
            </w:r>
          </w:p>
        </w:tc>
        <w:tc>
          <w:tcPr/>
          <w:p>
            <w:pPr>
              <w:pStyle w:val="Compact"/>
              <w:jc w:val="left"/>
            </w:pPr>
            <w:r>
              <w:t xml:space="preserve">10.00</w:t>
            </w:r>
          </w:p>
        </w:tc>
        <w:tc>
          <w:tcPr/>
          <w:p>
            <w:pPr>
              <w:pStyle w:val="Compact"/>
              <w:jc w:val="left"/>
            </w:pPr>
            <w:r>
              <w:t xml:space="preserve">69,976.70</w:t>
            </w:r>
          </w:p>
        </w:tc>
        <w:tc>
          <w:tcPr/>
          <w:p>
            <w:pPr>
              <w:pStyle w:val="Compact"/>
              <w:jc w:val="left"/>
            </w:pPr>
            <w:r>
              <w:t xml:space="preserve">70,083.93</w:t>
            </w:r>
          </w:p>
        </w:tc>
        <w:tc>
          <w:tcPr/>
          <w:p>
            <w:pPr>
              <w:pStyle w:val="Compact"/>
              <w:jc w:val="left"/>
            </w:pPr>
            <w:r>
              <w:t xml:space="preserve">-34,978.35</w:t>
            </w:r>
          </w:p>
        </w:tc>
        <w:tc>
          <w:tcPr/>
          <w:p>
            <w:pPr>
              <w:pStyle w:val="Compact"/>
              <w:jc w:val="left"/>
            </w:pPr>
            <w:r>
              <w:t xml:space="preserve">69,956.70</w:t>
            </w:r>
          </w:p>
        </w:tc>
        <w:tc>
          <w:tcPr/>
          <w:p>
            <w:pPr>
              <w:pStyle w:val="Compact"/>
              <w:jc w:val="left"/>
            </w:pPr>
            <w:r>
              <w:t xml:space="preserve">6,113.03</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model_nostatement_re_scale</w:t>
            </w:r>
          </w:p>
        </w:tc>
        <w:tc>
          <w:tcPr/>
          <w:p>
            <w:pPr>
              <w:pStyle w:val="Compact"/>
              <w:jc w:val="left"/>
            </w:pPr>
            <w:r>
              <w:t xml:space="preserve">10.00</w:t>
            </w:r>
          </w:p>
        </w:tc>
        <w:tc>
          <w:tcPr/>
          <w:p>
            <w:pPr>
              <w:pStyle w:val="Compact"/>
              <w:jc w:val="left"/>
            </w:pPr>
            <w:r>
              <w:t xml:space="preserve">69,207.47</w:t>
            </w:r>
          </w:p>
        </w:tc>
        <w:tc>
          <w:tcPr/>
          <w:p>
            <w:pPr>
              <w:pStyle w:val="Compact"/>
              <w:jc w:val="left"/>
            </w:pPr>
            <w:r>
              <w:t xml:space="preserve">69,314.71</w:t>
            </w:r>
          </w:p>
        </w:tc>
        <w:tc>
          <w:tcPr/>
          <w:p>
            <w:pPr>
              <w:pStyle w:val="Compact"/>
              <w:jc w:val="left"/>
            </w:pPr>
            <w:r>
              <w:t xml:space="preserve">-34,593.74</w:t>
            </w:r>
          </w:p>
        </w:tc>
        <w:tc>
          <w:tcPr/>
          <w:p>
            <w:pPr>
              <w:pStyle w:val="Compact"/>
              <w:jc w:val="left"/>
            </w:pPr>
            <w:r>
              <w:t xml:space="preserve">69,187.47</w:t>
            </w:r>
          </w:p>
        </w:tc>
        <w:tc>
          <w:tcPr/>
          <w:p>
            <w:pPr>
              <w:pStyle w:val="Compact"/>
              <w:jc w:val="left"/>
            </w:pPr>
            <w:r>
              <w:t xml:space="preserve">769.22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model_full_re_scale</w:t>
            </w:r>
          </w:p>
        </w:tc>
        <w:tc>
          <w:tcPr/>
          <w:p>
            <w:pPr>
              <w:pStyle w:val="Compact"/>
              <w:jc w:val="left"/>
            </w:pPr>
            <w:r>
              <w:t xml:space="preserve">12.00</w:t>
            </w:r>
          </w:p>
        </w:tc>
        <w:tc>
          <w:tcPr/>
          <w:p>
            <w:pPr>
              <w:pStyle w:val="Compact"/>
              <w:jc w:val="left"/>
            </w:pPr>
            <w:r>
              <w:t xml:space="preserve">68,958.97</w:t>
            </w:r>
          </w:p>
        </w:tc>
        <w:tc>
          <w:tcPr/>
          <w:p>
            <w:pPr>
              <w:pStyle w:val="Compact"/>
              <w:jc w:val="left"/>
            </w:pPr>
            <w:r>
              <w:t xml:space="preserve">69,087.65</w:t>
            </w:r>
          </w:p>
        </w:tc>
        <w:tc>
          <w:tcPr/>
          <w:p>
            <w:pPr>
              <w:pStyle w:val="Compact"/>
              <w:jc w:val="left"/>
            </w:pPr>
            <w:r>
              <w:t xml:space="preserve">-34,467.49</w:t>
            </w:r>
          </w:p>
        </w:tc>
        <w:tc>
          <w:tcPr/>
          <w:p>
            <w:pPr>
              <w:pStyle w:val="Compact"/>
              <w:jc w:val="left"/>
            </w:pPr>
            <w:r>
              <w:t xml:space="preserve">68,934.97</w:t>
            </w:r>
          </w:p>
        </w:tc>
        <w:tc>
          <w:tcPr/>
          <w:p>
            <w:pPr>
              <w:pStyle w:val="Compact"/>
              <w:jc w:val="left"/>
            </w:pPr>
            <w:r>
              <w:t xml:space="preserve">252.50</w:t>
            </w:r>
          </w:p>
        </w:tc>
        <w:tc>
          <w:tcPr/>
          <w:p>
            <w:pPr>
              <w:pStyle w:val="Compact"/>
              <w:jc w:val="left"/>
            </w:pPr>
            <w:r>
              <w:t xml:space="preserve">2.00</w:t>
            </w:r>
          </w:p>
        </w:tc>
        <w:tc>
          <w:tcPr/>
          <w:p>
            <w:pPr>
              <w:pStyle w:val="Compact"/>
              <w:jc w:val="left"/>
            </w:pPr>
            <w:r>
              <w:t xml:space="preserve">0.00</w:t>
            </w:r>
          </w:p>
        </w:tc>
      </w:tr>
    </w:tbl>
    <w:p>
      <w:pPr>
        <w:pStyle w:val="Textkrper"/>
      </w:pPr>
      <w:r>
        <w:t xml:space="preserve">The model including random effects at all hierarchical levels provided the best overall fit, exhibiting improved AIC and BIC values compared to the model that excluded random effects of statements. As in the dichotomous analysis, the variance of the repetition effect was near zero at the statement level, while being most pronounced at the subject level.</w:t>
      </w:r>
    </w:p>
    <w:p>
      <w:pPr>
        <w:pStyle w:val="Textkrper"/>
      </w:pPr>
      <w:r>
        <w:t xml:space="preserve">To further explore the influence of temporal delay between the exposure and judgment phases on interindividual variability in the repetition effect, we stratified the data. Specifically, we re-estimated the multilevel model (with random effects at all levels) separately for judgments made on the same day as the exposure phase and for those made on a subsequent day.</w:t>
      </w:r>
    </w:p>
    <w:p>
      <w:pPr>
        <w:pStyle w:val="Textkrper"/>
      </w:pPr>
      <w:r>
        <w:t xml:space="preserve">The results of this model can be found in table</w:t>
      </w:r>
      <w:r>
        <w:t xml:space="preserve"> </w:t>
      </w:r>
      <w:r>
        <w:rPr>
          <w:bCs/>
          <w:b/>
        </w:rPr>
        <w:t xml:space="preserve">table!</w:t>
      </w:r>
    </w:p>
    <w:p>
      <w:pPr>
        <w:pStyle w:val="Textkrper"/>
      </w:pPr>
      <w:r>
        <w:t xml:space="preserve">Model Sameday</w:t>
      </w:r>
    </w:p>
    <w:p>
      <w:pPr>
        <w:pStyle w:val="SourceCode"/>
      </w:pPr>
      <w:r>
        <w:rPr>
          <w:rStyle w:val="VerbatimChar"/>
        </w:rPr>
        <w:t xml:space="preserve">## Linear mixed model fit by maximum likelihood  ['lmerModLmerTest']</w:t>
      </w:r>
      <w:r>
        <w:br/>
      </w:r>
      <w:r>
        <w:rPr>
          <w:rStyle w:val="VerbatimChar"/>
        </w:rPr>
        <w:t xml:space="preserve">## Formula: response ~ repeated + (1 + repeated | subject) + (1 + repeated |      statement_id) + (1 + repeated | procedure_id)</w:t>
      </w:r>
      <w:r>
        <w:br/>
      </w:r>
      <w:r>
        <w:rPr>
          <w:rStyle w:val="VerbatimChar"/>
        </w:rPr>
        <w:t xml:space="preserve">##    Data: scale_data %&gt;% filter(repetition_time &lt;= 180)</w:t>
      </w:r>
      <w:r>
        <w:br/>
      </w:r>
      <w:r>
        <w:rPr>
          <w:rStyle w:val="VerbatimChar"/>
        </w:rPr>
        <w:t xml:space="preserve">##       AIC       BIC    logLik  deviance  df.resid </w:t>
      </w:r>
      <w:r>
        <w:br/>
      </w:r>
      <w:r>
        <w:rPr>
          <w:rStyle w:val="VerbatimChar"/>
        </w:rPr>
        <w:t xml:space="preserve">##  58091.74  58216.98 -29033.87  58067.74    251753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0.08765       </w:t>
      </w:r>
      <w:r>
        <w:br/>
      </w:r>
      <w:r>
        <w:rPr>
          <w:rStyle w:val="VerbatimChar"/>
        </w:rPr>
        <w:t xml:space="preserve">##               repeated    0.11473  -0.20</w:t>
      </w:r>
      <w:r>
        <w:br/>
      </w:r>
      <w:r>
        <w:rPr>
          <w:rStyle w:val="VerbatimChar"/>
        </w:rPr>
        <w:t xml:space="preserve">##  statement_id (Intercept) 0.14378       </w:t>
      </w:r>
      <w:r>
        <w:br/>
      </w:r>
      <w:r>
        <w:rPr>
          <w:rStyle w:val="VerbatimChar"/>
        </w:rPr>
        <w:t xml:space="preserve">##               repeated    0.02567  -0.39</w:t>
      </w:r>
      <w:r>
        <w:br/>
      </w:r>
      <w:r>
        <w:rPr>
          <w:rStyle w:val="VerbatimChar"/>
        </w:rPr>
        <w:t xml:space="preserve">##  procedure_id (Intercept) 0.04134       </w:t>
      </w:r>
      <w:r>
        <w:br/>
      </w:r>
      <w:r>
        <w:rPr>
          <w:rStyle w:val="VerbatimChar"/>
        </w:rPr>
        <w:t xml:space="preserve">##               repeated    0.07679  -0.28</w:t>
      </w:r>
      <w:r>
        <w:br/>
      </w:r>
      <w:r>
        <w:rPr>
          <w:rStyle w:val="VerbatimChar"/>
        </w:rPr>
        <w:t xml:space="preserve">##  Residual                 0.26056       </w:t>
      </w:r>
      <w:r>
        <w:br/>
      </w:r>
      <w:r>
        <w:rPr>
          <w:rStyle w:val="VerbatimChar"/>
        </w:rPr>
        <w:t xml:space="preserve">## Number of obs: 251765, groups:  subject, 5783; statement_id, 1331; procedure_id, 33</w:t>
      </w:r>
      <w:r>
        <w:br/>
      </w:r>
      <w:r>
        <w:rPr>
          <w:rStyle w:val="VerbatimChar"/>
        </w:rPr>
        <w:t xml:space="preserve">## Fixed Effects:</w:t>
      </w:r>
      <w:r>
        <w:br/>
      </w:r>
      <w:r>
        <w:rPr>
          <w:rStyle w:val="VerbatimChar"/>
        </w:rPr>
        <w:t xml:space="preserve">## (Intercept)     repeated  </w:t>
      </w:r>
      <w:r>
        <w:br/>
      </w:r>
      <w:r>
        <w:rPr>
          <w:rStyle w:val="VerbatimChar"/>
        </w:rPr>
        <w:t xml:space="preserve">##     0.50909      0.09175</w:t>
      </w:r>
    </w:p>
    <w:p>
      <w:pPr>
        <w:pStyle w:val="FirstParagraph"/>
      </w:pPr>
      <w:r>
        <w:t xml:space="preserve">Model Later</w:t>
      </w:r>
    </w:p>
    <w:p>
      <w:pPr>
        <w:pStyle w:val="SourceCode"/>
      </w:pPr>
      <w:r>
        <w:rPr>
          <w:rStyle w:val="VerbatimChar"/>
        </w:rPr>
        <w:t xml:space="preserve">## Linear mixed model fit by maximum likelihood  ['lmerModLmerTest']</w:t>
      </w:r>
      <w:r>
        <w:br/>
      </w:r>
      <w:r>
        <w:rPr>
          <w:rStyle w:val="VerbatimChar"/>
        </w:rPr>
        <w:t xml:space="preserve">## Formula: response ~ repeated + (1 + repeated | subject) + (1 + repeated |      statement_id) + (1 + repeated | procedure_id)</w:t>
      </w:r>
      <w:r>
        <w:br/>
      </w:r>
      <w:r>
        <w:rPr>
          <w:rStyle w:val="VerbatimChar"/>
        </w:rPr>
        <w:t xml:space="preserve">##    Data: scale_data %&gt;% filter(repetition_time &gt; 180)</w:t>
      </w:r>
      <w:r>
        <w:br/>
      </w:r>
      <w:r>
        <w:rPr>
          <w:rStyle w:val="VerbatimChar"/>
        </w:rPr>
        <w:t xml:space="preserve">##       AIC       BIC    logLik  deviance  df.resid </w:t>
      </w:r>
      <w:r>
        <w:br/>
      </w:r>
      <w:r>
        <w:rPr>
          <w:rStyle w:val="VerbatimChar"/>
        </w:rPr>
        <w:t xml:space="preserve">## 10121.914 10233.932 -5048.957 10097.914     83678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0.07323       </w:t>
      </w:r>
      <w:r>
        <w:br/>
      </w:r>
      <w:r>
        <w:rPr>
          <w:rStyle w:val="VerbatimChar"/>
        </w:rPr>
        <w:t xml:space="preserve">##               repeated    0.07048  0.04 </w:t>
      </w:r>
      <w:r>
        <w:br/>
      </w:r>
      <w:r>
        <w:rPr>
          <w:rStyle w:val="VerbatimChar"/>
        </w:rPr>
        <w:t xml:space="preserve">##  statement_id (Intercept) 0.12034       </w:t>
      </w:r>
      <w:r>
        <w:br/>
      </w:r>
      <w:r>
        <w:rPr>
          <w:rStyle w:val="VerbatimChar"/>
        </w:rPr>
        <w:t xml:space="preserve">##               repeated    0.02854  -0.21</w:t>
      </w:r>
      <w:r>
        <w:br/>
      </w:r>
      <w:r>
        <w:rPr>
          <w:rStyle w:val="VerbatimChar"/>
        </w:rPr>
        <w:t xml:space="preserve">##  procedure_id (Intercept) 0.03184       </w:t>
      </w:r>
      <w:r>
        <w:br/>
      </w:r>
      <w:r>
        <w:rPr>
          <w:rStyle w:val="VerbatimChar"/>
        </w:rPr>
        <w:t xml:space="preserve">##               repeated    0.04206  -0.16</w:t>
      </w:r>
      <w:r>
        <w:br/>
      </w:r>
      <w:r>
        <w:rPr>
          <w:rStyle w:val="VerbatimChar"/>
        </w:rPr>
        <w:t xml:space="preserve">##  Residual                 0.24810       </w:t>
      </w:r>
      <w:r>
        <w:br/>
      </w:r>
      <w:r>
        <w:rPr>
          <w:rStyle w:val="VerbatimChar"/>
        </w:rPr>
        <w:t xml:space="preserve">## Number of obs: 83690, groups:  subject, 1246; statement_id, 804; procedure_id, 14</w:t>
      </w:r>
      <w:r>
        <w:br/>
      </w:r>
      <w:r>
        <w:rPr>
          <w:rStyle w:val="VerbatimChar"/>
        </w:rPr>
        <w:t xml:space="preserve">## Fixed Effects:</w:t>
      </w:r>
      <w:r>
        <w:br/>
      </w:r>
      <w:r>
        <w:rPr>
          <w:rStyle w:val="VerbatimChar"/>
        </w:rPr>
        <w:t xml:space="preserve">## (Intercept)     repeated  </w:t>
      </w:r>
      <w:r>
        <w:br/>
      </w:r>
      <w:r>
        <w:rPr>
          <w:rStyle w:val="VerbatimChar"/>
        </w:rPr>
        <w:t xml:space="preserve">##     0.50578      0.06057</w:t>
      </w:r>
    </w:p>
    <w:p>
      <w:pPr>
        <w:pStyle w:val="FirstParagraph"/>
      </w:pPr>
      <w:r>
        <w:t xml:space="preserve">The variance of the random effect of repetition was higher in the data containing truth judgments from the same day as the exposure phase (number 1) vs. (number 2).</w:t>
      </w:r>
    </w:p>
    <w:bookmarkEnd w:id="48"/>
    <w:bookmarkEnd w:id="49"/>
    <w:bookmarkEnd w:id="50"/>
    <w:bookmarkStart w:id="53" w:name="discussion"/>
    <w:p>
      <w:pPr>
        <w:pStyle w:val="berschrift1"/>
      </w:pPr>
      <w:r>
        <w:t xml:space="preserve">Discussion</w:t>
      </w:r>
    </w:p>
    <w:p>
      <w:pPr>
        <w:pStyle w:val="FirstParagraph"/>
      </w:pPr>
      <w:r>
        <w:t xml:space="preserve">In this paper, we introduce the Truth-Effect Database (TED), a large-scale, open-access repository of trial-level data on truth judgments. TED is designed to support cumulative, reproducible research on the truth effect by standardizing and centralizing data from a wide range of studies. With contributions from over 10,000 participants, our database offers a comprehensive resource for researchers interested in understanding how repetition and related factors influence perceptions of truth.</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 To meet these challenges, we provide a structured SQL-based schema that organizes data at multiple levels—including publications, studies,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w:t>
      </w:r>
      <w:r>
        <w:t xml:space="preserve"> </w:t>
      </w:r>
      <w:r>
        <w:rPr>
          <w:rStyle w:val="VerbatimChar"/>
        </w:rPr>
        <w:t xml:space="preserve">acdcquery</w:t>
      </w:r>
      <w:r>
        <w:t xml:space="preserve"> </w:t>
      </w:r>
      <w:r>
        <w:t xml:space="preserve">allows users to extract data with flexible filtering criteria, supporting both simple and complex queries. Additionally, we have developed a web-based data entry interface that automatically checks for consistency and flags incorrect variable names or entries. This helps maintain high standards for incoming data and ensures that TED remains a reliable resource for the community, while simplifying the submission process and lowering the barrier to entry.</w:t>
      </w:r>
    </w:p>
    <w:p>
      <w:pPr>
        <w:pStyle w:val="Textkrper"/>
      </w:pPr>
      <w:r>
        <w:t xml:space="preserve">To illustrate the analytical potential of TED, we conducted multilevel models estimating random effects at the subject, statement, and publication levels to investigate where variance in the truth effect originates. This approach is only feasible with a dataset of TED’s size and granularity.</w:t>
      </w:r>
    </w:p>
    <w:p>
      <w:pPr>
        <w:pStyle w:val="Textkrper"/>
      </w:pPr>
      <w:r>
        <w:t xml:space="preserve">In both the Likert-scale and dichotomous truth judgment data, we found that the random effect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publication-level random effect of repetition. This is unsurprising, as studies varied considerably in design features such as the number of statements, delay between exposure and judgment, or whether participants were warned about repetition. Nevertheless, the publication-level variance in the effect of repetition was smaller than at the subject level.</w:t>
      </w:r>
    </w:p>
    <w:p>
      <w:pPr>
        <w:pStyle w:val="Textkrper"/>
      </w:pPr>
      <w:r>
        <w:t xml:space="preserve">Indeed,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Some studies</w:t>
      </w:r>
      <w:r>
        <w:t xml:space="preserve"> </w:t>
      </w:r>
      <w:r>
        <w:rPr>
          <w:bCs/>
          <w:b/>
        </w:rPr>
        <w:t xml:space="preserve">include studies here</w:t>
      </w:r>
      <w:r>
        <w:t xml:space="preserve">.</w:t>
      </w:r>
    </w:p>
    <w:p>
      <w:pPr>
        <w:pStyle w:val="Textkrper"/>
      </w:pPr>
      <w:r>
        <w:t xml:space="preserve">However, efforts to predict individual differences in the truth effect have so far produced mixed results</w:t>
      </w:r>
      <w:r>
        <w:t xml:space="preserve"> </w:t>
      </w:r>
      <w:r>
        <w:rPr>
          <w:bCs/>
          <w:b/>
        </w:rPr>
        <w:t xml:space="preserve">studies</w:t>
      </w:r>
      <w:r>
        <w:t xml:space="preserve">.</w:t>
      </w:r>
    </w:p>
    <w:p>
      <w:pPr>
        <w:pStyle w:val="Textkrper"/>
      </w:pPr>
      <w:r>
        <w:t xml:space="preserve">This, it remains an open question whether the variability in the truth effect reflects reliable, trait-like differences. TED provides a promising platform for revisiting the question of reliable individual differences in the truth effect in future work.</w:t>
      </w:r>
    </w:p>
    <w:p>
      <w:pPr>
        <w:pStyle w:val="Textkrper"/>
      </w:pPr>
      <w:r>
        <w:t xml:space="preserve">Lastly, we explored whether the magnitude of variance in the repetition effect differed depending on the delay between exposure and judgment—a key procedural variable in truth effect research. Based on prior studies</w:t>
      </w:r>
      <w:r>
        <w:t xml:space="preserve"> </w:t>
      </w:r>
      <w:r>
        <w:rPr>
          <w:bCs/>
          <w:b/>
        </w:rPr>
        <w:t xml:space="preserve">include study</w:t>
      </w:r>
      <w:r>
        <w:t xml:space="preserve">, we expected variability in the truth effect to be greater when the exposure and judgment occur on the same day, as repetition-based fluency is likely more salient in short-delay conditions.</w:t>
      </w:r>
    </w:p>
    <w:p>
      <w:pPr>
        <w:pStyle w:val="Textkrper"/>
      </w:pPr>
      <w:r>
        <w:t xml:space="preserve">In line with this expectation, we found that the variance in the random effect of repetition was indeed larger when judgments were made on the same day as exposure, compared to when judgments were delayed to a later day.</w:t>
      </w:r>
      <w:r>
        <w:t xml:space="preserve"> </w:t>
      </w:r>
      <w:r>
        <w:rPr>
          <w:bCs/>
          <w:b/>
        </w:rPr>
        <w:t xml:space="preserve">Interpretation</w:t>
      </w:r>
      <w:r>
        <w:rPr>
          <w:bCs/>
          <w:b/>
        </w:rPr>
        <w:t xml:space="preserve"> </w:t>
      </w:r>
    </w:p>
    <w:p>
      <w:pPr>
        <w:pStyle w:val="Textkrper"/>
      </w:pPr>
      <w:r>
        <w:t xml:space="preserve">However, these exploratory results should be interpreted cautiously. We did not statistically test the delay-related differences for significance, and the analysis did not control for potential confounding factors such as sample composition, procedural variation, or other study-level covariates.</w:t>
      </w:r>
    </w:p>
    <w:p>
      <w:pPr>
        <w:pStyle w:val="Textkrper"/>
      </w:pPr>
      <w:r>
        <w:t xml:space="preserve">Taken together, these initial analyses demonstrate TED’s utility for modeling complex interactions and variance structures that would be difficult to assess using single-study datasets. The open, extensible nature of TED ensures that these questions can be revisited and refined as the database continues to grow. We see this as a first step toward more nuanced investigations of the truth effect grounded in large-scale, reproducible data.</w:t>
      </w:r>
    </w:p>
    <w:bookmarkStart w:id="51" w:name="future-research"/>
    <w:p>
      <w:pPr>
        <w:pStyle w:val="berschrift2"/>
      </w:pPr>
      <w:r>
        <w:t xml:space="preserve">Future research</w:t>
      </w:r>
    </w:p>
    <w:p>
      <w:pPr>
        <w:pStyle w:val="FirstParagraph"/>
      </w:pPr>
      <w:r>
        <w:t xml:space="preserve">Discuss how we hope others can contribute, this needs to be added to the database description aswell (a text on how we deal with people submitting data).</w:t>
      </w:r>
    </w:p>
    <w:p>
      <w:pPr>
        <w:pStyle w:val="Textkrper"/>
      </w:pPr>
      <w:r>
        <w:t xml:space="preserve">Discuss the important aspect of longevity! Highlight what could be done in the future with more funding (dedicated server, team review)</w:t>
      </w:r>
    </w:p>
    <w:p>
      <w:pPr>
        <w:pStyle w:val="Textkrper"/>
      </w:pPr>
      <w:r>
        <w:t xml:space="preserve">Discuss data principiles such as FAIR, as directed by DFG</w:t>
      </w:r>
    </w:p>
    <w:p>
      <w:pPr>
        <w:pStyle w:val="Textkrper"/>
      </w:pPr>
      <w:r>
        <w:t xml:space="preserve">Discuss incentives for data submission (maybe add to introduction aswell)</w:t>
      </w:r>
    </w:p>
    <w:bookmarkEnd w:id="51"/>
    <w:bookmarkStart w:id="52" w:name="conclusion"/>
    <w:p>
      <w:pPr>
        <w:pStyle w:val="berschrift2"/>
      </w:pPr>
      <w:r>
        <w:t xml:space="preserve">Conclusion</w:t>
      </w:r>
    </w:p>
    <w:p>
      <w:pPr>
        <w:pStyle w:val="FirstParagraph"/>
      </w:pPr>
      <w:r>
        <w:t xml:space="preserve">Shortly, we have db, we figured out that subject-level variance in the repetition effect should be looked at in more detail.</w:t>
      </w:r>
    </w:p>
    <w:p>
      <w:pPr>
        <w:pStyle w:val="Textkrper"/>
      </w:pPr>
      <w:r>
        <w:t xml:space="preserve">This db allows:</w:t>
      </w:r>
      <w:r>
        <w:t xml:space="preserve"> </w:t>
      </w:r>
      <w:r>
        <w:t xml:space="preserve">Give a short outline of what could be done with the database (broad, like in the grant proposal:</w:t>
      </w:r>
      <w:r>
        <w:t xml:space="preserve"> </w:t>
      </w:r>
      <w:r>
        <w:t xml:space="preserve">living meta-analyses, power simulations, etc.)</w:t>
      </w:r>
    </w:p>
    <w:p>
      <w:r>
        <w:br w:type="page"/>
      </w:r>
    </w:p>
    <w:bookmarkEnd w:id="52"/>
    <w:bookmarkEnd w:id="53"/>
    <w:bookmarkStart w:id="87" w:name="references"/>
    <w:p>
      <w:pPr>
        <w:pStyle w:val="berschrift1"/>
      </w:pPr>
      <w:r>
        <w:t xml:space="preserve">References</w:t>
      </w:r>
    </w:p>
    <w:bookmarkStart w:id="86" w:name="refs"/>
    <w:bookmarkStart w:id="55"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54">
        <w:r>
          <w:rPr>
            <w:rStyle w:val="Hyperlink"/>
          </w:rPr>
          <w:t xml:space="preserve">https://github.com/crsh/papaja</w:t>
        </w:r>
      </w:hyperlink>
    </w:p>
    <w:bookmarkEnd w:id="55"/>
    <w:bookmarkStart w:id="57" w:name="ref-R-lme4"/>
    <w:p>
      <w:pPr>
        <w:pStyle w:val="Literaturverzeichnis"/>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56">
        <w:r>
          <w:rPr>
            <w:rStyle w:val="Hyperlink"/>
          </w:rPr>
          <w:t xml:space="preserve">https://doi.org/10.18637/jss.v067.i01</w:t>
        </w:r>
      </w:hyperlink>
    </w:p>
    <w:bookmarkEnd w:id="57"/>
    <w:bookmarkStart w:id="58"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(2; Vol. 33, pp. 179–183). SAGE Publications Sage CA: Los Angeles, CA.</w:t>
      </w:r>
    </w:p>
    <w:bookmarkEnd w:id="58"/>
    <w:bookmarkStart w:id="60"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59">
        <w:r>
          <w:rPr>
            <w:rStyle w:val="Hyperlink"/>
          </w:rPr>
          <w:t xml:space="preserve">https://doi.org/10.18637/jss.v080.i01</w:t>
        </w:r>
      </w:hyperlink>
    </w:p>
    <w:bookmarkEnd w:id="60"/>
    <w:bookmarkStart w:id="62"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61">
        <w:r>
          <w:rPr>
            <w:rStyle w:val="Hyperlink"/>
          </w:rPr>
          <w:t xml:space="preserve">https://doi.org/10.32614/RJ-2018-017</w:t>
        </w:r>
      </w:hyperlink>
    </w:p>
    <w:bookmarkEnd w:id="62"/>
    <w:bookmarkStart w:id="64"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63">
        <w:r>
          <w:rPr>
            <w:rStyle w:val="Hyperlink"/>
          </w:rPr>
          <w:t xml:space="preserve">https://doi.org/10.18637/jss.v100.i05</w:t>
        </w:r>
      </w:hyperlink>
    </w:p>
    <w:bookmarkEnd w:id="64"/>
    <w:bookmarkStart w:id="65"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65"/>
    <w:bookmarkStart w:id="67"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66">
        <w:r>
          <w:rPr>
            <w:rStyle w:val="Hyperlink"/>
          </w:rPr>
          <w:t xml:space="preserve">https://doi.org/10.5195/jmla.2017.88</w:t>
        </w:r>
      </w:hyperlink>
    </w:p>
    <w:bookmarkEnd w:id="67"/>
    <w:bookmarkStart w:id="68"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68"/>
    <w:bookmarkStart w:id="69"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69"/>
    <w:bookmarkStart w:id="71"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70">
        <w:r>
          <w:rPr>
            <w:rStyle w:val="Hyperlink"/>
          </w:rPr>
          <w:t xml:space="preserve">https://doi.org/10.3758/s13423-021-01995-w</w:t>
        </w:r>
      </w:hyperlink>
    </w:p>
    <w:bookmarkEnd w:id="71"/>
    <w:bookmarkStart w:id="72"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72"/>
    <w:bookmarkStart w:id="73"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73"/>
    <w:bookmarkStart w:id="75"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74">
        <w:r>
          <w:rPr>
            <w:rStyle w:val="Hyperlink"/>
          </w:rPr>
          <w:t xml:space="preserve">https://github.com/SLesche/acdc-query</w:t>
        </w:r>
      </w:hyperlink>
    </w:p>
    <w:bookmarkEnd w:id="75"/>
    <w:bookmarkStart w:id="76"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76"/>
    <w:bookmarkStart w:id="77"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77"/>
    <w:bookmarkStart w:id="78"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78"/>
    <w:bookmarkStart w:id="80"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81">
        <w:r>
          <w:rPr>
            <w:rStyle w:val="Hyperlink"/>
          </w:rPr>
          <w:t xml:space="preserve">https://doi.org/10.21105/joss.01686</w:t>
        </w:r>
      </w:hyperlink>
    </w:p>
    <w:bookmarkEnd w:id="82"/>
    <w:bookmarkStart w:id="83"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83"/>
    <w:bookmarkStart w:id="85"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84">
        <w:r>
          <w:rPr>
            <w:rStyle w:val="Hyperlink"/>
          </w:rPr>
          <w:t xml:space="preserve">https://yihui.org/knitr/</w:t>
        </w:r>
      </w:hyperlink>
    </w:p>
    <w:bookmarkEnd w:id="85"/>
    <w:bookmarkEnd w:id="86"/>
    <w:p>
      <w:r>
        <w:br w:type="page"/>
      </w:r>
    </w:p>
    <w:bookmarkEnd w:id="87"/>
    <w:bookmarkStart w:id="88" w:name="appendix"/>
    <w:p>
      <w:pPr>
        <w:pStyle w:val="berschrift1"/>
      </w:pPr>
      <w:r>
        <w:t xml:space="preserve">Appendix</w:t>
      </w:r>
    </w:p>
    <w:bookmarkEnd w:id="88"/>
    <w:bookmarkStart w:id="89" w:name="talking-about-appendices"/>
    <w:p>
      <w:pPr>
        <w:pStyle w:val="berschrift1"/>
      </w:pPr>
      <w:r>
        <w:t xml:space="preserve">Talking about appendices</w:t>
      </w:r>
    </w:p>
    <w:bookmarkEnd w:id="89"/>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lme4</w:t>
      </w:r>
      <w:r>
        <w:t xml:space="preserve"> </w:t>
      </w:r>
      <w:r>
        <w:t xml:space="preserve">(Version 1.1.35.4;</w:t>
      </w:r>
      <w:r>
        <w:t xml:space="preserve"> </w:t>
      </w:r>
      <w:hyperlink w:anchor="ref-R-lme4">
        <w:r>
          <w:rPr>
            <w:rStyle w:val="Hyperlink"/>
          </w:rPr>
          <w:t xml:space="preserve">Bates et al.,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hyperlink" Id="rId56" Target="https://doi.org/10.18637/jss.v067.i01" TargetMode="External" /><Relationship Type="http://schemas.openxmlformats.org/officeDocument/2006/relationships/hyperlink" Id="rId59" Target="https://doi.org/10.18637/jss.v080.i01" TargetMode="External" /><Relationship Type="http://schemas.openxmlformats.org/officeDocument/2006/relationships/hyperlink" Id="rId63" Target="https://doi.org/10.18637/jss.v100.i05" TargetMode="External" /><Relationship Type="http://schemas.openxmlformats.org/officeDocument/2006/relationships/hyperlink" Id="rId81" Target="https://doi.org/10.21105/joss.01686" TargetMode="External" /><Relationship Type="http://schemas.openxmlformats.org/officeDocument/2006/relationships/hyperlink" Id="rId61" Target="https://doi.org/10.32614/RJ-2018-017" TargetMode="External" /><Relationship Type="http://schemas.openxmlformats.org/officeDocument/2006/relationships/hyperlink" Id="rId70" Target="https://doi.org/10.3758/s13423-021-01995-w" TargetMode="External" /><Relationship Type="http://schemas.openxmlformats.org/officeDocument/2006/relationships/hyperlink" Id="rId66" Target="https://doi.org/10.5195/jmla.2017.88" TargetMode="External" /><Relationship Type="http://schemas.openxmlformats.org/officeDocument/2006/relationships/hyperlink" Id="rId74"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54" Target="https://github.com/crsh/papaja" TargetMode="External" /><Relationship Type="http://schemas.openxmlformats.org/officeDocument/2006/relationships/hyperlink" Id="rId27" Target="https://slesche.github.io/truth-db/" TargetMode="External" /><Relationship Type="http://schemas.openxmlformats.org/officeDocument/2006/relationships/hyperlink" Id="rId79" Target="https://www.R-project.org/" TargetMode="External" /><Relationship Type="http://schemas.openxmlformats.org/officeDocument/2006/relationships/hyperlink" Id="rId84"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8637/jss.v067.i01" TargetMode="External" /><Relationship Type="http://schemas.openxmlformats.org/officeDocument/2006/relationships/hyperlink" Id="rId59" Target="https://doi.org/10.18637/jss.v080.i01" TargetMode="External" /><Relationship Type="http://schemas.openxmlformats.org/officeDocument/2006/relationships/hyperlink" Id="rId63" Target="https://doi.org/10.18637/jss.v100.i05" TargetMode="External" /><Relationship Type="http://schemas.openxmlformats.org/officeDocument/2006/relationships/hyperlink" Id="rId81" Target="https://doi.org/10.21105/joss.01686" TargetMode="External" /><Relationship Type="http://schemas.openxmlformats.org/officeDocument/2006/relationships/hyperlink" Id="rId61" Target="https://doi.org/10.32614/RJ-2018-017" TargetMode="External" /><Relationship Type="http://schemas.openxmlformats.org/officeDocument/2006/relationships/hyperlink" Id="rId70" Target="https://doi.org/10.3758/s13423-021-01995-w" TargetMode="External" /><Relationship Type="http://schemas.openxmlformats.org/officeDocument/2006/relationships/hyperlink" Id="rId66" Target="https://doi.org/10.5195/jmla.2017.88" TargetMode="External" /><Relationship Type="http://schemas.openxmlformats.org/officeDocument/2006/relationships/hyperlink" Id="rId74"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54" Target="https://github.com/crsh/papaja" TargetMode="External" /><Relationship Type="http://schemas.openxmlformats.org/officeDocument/2006/relationships/hyperlink" Id="rId27" Target="https://slesche.github.io/truth-db/" TargetMode="External" /><Relationship Type="http://schemas.openxmlformats.org/officeDocument/2006/relationships/hyperlink" Id="rId79" Target="https://www.R-project.org/" TargetMode="External" /><Relationship Type="http://schemas.openxmlformats.org/officeDocument/2006/relationships/hyperlink" Id="rId84"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2025-07-21T17:17:06Z</dcterms:created>
  <dcterms:modified xsi:type="dcterms:W3CDTF">2025-07-21T17:17:06Z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