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6.png" ContentType="image/png"/>
  <Override PartName="/word/media/rId50.png" ContentType="image/png"/>
  <Override PartName="/word/media/rId4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p>
      <w:pPr>
        <w:pStyle w:val="SourceCode"/>
      </w:pPr>
      <w:r>
        <w:rPr>
          <w:rStyle w:val="VerbatimChar"/>
        </w:rPr>
        <w:t xml:space="preserve">## [1] "Querying through observation table. Query times may be longer."</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 Collection (ACDC) introduced a trial-level database for data from attentional control experiments, providing standardized variable names, metadata, and analysis-ready formats that streamline cross-study comparisons</w:t>
      </w:r>
      <w:r>
        <w:t xml:space="preserve"> </w:t>
      </w:r>
      <w:r>
        <w:t xml:space="preserve">(</w:t>
      </w:r>
      <w:hyperlink w:anchor="ref-haaf2025attentional">
        <w:r>
          <w:rPr>
            <w:rStyle w:val="Hyperlink"/>
          </w:rPr>
          <w:t xml:space="preserve">Haaf et al., 2025</w:t>
        </w:r>
      </w:hyperlink>
      <w:r>
        <w:t xml:space="preserve">)</w:t>
      </w:r>
      <w:r>
        <w:t xml:space="preserve">.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w:t>
      </w:r>
      <w:r>
        <w:t xml:space="preserve"> </w:t>
      </w:r>
      <w:r>
        <w:t xml:space="preserve">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2"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w:t>
      </w:r>
      <w:r>
        <w:t xml:space="preserve"> </w:t>
      </w:r>
      <w:r>
        <w:t xml:space="preserve">(</w:t>
      </w:r>
      <w:hyperlink w:anchor="ref-haaf2025attentional">
        <w:r>
          <w:rPr>
            <w:rStyle w:val="Hyperlink"/>
          </w:rPr>
          <w:t xml:space="preserve">Haaf et al., 2025</w:t>
        </w:r>
      </w:hyperlink>
      <w:r>
        <w:t xml:space="preserve">)</w:t>
      </w:r>
      <w:r>
        <w:t xml:space="preserve">. The truth 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2"/>
    <w:bookmarkEnd w:id="23"/>
    <w:bookmarkStart w:id="36" w:name="method"/>
    <w:p>
      <w:pPr>
        <w:pStyle w:val="berschrift1"/>
      </w:pPr>
      <w:r>
        <w:t xml:space="preserve">Method</w:t>
      </w:r>
    </w:p>
    <w:bookmarkStart w:id="35"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 We also provide a landing page with detailed information on the project and a user-guide for interacting with the database (</w:t>
      </w:r>
      <w:hyperlink r:id="rId25">
        <w:r>
          <w:rPr>
            <w:rStyle w:val="Hyperlink"/>
          </w:rPr>
          <w:t xml:space="preserve">https://slesche.github.io/ted-site/</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 rather than in a single flat file, TED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Textkrper"/>
      </w:pPr>
      <w:r>
        <w:t xml:space="preserve">The</w:t>
      </w:r>
      <w:r>
        <w:t xml:space="preserve"> </w:t>
      </w:r>
      <w:r>
        <w:rPr>
          <w:iCs/>
          <w:i/>
        </w:rPr>
        <w:t xml:space="preserve">study_table</w:t>
      </w:r>
      <w:r>
        <w:t xml:space="preserve"> </w:t>
      </w:r>
      <w:r>
        <w:t xml:space="preserve">contains information about the participants, the use of a filler task, or the location of the raw data in an online repository.</w:t>
      </w:r>
      <w:r>
        <w:t xml:space="preserve"> </w:t>
      </w:r>
      <w:r>
        <w:t xml:space="preserve">The</w:t>
      </w:r>
      <w:r>
        <w:t xml:space="preserve"> </w:t>
      </w:r>
      <w:r>
        <w:rPr>
          <w:iCs/>
          <w:i/>
        </w:rPr>
        <w:t xml:space="preserve">measure_table</w:t>
      </w:r>
      <w:r>
        <w:t xml:space="preserve"> </w:t>
      </w:r>
      <w:r>
        <w:t xml:space="preserve">contains information about additional measures collected during the experiment. As there are very few additional measurements collected by multiple studies, we chose not to include raw data on additional measures. Nonetheless, researchers can use TED as a tool to filter candidate studies that collected measures of interest and then retrieve the raw data for this subset of studies later on.</w:t>
      </w:r>
      <w:r>
        <w:t xml:space="preserve"> </w:t>
      </w:r>
      <w:r>
        <w:t xml:space="preserve">The</w:t>
      </w:r>
      <w:r>
        <w:t xml:space="preserve"> </w:t>
      </w:r>
      <w:r>
        <w:rPr>
          <w:iCs/>
          <w:i/>
        </w:rPr>
        <w:t xml:space="preserve">statementset_table</w:t>
      </w:r>
      <w:r>
        <w:t xml:space="preserve"> </w:t>
      </w:r>
      <w:r>
        <w:t xml:space="preserve">and the</w:t>
      </w:r>
      <w:r>
        <w:t xml:space="preserve"> </w:t>
      </w:r>
      <w:r>
        <w:rPr>
          <w:iCs/>
          <w:i/>
        </w:rPr>
        <w:t xml:space="preserve">statement_table</w:t>
      </w:r>
      <w:r>
        <w:t xml:space="preserve"> </w:t>
      </w:r>
      <w:r>
        <w:t xml:space="preserve">contain information about the publication from which a set of statements was retrieved and the text and accuracy of a statement, respectively.</w:t>
      </w:r>
      <w:r>
        <w:t xml:space="preserve"> </w:t>
      </w:r>
      <w:r>
        <w:t xml:space="preserve">The</w:t>
      </w:r>
      <w:r>
        <w:t xml:space="preserve"> </w:t>
      </w:r>
      <w:r>
        <w:rPr>
          <w:iCs/>
          <w:i/>
        </w:rPr>
        <w:t xml:space="preserve">procedure_table</w:t>
      </w:r>
      <w:r>
        <w:t xml:space="preserve"> </w:t>
      </w:r>
      <w:r>
        <w:t xml:space="preserve">contains information about the procedure of the experiment. The most common variables manipulated in truth effect studies, such as the type of repetition, delay between exposure and judgment phase, or warning about the truth effect, can be encoded here.</w:t>
      </w:r>
      <w:r>
        <w:t xml:space="preserve"> </w:t>
      </w:r>
      <w:r>
        <w:t xml:space="preserve">All other manipulations can be encoded in the</w:t>
      </w:r>
      <w:r>
        <w:t xml:space="preserve"> </w:t>
      </w:r>
      <w:r>
        <w:rPr>
          <w:iCs/>
          <w:i/>
        </w:rPr>
        <w:t xml:space="preserve">between_table</w:t>
      </w:r>
      <w:r>
        <w:t xml:space="preserve"> </w:t>
      </w:r>
      <w:r>
        <w:t xml:space="preserve">or</w:t>
      </w:r>
      <w:r>
        <w:t xml:space="preserve"> </w:t>
      </w:r>
      <w:r>
        <w:rPr>
          <w:iCs/>
          <w:i/>
        </w:rPr>
        <w:t xml:space="preserve">within_table</w:t>
      </w:r>
      <w:r>
        <w:t xml:space="preserve">.</w:t>
      </w:r>
    </w:p>
    <w:p>
      <w:pPr>
        <w:pStyle w:val="CaptionedFigure"/>
      </w:pPr>
      <w:r>
        <w:drawing>
          <wp:inline>
            <wp:extent cx="5969000" cy="4314146"/>
            <wp:effectExtent b="0" l="0" r="0" t="0"/>
            <wp:docPr descr="Figure 1: Overview of TED Structure" title="" id="27" name="Picture"/>
            <a:graphic>
              <a:graphicData uri="http://schemas.openxmlformats.org/drawingml/2006/picture">
                <pic:pic>
                  <pic:nvPicPr>
                    <pic:cNvPr descr="./images/ted-overview.png" id="28" name="Picture"/>
                    <pic:cNvPicPr>
                      <a:picLocks noChangeArrowheads="1" noChangeAspect="1"/>
                    </pic:cNvPicPr>
                  </pic:nvPicPr>
                  <pic:blipFill>
                    <a:blip r:embed="rId26"/>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9" w:name="fig:database-overview-plot"/>
      <w:bookmarkEnd w:id="29"/>
      <w:r>
        <w:rPr>
          <w:iCs/>
          <w:i/>
        </w:rPr>
        <w:t xml:space="preserve">Figure</w:t>
      </w:r>
      <w:r>
        <w:t xml:space="preserve"> </w:t>
      </w:r>
      <w:r>
        <w:t xml:space="preserve">1. Overview of TED Structure</w:t>
      </w:r>
    </w:p>
    <w:p>
      <w:pPr>
        <w:pStyle w:val="Textkrper"/>
      </w:pPr>
      <w:r>
        <w:t xml:space="preserve">This relational approach provides a clear and modular organization of data sources, linking tables through unique identifier variables. We argue that while the use of a relational database adds some complexity, it also introduces an intuitive naming system and structure for variables of interest. Importantly, our goal is that variable names and their table location are the only knowledge that users need to have in order to interact with the database. To this end, we have developed tools that require little to no understanding of the database structure or SQL in order to submit and extract data from the database.</w:t>
      </w:r>
    </w:p>
    <w:bookmarkStart w:id="31" w:name="data-submission"/>
    <w:p>
      <w:pPr>
        <w:pStyle w:val="berschrift3"/>
      </w:pPr>
      <w:r>
        <w:t xml:space="preserve">Data Submission.</w:t>
      </w:r>
    </w:p>
    <w:p>
      <w:pPr>
        <w:pStyle w:val="FirstParagraph"/>
      </w:pPr>
      <w:r>
        <w:t xml:space="preserve">To ease the process of submitting data to the database, we built a website (</w:t>
      </w:r>
      <w:hyperlink r:id="rId30">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31"/>
    <w:bookmarkStart w:id="32" w:name="data-extraction"/>
    <w:p>
      <w:pPr>
        <w:pStyle w:val="berschrift3"/>
      </w:pPr>
      <w:r>
        <w:t xml:space="preserve">Data Extraction.</w:t>
      </w:r>
    </w:p>
    <w:p>
      <w:pPr>
        <w:pStyle w:val="FirstParagraph"/>
      </w:pPr>
      <w:r>
        <w:t xml:space="preserve">We extended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"n_participants"</w:t>
      </w:r>
      <w:r>
        <w:rPr>
          <w:rStyle w:val="NormalTok"/>
        </w:rPr>
        <w:t xml:space="preserve">,</w:t>
      </w:r>
      <w:r>
        <w:br/>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DecValTok"/>
        </w:rPr>
        <w:t xml:space="preserve">200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StringTok"/>
        </w:rPr>
        <w:t xml:space="preserve">"test"</w:t>
      </w:r>
      <w:r>
        <w:br/>
      </w:r>
      <w:r>
        <w:rPr>
          <w:rStyle w:val="NormalTok"/>
        </w:rPr>
        <w:t xml:space="preserve">  )</w:t>
      </w:r>
      <w:r>
        <w:br/>
      </w:r>
      <w:r>
        <w:br/>
      </w:r>
      <w:r>
        <w:rPr>
          <w:rStyle w:val="NormalTok"/>
        </w:rPr>
        <w:t xml:space="preserve">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conn, </w:t>
      </w:r>
      <w:r>
        <w:br/>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StringTok"/>
        </w:rPr>
        <w:t xml:space="preserve">"default"</w:t>
      </w:r>
      <w:r>
        <w:rPr>
          <w:rStyle w:val="NormalTok"/>
        </w:rPr>
        <w:t xml:space="preserve">, </w:t>
      </w:r>
      <w:r>
        <w:rPr>
          <w:rStyle w:val="CommentTok"/>
        </w:rPr>
        <w:t xml:space="preserve"># Returns all variables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"observation 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2"/>
    <w:bookmarkStart w:id="33"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w:t>
      </w:r>
      <w:r>
        <w:t xml:space="preserve"> </w:t>
      </w:r>
      <w:r>
        <w:t xml:space="preserve">Henderson et al. (</w:t>
      </w:r>
      <w:hyperlink w:anchor="X49ac4e5bce0df09140f68aadccf2f472a43a687">
        <w:r>
          <w:rPr>
            <w:rStyle w:val="Hyperlink"/>
          </w:rPr>
          <w:t xml:space="preserve">2022</w:t>
        </w:r>
      </w:hyperlink>
      <w:r>
        <w:t xml:space="preserve">)</w:t>
      </w:r>
      <w:r>
        <w:t xml:space="preserve">, who identified 17 publications with accessible raw data. Additionally, we contacted colleagues directly to request openly available datasets, further expanding the scope of included studies and conducted a literature search to find open data from the past 3 years.</w:t>
      </w:r>
    </w:p>
    <w:bookmarkEnd w:id="33"/>
    <w:bookmarkStart w:id="34" w:name="data-analysis"/>
    <w:p>
      <w:pPr>
        <w:pStyle w:val="berschrift3"/>
      </w:pPr>
      <w:r>
        <w:t xml:space="preserve">Data Analysis.</w:t>
      </w:r>
    </w:p>
    <w:p>
      <w:pPr>
        <w:pStyle w:val="FirstParagraph"/>
      </w:pPr>
      <w:r>
        <w:t xml:space="preserve">To illustrate the analytical potential of TED, we conducted a bayesian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4"/>
    <w:bookmarkEnd w:id="35"/>
    <w:bookmarkEnd w:id="36"/>
    <w:bookmarkStart w:id="56"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7"/>
      </w:r>
      <w:r>
        <w:t xml:space="preserve">.</w:t>
      </w:r>
    </w:p>
    <w:p>
      <w:pPr>
        <w:pStyle w:val="Textkrper"/>
      </w:pPr>
      <w:r>
        <w:t xml:space="preserve">.</w:t>
      </w:r>
    </w:p>
    <w:p>
      <w:pPr>
        <w:pStyle w:val="Textkrper"/>
      </w:pPr>
      <w:r>
        <w:t xml:space="preserve">In the current version of the manuscript, we included 56 studies from 27 publications, spanning 12002 participants contributing 778741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218.04 participants (</w:t>
      </w:r>
      <m:oMath>
        <m:sSub>
          <m:e>
            <m:r>
              <m:t>μ</m:t>
            </m:r>
          </m:e>
          <m:sub>
            <m:r>
              <m:t>a</m:t>
            </m:r>
            <m:r>
              <m:t>g</m:t>
            </m:r>
            <m:r>
              <m:t>e</m:t>
            </m:r>
          </m:sub>
        </m:sSub>
        <m:r>
          <m:rPr>
            <m:sty m:val="p"/>
          </m:rPr>
          <m:t>=</m:t>
        </m:r>
      </m:oMath>
      <w:r>
        <w:t xml:space="preserve"> </w:t>
      </w:r>
      <w:r>
        <w:t xml:space="preserve">33.17,</w:t>
      </w:r>
      <m:oMath>
        <m:sSub>
          <m:e>
            <m:r>
              <m:t>σ</m:t>
            </m:r>
          </m:e>
          <m:sub>
            <m:r>
              <m:t>a</m:t>
            </m:r>
            <m:r>
              <m:t>g</m:t>
            </m:r>
            <m:r>
              <m:t>e</m:t>
            </m:r>
          </m:sub>
        </m:sSub>
        <m:r>
          <m:rPr>
            <m:sty m:val="p"/>
          </m:rPr>
          <m:t>=</m:t>
        </m:r>
      </m:oMath>
      <w:r>
        <w:t xml:space="preserve"> </w:t>
      </w:r>
      <w:r>
        <w:t xml:space="preserve">7.22).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9" name="Picture"/>
            <a:graphic>
              <a:graphicData uri="http://schemas.openxmlformats.org/drawingml/2006/picture">
                <pic:pic>
                  <pic:nvPicPr>
                    <pic:cNvPr descr="images/study_overview_plot.png" id="40" name="Picture"/>
                    <pic:cNvPicPr>
                      <a:picLocks noChangeArrowheads="1" noChangeAspect="1"/>
                    </pic:cNvPicPr>
                  </pic:nvPicPr>
                  <pic:blipFill>
                    <a:blip r:embed="rId38"/>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1" w:name="fig:study-overview-plot"/>
      <w:bookmarkEnd w:id="41"/>
      <w:r>
        <w:rPr>
          <w:iCs/>
          <w:i/>
        </w:rPr>
        <w:t xml:space="preserve">Figure</w:t>
      </w:r>
      <w:r>
        <w:t xml:space="preserve"> </w:t>
      </w:r>
      <w:r>
        <w:t xml:space="preserve">2. Overview of Study-related variables in TED</w:t>
      </w:r>
    </w:p>
    <w:p>
      <w:pPr>
        <w:pStyle w:val="Textkrper"/>
      </w:pPr>
      <w:r>
        <w:t xml:space="preserve">On average, studies employed 62.90 (</w:t>
      </w:r>
      <m:oMath>
        <m:r>
          <m:t>S</m:t>
        </m:r>
        <m:r>
          <m:t>D</m:t>
        </m:r>
        <m:r>
          <m:rPr>
            <m:sty m:val="p"/>
          </m:rPr>
          <m:t>=</m:t>
        </m:r>
      </m:oMath>
      <w:r>
        <w:t xml:space="preserve"> </w:t>
      </w:r>
      <w:r>
        <w:t xml:space="preserve">39.97) statements per</w:t>
      </w:r>
      <w:r>
        <w:t xml:space="preserve"> </w:t>
      </w:r>
      <w:r>
        <w:t xml:space="preserve">participant in the judgment session and in 88.64 % of procedure settings exactly 50% of statements were repeated. Of 88 judgment phases, 75.00 % were conducted on the same day as the exposure phase. The average delay between exposure and judgment phase if both were conducted on the same day was 3.77 minutes. The average delay between exposure and judgment phase, given the judgment phase was conducted at least one day after the exposure phase, was 7.45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871732" cy="3302849"/>
            <wp:effectExtent b="0" l="0" r="0" t="0"/>
            <wp:docPr descr="Figure 3: Overview of Procedure-related variables in TED" title="" id="43" name="Picture"/>
            <a:graphic>
              <a:graphicData uri="http://schemas.openxmlformats.org/drawingml/2006/picture">
                <pic:pic>
                  <pic:nvPicPr>
                    <pic:cNvPr descr="images/procedure_overview_plot.png" id="44" name="Picture"/>
                    <pic:cNvPicPr>
                      <a:picLocks noChangeArrowheads="1" noChangeAspect="1"/>
                    </pic:cNvPicPr>
                  </pic:nvPicPr>
                  <pic:blipFill>
                    <a:blip r:embed="rId42"/>
                    <a:stretch>
                      <a:fillRect/>
                    </a:stretch>
                  </pic:blipFill>
                  <pic:spPr bwMode="auto">
                    <a:xfrm>
                      <a:off x="0" y="0"/>
                      <a:ext cx="5871732" cy="3302849"/>
                    </a:xfrm>
                    <a:prstGeom prst="rect">
                      <a:avLst/>
                    </a:prstGeom>
                    <a:noFill/>
                    <a:ln w="9525">
                      <a:noFill/>
                      <a:headEnd/>
                      <a:tailEnd/>
                    </a:ln>
                  </pic:spPr>
                </pic:pic>
              </a:graphicData>
            </a:graphic>
          </wp:inline>
        </w:drawing>
      </w:r>
    </w:p>
    <w:p>
      <w:pPr>
        <w:pStyle w:val="ImageCaption"/>
      </w:pPr>
      <w:bookmarkStart w:id="45" w:name="fig:procedure-overview-plot"/>
      <w:bookmarkEnd w:id="45"/>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53 out of 56 studies. Data on the accuracy of a statement is available for 359113 (52.41 %) of trials, the exact statement text is available for 306387 (44.72 %) of trials, and response times are available for 111077 (16.21 %) of trials.</w:t>
      </w:r>
    </w:p>
    <w:bookmarkStart w:id="55" w:name="multilevel-modelling"/>
    <w:p>
      <w:pPr>
        <w:pStyle w:val="berschrift2"/>
      </w:pPr>
      <w:r>
        <w:t xml:space="preserve">Multilevel Modelling</w:t>
      </w:r>
    </w:p>
    <w:p>
      <w:pPr>
        <w:pStyle w:val="FirstParagraph"/>
      </w:pPr>
      <w:r>
        <w:t xml:space="preserve">To illustrate the benefits of our large collection of trial-level data, we applied Bayesian multilevel models predicting truth judgments with repetition as a fixed effect and random intercepts and slopes at the subject, statement, and procedure levels. We chose to use the procedure level instead of the study level as meaningful study characteristics regarding the truth effect are captured in this part of the data. For example, the same study may have multiple judgment sessions, modify the percentage of repeated stimuli, or warn some participants about the truth effect. These different procedures will then also receive different procedure identifiers. The present analysis allows us to estimate the variance in the truth effect on three levels simultaneously: variance introduced through experimental manipulations (procedure_id), variance introduced through statements (statement_id), and variance due to individual differences (subject).</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 The repetition status was mean-centered to aid model estimation, a new statement was coded -0.5 and a repeated statement 0.5.</w:t>
      </w:r>
    </w:p>
    <w:p>
      <w:pPr>
        <w:pStyle w:val="Textkrper"/>
      </w:pPr>
      <w:r>
        <w:t xml:space="preserve">We ran all models using 4 chains with 3000 iterations per chain, 1000 of which were discarded as warmup-samples, leading to a total of 8000 posterior samples. There were no divergent transitions, no</w:t>
      </w:r>
      <w:r>
        <w:t xml:space="preserve"> </w:t>
      </w:r>
      <m:oMath>
        <m:acc>
          <m:accPr>
            <m:chr m:val="̂"/>
          </m:accPr>
          <m:e>
            <m:r>
              <m:t>R</m:t>
            </m:r>
          </m:e>
        </m:acc>
        <m:r>
          <m:rPr>
            <m:sty m:val="p"/>
          </m:rPr>
          <m:t>&gt;</m:t>
        </m:r>
        <m:r>
          <m:t>1.05</m:t>
        </m:r>
      </m:oMath>
      <w:r>
        <w:t xml:space="preserve">, and visual inspection confirmed that the chains mixed well. We used weakly informative priors for the intercept, fixed effect, and standard deviations for all models.</w:t>
      </w:r>
    </w:p>
    <w:p>
      <w:pPr>
        <w:pStyle w:val="Textkrper"/>
      </w:pPr>
      <m:oMathPara>
        <m:oMathParaPr>
          <m:jc m:val="center"/>
        </m:oMathParaPr>
        <m:oMath>
          <m:r>
            <m:t>I</m:t>
          </m:r>
          <m:r>
            <m:t>n</m:t>
          </m:r>
          <m:r>
            <m:t>t</m:t>
          </m:r>
          <m:r>
            <m:t>e</m:t>
          </m:r>
          <m:r>
            <m:t>r</m:t>
          </m:r>
          <m:r>
            <m:t>c</m:t>
          </m:r>
          <m:r>
            <m:t>e</m:t>
          </m:r>
          <m:r>
            <m:t>p</m:t>
          </m:r>
          <m:r>
            <m:t>t</m:t>
          </m:r>
          <m:r>
            <m:rPr>
              <m:sty m:val="p"/>
            </m:rPr>
            <m:t>∼</m:t>
          </m:r>
          <m:r>
            <m:t>N</m:t>
          </m:r>
          <m:r>
            <m:t>o</m:t>
          </m:r>
          <m:r>
            <m:t>r</m:t>
          </m:r>
          <m:r>
            <m:t>m</m:t>
          </m:r>
          <m:r>
            <m:t>a</m:t>
          </m:r>
          <m:r>
            <m:t>l</m:t>
          </m:r>
          <m:d>
            <m:dPr>
              <m:begChr m:val="("/>
              <m:endChr m:val=")"/>
              <m:sepChr m:val=""/>
              <m:grow/>
            </m:dPr>
            <m:e>
              <m:r>
                <m:t>0.5</m:t>
              </m:r>
              <m:r>
                <m:rPr>
                  <m:sty m:val="p"/>
                </m:rPr>
                <m:t>,</m:t>
              </m:r>
              <m:r>
                <m:t>0.5</m:t>
              </m:r>
            </m:e>
          </m:d>
        </m:oMath>
      </m:oMathPara>
    </w:p>
    <w:p>
      <w:pPr>
        <w:pStyle w:val="FirstParagraph"/>
      </w:pPr>
      <m:oMathPara>
        <m:oMathParaPr>
          <m:jc m:val="center"/>
        </m:oMathParaPr>
        <m:oMath>
          <m:r>
            <m:t>b</m:t>
          </m:r>
          <m:r>
            <m:rPr>
              <m:sty m:val="p"/>
            </m:rPr>
            <m:t>∼</m:t>
          </m:r>
          <m:r>
            <m:t>N</m:t>
          </m:r>
          <m:r>
            <m:t>o</m:t>
          </m:r>
          <m:r>
            <m:t>r</m:t>
          </m:r>
          <m:r>
            <m:t>m</m:t>
          </m:r>
          <m:r>
            <m:t>a</m:t>
          </m:r>
          <m:r>
            <m:t>l</m:t>
          </m:r>
          <m:d>
            <m:dPr>
              <m:begChr m:val="("/>
              <m:endChr m:val=")"/>
              <m:sepChr m:val=""/>
              <m:grow/>
            </m:dPr>
            <m:e>
              <m:r>
                <m:t>0</m:t>
              </m:r>
              <m:r>
                <m:rPr>
                  <m:sty m:val="p"/>
                </m:rPr>
                <m:t>,</m:t>
              </m:r>
              <m:r>
                <m:t>1</m:t>
              </m:r>
            </m:e>
          </m:d>
        </m:oMath>
      </m:oMathPara>
    </w:p>
    <w:p>
      <w:pPr>
        <w:pStyle w:val="FirstParagraph"/>
      </w:pPr>
      <m:oMathPara>
        <m:oMathParaPr>
          <m:jc m:val="center"/>
        </m:oMathParaPr>
        <m:oMath>
          <m:r>
            <m:t>σ</m:t>
          </m:r>
          <m:r>
            <m:rPr>
              <m:sty m:val="p"/>
            </m:rPr>
            <m:t>∼</m:t>
          </m:r>
          <m:r>
            <m:t>G</m:t>
          </m:r>
          <m:r>
            <m:t>a</m:t>
          </m:r>
          <m:r>
            <m:t>m</m:t>
          </m:r>
          <m:r>
            <m:t>m</m:t>
          </m:r>
          <m:r>
            <m:t>a</m:t>
          </m:r>
          <m:d>
            <m:dPr>
              <m:begChr m:val="("/>
              <m:endChr m:val=")"/>
              <m:sepChr m:val=""/>
              <m:grow/>
            </m:dPr>
            <m:e>
              <m:r>
                <m:t>1</m:t>
              </m:r>
              <m:r>
                <m:rPr>
                  <m:sty m:val="p"/>
                </m:rPr>
                <m:t>,</m:t>
              </m:r>
              <m:r>
                <m:t>4</m:t>
              </m:r>
            </m:e>
          </m:d>
        </m:oMath>
      </m:oMathPara>
    </w:p>
    <w:bookmarkStart w:id="47"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w:t>
      </w:r>
      <w:r>
        <w:t xml:space="preserve"> </w:t>
      </w:r>
      <w:r>
        <w:t xml:space="preserve">1</w:t>
      </w:r>
      <w:r>
        <w:t xml:space="preserve"> </w:t>
      </w:r>
      <w:r>
        <w:t xml:space="preserve">provides a summary of parameter estimates. As expected, the model indicated a significant fixed effect of repetition (</w:t>
      </w:r>
      <m:oMath>
        <m:r>
          <m:t>O</m:t>
        </m:r>
        <m:r>
          <m:t>R</m:t>
        </m:r>
        <m:r>
          <m:rPr>
            <m:sty m:val="p"/>
          </m:rPr>
          <m:t>=</m:t>
        </m:r>
      </m:oMath>
      <w:r>
        <w:t xml:space="preserve"> </w:t>
      </w:r>
      <w:r>
        <w:t xml:space="preserve">1.79,</w:t>
      </w:r>
      <w:r>
        <w:t xml:space="preserve"> </w:t>
      </w:r>
      <m:oMath>
        <m:r>
          <m:t>95</m:t>
        </m:r>
        <m:r>
          <m:rPr>
            <m:sty m:val="p"/>
          </m:rPr>
          <m:t>%</m:t>
        </m:r>
        <m:r>
          <m:t> </m:t>
        </m:r>
        <m:r>
          <m:t>C</m:t>
        </m:r>
        <m:r>
          <m:t>r</m:t>
        </m:r>
        <m:r>
          <m:t>I</m:t>
        </m:r>
        <m:r>
          <m:rPr>
            <m:sty m:val="p"/>
          </m:rPr>
          <m:t>=</m:t>
        </m:r>
      </m:oMath>
      <w:r>
        <w:t xml:space="preserve"> </w:t>
      </w:r>
      <w:r>
        <w:t xml:space="preserve">[1.51, 2.12]). Notably, the standard deviation of the random slope of repetition was highest at the subject level (</w:t>
      </w:r>
      <m:oMath>
        <m:r>
          <m:t>σ</m:t>
        </m:r>
        <m:r>
          <m:rPr>
            <m:sty m:val="p"/>
          </m:rPr>
          <m:t>=</m:t>
        </m:r>
      </m:oMath>
      <w:r>
        <w:t xml:space="preserve"> </w:t>
      </w:r>
      <w:r>
        <w:t xml:space="preserve">0.72,</w:t>
      </w:r>
      <w:r>
        <w:t xml:space="preserve"> </w:t>
      </w:r>
      <m:oMath>
        <m:r>
          <m:t>95</m:t>
        </m:r>
        <m:r>
          <m:rPr>
            <m:sty m:val="p"/>
          </m:rPr>
          <m:t>%</m:t>
        </m:r>
        <m:r>
          <m:t> </m:t>
        </m:r>
        <m:r>
          <m:t>C</m:t>
        </m:r>
        <m:r>
          <m:t>r</m:t>
        </m:r>
        <m:r>
          <m:t>I</m:t>
        </m:r>
        <m:r>
          <m:rPr>
            <m:sty m:val="p"/>
          </m:rPr>
          <m:t>=</m:t>
        </m:r>
      </m:oMath>
      <w:r>
        <w:t xml:space="preserve"> </w:t>
      </w:r>
      <w:r>
        <w:t xml:space="preserve">[0.68, 0.77]), followed by the procedure level (</w:t>
      </w:r>
      <m:oMath>
        <m:r>
          <m:t>σ</m:t>
        </m:r>
        <m:r>
          <m:rPr>
            <m:sty m:val="p"/>
          </m:rPr>
          <m:t>=</m:t>
        </m:r>
      </m:oMath>
      <w:r>
        <w:t xml:space="preserve"> </w:t>
      </w:r>
      <w:r>
        <w:t xml:space="preserve">0.28,</w:t>
      </w:r>
      <w:r>
        <w:t xml:space="preserve"> </w:t>
      </w:r>
      <m:oMath>
        <m:r>
          <m:t>95</m:t>
        </m:r>
        <m:r>
          <m:rPr>
            <m:sty m:val="p"/>
          </m:rPr>
          <m:t>%</m:t>
        </m:r>
        <m:r>
          <m:t> </m:t>
        </m:r>
        <m:r>
          <m:t>C</m:t>
        </m:r>
        <m:r>
          <m:t>r</m:t>
        </m:r>
        <m:r>
          <m:t>I</m:t>
        </m:r>
        <m:r>
          <m:rPr>
            <m:sty m:val="p"/>
          </m:rPr>
          <m:t>=</m:t>
        </m:r>
      </m:oMath>
      <w:r>
        <w:t xml:space="preserve"> </w:t>
      </w:r>
      <w:r>
        <w:t xml:space="preserve">[0.18, 0.44]), and the statement level (</w:t>
      </w:r>
      <m:oMath>
        <m:r>
          <m:t>σ</m:t>
        </m:r>
        <m:r>
          <m:rPr>
            <m:sty m:val="p"/>
          </m:rPr>
          <m:t>=</m:t>
        </m:r>
      </m:oMath>
      <w:r>
        <w:t xml:space="preserve"> </w:t>
      </w:r>
      <w:r>
        <w:t xml:space="preserve">0.13,</w:t>
      </w:r>
      <w:r>
        <w:t xml:space="preserve"> </w:t>
      </w:r>
      <m:oMath>
        <m:r>
          <m:t>95</m:t>
        </m:r>
        <m:r>
          <m:rPr>
            <m:sty m:val="p"/>
          </m:rPr>
          <m:t>%</m:t>
        </m:r>
        <m:r>
          <m:t> </m:t>
        </m:r>
        <m:r>
          <m:t>C</m:t>
        </m:r>
        <m:r>
          <m:t>r</m:t>
        </m:r>
        <m:r>
          <m:t>I</m:t>
        </m:r>
        <m:r>
          <m:rPr>
            <m:sty m:val="p"/>
          </m:rPr>
          <m:t>=</m:t>
        </m:r>
      </m:oMath>
      <w:r>
        <w:t xml:space="preserve"> </w:t>
      </w:r>
      <w:r>
        <w:t xml:space="preserve">[0.03, 0.19]).</w:t>
      </w:r>
    </w:p>
    <w:p>
      <w:pPr>
        <w:pStyle w:val="TableCaption"/>
      </w:pPr>
      <w:bookmarkStart w:id="46" w:name="tab:dichotomous-model-table"/>
      <w:bookmarkEnd w:id="46"/>
      <w:r>
        <w:t xml:space="preserve">Table 1</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Dichotomous</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1 Parameter Estimates of the Dichotomous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0.31</w:t>
            </w:r>
          </w:p>
        </w:tc>
        <w:tc>
          <w:tcPr/>
          <w:p>
            <w:pPr>
              <w:pStyle w:val="Compact"/>
              <w:jc w:val="left"/>
            </w:pPr>
            <w:r>
              <w:t xml:space="preserve">0.17</w:t>
            </w:r>
          </w:p>
        </w:tc>
        <w:tc>
          <w:tcPr/>
          <w:p>
            <w:pPr>
              <w:pStyle w:val="Compact"/>
              <w:jc w:val="left"/>
            </w:pPr>
            <w:r>
              <w:t xml:space="preserve">0.44</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0.58</w:t>
            </w:r>
          </w:p>
        </w:tc>
        <w:tc>
          <w:tcPr/>
          <w:p>
            <w:pPr>
              <w:pStyle w:val="Compact"/>
              <w:jc w:val="left"/>
            </w:pPr>
            <w:r>
              <w:t xml:space="preserve">0.41</w:t>
            </w:r>
          </w:p>
        </w:tc>
        <w:tc>
          <w:tcPr/>
          <w:p>
            <w:pPr>
              <w:pStyle w:val="Compact"/>
              <w:jc w:val="left"/>
            </w:pPr>
            <w:r>
              <w:t xml:space="preserve">0.75</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Intercept (sd)</w:t>
            </w:r>
          </w:p>
        </w:tc>
        <w:tc>
          <w:tcPr/>
          <w:p>
            <w:pPr>
              <w:pStyle w:val="Compact"/>
              <w:jc w:val="left"/>
            </w:pPr>
            <w:r>
              <w:t xml:space="preserve">0.20</w:t>
            </w:r>
          </w:p>
        </w:tc>
        <w:tc>
          <w:tcPr/>
          <w:p>
            <w:pPr>
              <w:pStyle w:val="Compact"/>
              <w:jc w:val="left"/>
            </w:pPr>
            <w:r>
              <w:t xml:space="preserve">0.11</w:t>
            </w:r>
          </w:p>
        </w:tc>
        <w:tc>
          <w:tcPr/>
          <w:p>
            <w:pPr>
              <w:pStyle w:val="Compact"/>
              <w:jc w:val="left"/>
            </w:pPr>
            <w:r>
              <w:t xml:space="preserve">0.32</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repeated (sd)</w:t>
            </w:r>
          </w:p>
        </w:tc>
        <w:tc>
          <w:tcPr/>
          <w:p>
            <w:pPr>
              <w:pStyle w:val="Compact"/>
              <w:jc w:val="left"/>
            </w:pPr>
            <w:r>
              <w:t xml:space="preserve">0.28</w:t>
            </w:r>
          </w:p>
        </w:tc>
        <w:tc>
          <w:tcPr/>
          <w:p>
            <w:pPr>
              <w:pStyle w:val="Compact"/>
              <w:jc w:val="left"/>
            </w:pPr>
            <w:r>
              <w:t xml:space="preserve">0.18</w:t>
            </w:r>
          </w:p>
        </w:tc>
        <w:tc>
          <w:tcPr/>
          <w:p>
            <w:pPr>
              <w:pStyle w:val="Compact"/>
              <w:jc w:val="left"/>
            </w:pPr>
            <w:r>
              <w:t xml:space="preserve">0.44</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0.88</w:t>
            </w:r>
          </w:p>
        </w:tc>
        <w:tc>
          <w:tcPr/>
          <w:p>
            <w:pPr>
              <w:pStyle w:val="Compact"/>
              <w:jc w:val="left"/>
            </w:pPr>
            <w:r>
              <w:t xml:space="preserve">0.84</w:t>
            </w:r>
          </w:p>
        </w:tc>
        <w:tc>
          <w:tcPr/>
          <w:p>
            <w:pPr>
              <w:pStyle w:val="Compact"/>
              <w:jc w:val="left"/>
            </w:pPr>
            <w:r>
              <w:t xml:space="preserve">0.93</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0.19</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0.69</w:t>
            </w:r>
          </w:p>
        </w:tc>
        <w:tc>
          <w:tcPr/>
          <w:p>
            <w:pPr>
              <w:pStyle w:val="Compact"/>
              <w:jc w:val="left"/>
            </w:pPr>
            <w:r>
              <w:t xml:space="preserve">0.66</w:t>
            </w:r>
          </w:p>
        </w:tc>
        <w:tc>
          <w:tcPr/>
          <w:p>
            <w:pPr>
              <w:pStyle w:val="Compact"/>
              <w:jc w:val="left"/>
            </w:pPr>
            <w:r>
              <w:t xml:space="preserve">0.72</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0.72</w:t>
            </w:r>
          </w:p>
        </w:tc>
        <w:tc>
          <w:tcPr/>
          <w:p>
            <w:pPr>
              <w:pStyle w:val="Compact"/>
              <w:jc w:val="left"/>
            </w:pPr>
            <w:r>
              <w:t xml:space="preserve">0.68</w:t>
            </w:r>
          </w:p>
        </w:tc>
        <w:tc>
          <w:tcPr/>
          <w:p>
            <w:pPr>
              <w:pStyle w:val="Compact"/>
              <w:jc w:val="left"/>
            </w:pPr>
            <w:r>
              <w:t xml:space="preserve">0.77</w:t>
            </w:r>
          </w:p>
        </w:tc>
      </w:tr>
    </w:tbl>
    <w:p>
      <w:pPr>
        <w:pStyle w:val="table-note"/>
      </w:pPr>
      <w:r>
        <w:rPr>
          <w:iCs/>
          <w:i/>
        </w:rPr>
        <w:t xml:space="preserve">Note.</w:t>
      </w:r>
      <w:r>
        <w:t xml:space="preserve"> </w:t>
      </w:r>
      <w:r>
        <w:t xml:space="preserve">N = 112399; N Procedure = 14; N Subjects = 1576; N Statements = 997; l_95_CrI refers to the lower boundary of the 95% credible interval, u_95_CrI refers to the upper boundary</w:t>
      </w:r>
    </w:p>
    <w:p>
      <w:pPr>
        <w:pStyle w:val="Textkrper"/>
      </w:pPr>
      <w:r>
        <w:t xml:space="preserve"> </w:t>
      </w:r>
    </w:p>
    <w:bookmarkEnd w:id="47"/>
    <w:bookmarkStart w:id="54" w:name="scale-truth-judgments"/>
    <w:p>
      <w:pPr>
        <w:pStyle w:val="berschrift3"/>
      </w:pPr>
      <w:r>
        <w:t xml:space="preserve">Scale Truth Judgments.</w:t>
      </w:r>
    </w:p>
    <w:p>
      <w:pPr>
        <w:pStyle w:val="FirstParagraph"/>
      </w:pPr>
      <w:r>
        <w:t xml:space="preserve">The analysis was based on 572775 trials nested within 8309 subjects, 2872 statements, and 65 procedures.</w:t>
      </w:r>
    </w:p>
    <w:p>
      <w:pPr>
        <w:pStyle w:val="Textkrper"/>
      </w:pPr>
      <w:r>
        <w:t xml:space="preserve">Table</w:t>
      </w:r>
      <w:r>
        <w:t xml:space="preserve"> </w:t>
      </w:r>
      <w:r>
        <w:t xml:space="preserve">2</w:t>
      </w:r>
      <w:r>
        <w:t xml:space="preserve"> </w:t>
      </w:r>
      <w:r>
        <w:t xml:space="preserve">provides a summary of parameter estimates. As expected, the model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r</m:t>
        </m:r>
        <m:r>
          <m:t>I</m:t>
        </m:r>
        <m:r>
          <m:rPr>
            <m:sty m:val="p"/>
          </m:rPr>
          <m:t>=</m:t>
        </m:r>
      </m:oMath>
      <w:r>
        <w:t xml:space="preserve"> </w:t>
      </w:r>
      <w:r>
        <w:t xml:space="preserve">[0.07, 0.10]). Again, the standard deviation of the random slope of repetition was highest at the subject level (</w:t>
      </w:r>
      <m:oMath>
        <m:r>
          <m:t>σ</m:t>
        </m:r>
        <m:r>
          <m:rPr>
            <m:sty m:val="p"/>
          </m:rPr>
          <m:t>=</m:t>
        </m:r>
      </m:oMath>
      <w:r>
        <w:t xml:space="preserve"> </w:t>
      </w:r>
      <w:r>
        <w:t xml:space="preserve">0.10,</w:t>
      </w:r>
      <w:r>
        <w:t xml:space="preserve"> </w:t>
      </w:r>
      <m:oMath>
        <m:r>
          <m:t>95</m:t>
        </m:r>
        <m:r>
          <m:rPr>
            <m:sty m:val="p"/>
          </m:rPr>
          <m:t>%</m:t>
        </m:r>
        <m:r>
          <m:t> </m:t>
        </m:r>
        <m:r>
          <m:t>C</m:t>
        </m:r>
        <m:r>
          <m:t>r</m:t>
        </m:r>
        <m:r>
          <m:t>I</m:t>
        </m:r>
        <m:r>
          <m:rPr>
            <m:sty m:val="p"/>
          </m:rPr>
          <m:t>=</m:t>
        </m:r>
      </m:oMath>
      <w:r>
        <w:t xml:space="preserve"> </w:t>
      </w:r>
      <w:r>
        <w:t xml:space="preserve">[0.10, 0.10]), followed by the procedure level (</w:t>
      </w:r>
      <m:oMath>
        <m:r>
          <m:t>σ</m:t>
        </m:r>
        <m:r>
          <m:rPr>
            <m:sty m:val="p"/>
          </m:rPr>
          <m:t>=</m:t>
        </m:r>
      </m:oMath>
      <w:r>
        <w:t xml:space="preserve"> </w:t>
      </w:r>
      <w:r>
        <w:t xml:space="preserve">0.07,</w:t>
      </w:r>
      <w:r>
        <w:t xml:space="preserve"> </w:t>
      </w:r>
      <m:oMath>
        <m:r>
          <m:t>95</m:t>
        </m:r>
        <m:r>
          <m:rPr>
            <m:sty m:val="p"/>
          </m:rPr>
          <m:t>%</m:t>
        </m:r>
        <m:r>
          <m:t> </m:t>
        </m:r>
        <m:r>
          <m:t>C</m:t>
        </m:r>
        <m:r>
          <m:t>r</m:t>
        </m:r>
        <m:r>
          <m:t>I</m:t>
        </m:r>
        <m:r>
          <m:rPr>
            <m:sty m:val="p"/>
          </m:rPr>
          <m:t>=</m:t>
        </m:r>
      </m:oMath>
      <w:r>
        <w:t xml:space="preserve"> </w:t>
      </w:r>
      <w:r>
        <w:t xml:space="preserve">[0.05, 0.08]), and the statement level (</w:t>
      </w:r>
      <m:oMath>
        <m:r>
          <m:t>σ</m:t>
        </m:r>
        <m:r>
          <m:rPr>
            <m:sty m:val="p"/>
          </m:rPr>
          <m:t>=</m:t>
        </m:r>
      </m:oMath>
      <w:r>
        <w:t xml:space="preserve"> </w:t>
      </w:r>
      <w:r>
        <w:t xml:space="preserve">0.03,</w:t>
      </w:r>
      <w:r>
        <w:t xml:space="preserve"> </w:t>
      </w:r>
      <m:oMath>
        <m:r>
          <m:t>95</m:t>
        </m:r>
        <m:r>
          <m:rPr>
            <m:sty m:val="p"/>
          </m:rPr>
          <m:t>%</m:t>
        </m:r>
        <m:r>
          <m:t> </m:t>
        </m:r>
        <m:r>
          <m:t>C</m:t>
        </m:r>
        <m:r>
          <m:t>r</m:t>
        </m:r>
        <m:r>
          <m:t>I</m:t>
        </m:r>
        <m:r>
          <m:rPr>
            <m:sty m:val="p"/>
          </m:rPr>
          <m:t>=</m:t>
        </m:r>
      </m:oMath>
      <w:r>
        <w:t xml:space="preserve"> </w:t>
      </w:r>
      <w:r>
        <w:t xml:space="preserve">[0.02, 0.03]).</w:t>
      </w:r>
    </w:p>
    <w:p>
      <w:pPr>
        <w:pStyle w:val="TableCaption"/>
      </w:pPr>
      <w:bookmarkStart w:id="48" w:name="tab:scale-model-table"/>
      <w:bookmarkEnd w:id="48"/>
      <w:r>
        <w:t xml:space="preserve">Table 2</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2 Parameter Estimates of the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0.05</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w:t>
            </w:r>
          </w:p>
        </w:tc>
        <w:tc>
          <w:tcPr/>
          <w:p>
            <w:pPr>
              <w:pStyle w:val="Compact"/>
              <w:jc w:val="left"/>
            </w:pPr>
            <w:r>
              <w:t xml:space="preserve">repeated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bl>
    <w:p>
      <w:pPr>
        <w:pStyle w:val="table-note"/>
      </w:pPr>
      <w:r>
        <w:rPr>
          <w:iCs/>
          <w:i/>
        </w:rPr>
        <w:t xml:space="preserve">Note.</w:t>
      </w:r>
      <w:r>
        <w:t xml:space="preserve"> </w:t>
      </w:r>
      <w:r>
        <w:t xml:space="preserve">N = 587999; N Procedure = 66; N Subjects = 8397; N Statements = 2872; l_95_CrI refers to the lower boundary of the 95% credible interval, u_95_CrI refers to the upper boundary</w:t>
      </w:r>
    </w:p>
    <w:p>
      <w:pPr>
        <w:pStyle w:val="Textkrper"/>
      </w:pPr>
      <w:r>
        <w:t xml:space="preserve"> </w:t>
      </w:r>
    </w:p>
    <w:p>
      <w:pPr>
        <w:pStyle w:val="Textkrper"/>
      </w:pPr>
      <w:r>
        <w:t xml:space="preserve">To further explore the influence of temporal delay between the exposure and judgment phases on inter-individual variability in the repetition effect, we included an interaction between subject and temporal delay (same-day vs. different day) in the random effect structure. The model then estimates two standard distributions for the random effect of repetition on the subject level. We can then investigate whether the difference in the standard deviation of the random effect of repetition on the subject-level is different depending on the temporal delay.</w:t>
      </w:r>
    </w:p>
    <w:p>
      <w:pPr>
        <w:pStyle w:val="Textkrper"/>
      </w:pPr>
      <w:r>
        <w:t xml:space="preserve">Table</w:t>
      </w:r>
      <w:r>
        <w:t xml:space="preserve"> </w:t>
      </w:r>
      <w:r>
        <w:t xml:space="preserve">3</w:t>
      </w:r>
      <w:r>
        <w:t xml:space="preserve"> </w:t>
      </w:r>
      <w:r>
        <w:t xml:space="preserve">provides a summary of parameter estimates. The standard deviation of the random slope of repetition at the subject level for a same-day judgment phase was</w:t>
      </w:r>
      <w:r>
        <w:t xml:space="preserve"> </w:t>
      </w:r>
      <m:oMath>
        <m:sSub>
          <m:e>
            <m:r>
              <m:t>σ</m:t>
            </m:r>
          </m:e>
          <m:sub>
            <m:r>
              <m:t>0</m:t>
            </m:r>
          </m:sub>
        </m:sSub>
        <m:r>
          <m:rPr>
            <m:sty m:val="p"/>
          </m:rPr>
          <m:t>=</m:t>
        </m:r>
      </m:oMath>
      <w:r>
        <w:t xml:space="preserve"> </w:t>
      </w:r>
      <w:r>
        <w:t xml:space="preserve">0.11 (</w:t>
      </w:r>
      <m:oMath>
        <m:r>
          <m:t>95</m:t>
        </m:r>
        <m:r>
          <m:rPr>
            <m:sty m:val="p"/>
          </m:rPr>
          <m:t>%</m:t>
        </m:r>
        <m:r>
          <m:t> </m:t>
        </m:r>
        <m:r>
          <m:t>C</m:t>
        </m:r>
        <m:r>
          <m:t>r</m:t>
        </m:r>
        <m:r>
          <m:t>I</m:t>
        </m:r>
        <m:r>
          <m:rPr>
            <m:sty m:val="p"/>
          </m:rPr>
          <m:t>=</m:t>
        </m:r>
      </m:oMath>
      <w:r>
        <w:t xml:space="preserve"> </w:t>
      </w:r>
      <w:r>
        <w:t xml:space="preserve">[0.10, 0.11]). The standard deviation for the random slope on a later day judgment phase was</w:t>
      </w:r>
      <w:r>
        <w:t xml:space="preserve"> </w:t>
      </w:r>
      <m:oMath>
        <m:sSub>
          <m:e>
            <m:r>
              <m:t>σ</m:t>
            </m:r>
          </m:e>
          <m:sub>
            <m:r>
              <m:t>1</m:t>
            </m:r>
          </m:sub>
        </m:sSub>
        <m:r>
          <m:rPr>
            <m:sty m:val="p"/>
          </m:rPr>
          <m:t>=</m:t>
        </m:r>
      </m:oMath>
      <w:r>
        <w:t xml:space="preserve"> </w:t>
      </w:r>
      <w:r>
        <w:t xml:space="preserve">0.08 (</w:t>
      </w:r>
      <m:oMath>
        <m:r>
          <m:t>95</m:t>
        </m:r>
        <m:r>
          <m:rPr>
            <m:sty m:val="p"/>
          </m:rPr>
          <m:t>%</m:t>
        </m:r>
        <m:r>
          <m:t> </m:t>
        </m:r>
        <m:r>
          <m:t>C</m:t>
        </m:r>
        <m:r>
          <m:t>r</m:t>
        </m:r>
        <m:r>
          <m:t>I</m:t>
        </m:r>
        <m:r>
          <m:rPr>
            <m:sty m:val="p"/>
          </m:rPr>
          <m:t>=</m:t>
        </m:r>
      </m:oMath>
      <w:r>
        <w:t xml:space="preserve"> </w:t>
      </w:r>
      <w:r>
        <w:t xml:space="preserve">[0.08, 0.09]). The difference in standard deviations in the random effect of repetition at the subject level deviated substantially from zero</w:t>
      </w:r>
      <w:r>
        <w:t xml:space="preserve"> </w:t>
      </w:r>
      <m:oMath>
        <m:sSub>
          <m:e>
            <m:r>
              <m:t>σ</m:t>
            </m:r>
          </m:e>
          <m:sub>
            <m:r>
              <m:t>0</m:t>
            </m:r>
          </m:sub>
        </m:sSub>
        <m:r>
          <m:rPr>
            <m:sty m:val="p"/>
          </m:rPr>
          <m:t>−</m:t>
        </m:r>
        <m:sSub>
          <m:e>
            <m:r>
              <m:t>σ</m:t>
            </m:r>
          </m:e>
          <m:sub>
            <m:r>
              <m:t>1</m:t>
            </m:r>
          </m:sub>
        </m:sSub>
        <m:r>
          <m:rPr>
            <m:sty m:val="p"/>
          </m:rPr>
          <m:t>=</m:t>
        </m:r>
      </m:oMath>
      <w:r>
        <w:t xml:space="preserve"> </w:t>
      </w:r>
      <w:r>
        <w:t xml:space="preserve">0.02 (</w:t>
      </w:r>
      <m:oMath>
        <m:r>
          <m:t>95</m:t>
        </m:r>
        <m:r>
          <m:rPr>
            <m:sty m:val="p"/>
          </m:rPr>
          <m:t>%</m:t>
        </m:r>
        <m:r>
          <m:t> </m:t>
        </m:r>
        <m:r>
          <m:t>C</m:t>
        </m:r>
        <m:r>
          <m:t>r</m:t>
        </m:r>
        <m:r>
          <m:t>I</m:t>
        </m:r>
        <m:r>
          <m:rPr>
            <m:sty m:val="p"/>
          </m:rPr>
          <m:t>=</m:t>
        </m:r>
      </m:oMath>
      <w:r>
        <w:t xml:space="preserve"> </w:t>
      </w:r>
      <w:r>
        <w:t xml:space="preserve">[0.02, 0.02]).</w:t>
      </w:r>
    </w:p>
    <w:p>
      <w:pPr>
        <w:pStyle w:val="TableCaption"/>
      </w:pPr>
      <w:bookmarkStart w:id="49" w:name="tab:time-model-table"/>
      <w:bookmarkEnd w:id="49"/>
      <w:r>
        <w:t xml:space="preserve">Table 3</w:t>
      </w:r>
      <w:r>
        <w:br/>
      </w:r>
      <w:r>
        <w:rPr>
          <w:iCs/>
          <w:i/>
        </w:rPr>
        <w:t xml:space="preserve">Parameter</w:t>
      </w:r>
      <w:r>
        <w:rPr>
          <w:iCs/>
          <w:i/>
        </w:rPr>
        <w:t xml:space="preserve"> </w:t>
      </w:r>
      <w:r>
        <w:rPr>
          <w:iCs/>
          <w:i/>
        </w:rPr>
        <w:t xml:space="preserve">Estimates</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Time-based</w:t>
      </w:r>
      <w:r>
        <w:rPr>
          <w:iCs/>
          <w:i/>
        </w:rPr>
        <w:t xml:space="preserve"> </w:t>
      </w:r>
      <w:r>
        <w:rPr>
          <w:iCs/>
          <w:i/>
        </w:rPr>
        <w:t xml:space="preserve">Scale</w:t>
      </w:r>
      <w:r>
        <w:rPr>
          <w:iCs/>
          <w:i/>
        </w:rPr>
        <w:t xml:space="preserve"> </w:t>
      </w:r>
      <w:r>
        <w:rPr>
          <w:iCs/>
          <w:i/>
        </w:rPr>
        <w:t xml:space="preserve">Model</w:t>
      </w:r>
    </w:p>
    <w:tbl>
      <w:tblPr>
        <w:tblStyle w:val="Table"/>
        <w:tblW w:type="auto" w:w="0"/>
        <w:tblLook w:firstRow="1" w:lastRow="0" w:firstColumn="0" w:lastColumn="0" w:noHBand="0" w:noVBand="0" w:val="0020"/>
        <w:jc w:val="start"/>
        <w:tblCaption w:val="Table 3 Parameter Estimates of the Time-based Scale Model"/>
      </w:tblPr>
      <w:tblGrid>
        <w:gridCol w:w="1320"/>
        <w:gridCol w:w="1320"/>
        <w:gridCol w:w="1320"/>
        <w:gridCol w:w="1320"/>
        <w:gridCol w:w="1320"/>
        <w:gridCol w:w="1320"/>
      </w:tblGrid>
      <w:tr>
        <w:trPr>
          <w:tblHeader w:val="true"/>
        </w:trPr>
        <w:tc>
          <w:tcPr/>
          <w:p>
            <w:pPr>
              <w:pStyle w:val="Compact"/>
              <w:jc w:val="left"/>
            </w:pPr>
            <w:r>
              <w:t xml:space="preserve">Effect</w:t>
            </w:r>
          </w:p>
        </w:tc>
        <w:tc>
          <w:tcPr/>
          <w:p>
            <w:pPr>
              <w:pStyle w:val="Compact"/>
              <w:jc w:val="left"/>
            </w:pPr>
            <w:r>
              <w:t xml:space="preserve">Grouping</w:t>
            </w:r>
          </w:p>
        </w:tc>
        <w:tc>
          <w:tcPr/>
          <w:p>
            <w:pPr>
              <w:pStyle w:val="Compact"/>
              <w:jc w:val="left"/>
            </w:pPr>
            <w:r>
              <w:t xml:space="preserve">Parameter</w:t>
            </w:r>
          </w:p>
        </w:tc>
        <w:tc>
          <w:tcPr/>
          <w:p>
            <w:pPr>
              <w:pStyle w:val="Compact"/>
              <w:jc w:val="left"/>
            </w:pPr>
            <w:r>
              <w:t xml:space="preserve">Estimate</w:t>
            </w:r>
          </w:p>
        </w:tc>
        <w:tc>
          <w:tcPr/>
          <w:p>
            <w:pPr>
              <w:pStyle w:val="Compact"/>
              <w:jc w:val="left"/>
            </w:pPr>
            <w:r>
              <w:t xml:space="preserve">l_95_CrI</w:t>
            </w:r>
          </w:p>
        </w:tc>
        <w:tc>
          <w:tcPr/>
          <w:p>
            <w:pPr>
              <w:pStyle w:val="Compact"/>
              <w:jc w:val="left"/>
            </w:pPr>
            <w:r>
              <w:t xml:space="preserve">u_95_CrI</w:t>
            </w:r>
          </w:p>
        </w:tc>
      </w:tr>
      <w:tr>
        <w:tc>
          <w:tcPr/>
          <w:p>
            <w:pPr>
              <w:pStyle w:val="Compact"/>
              <w:jc w:val="left"/>
            </w:pPr>
            <w:r>
              <w:t xml:space="preserve">fixed</w:t>
            </w:r>
          </w:p>
        </w:tc>
        <w:tc>
          <w:tcPr/>
          <w:p>
            <w:pPr>
              <w:pStyle w:val="Compact"/>
            </w:pPr>
          </w:p>
        </w:tc>
        <w:tc>
          <w:tcPr/>
          <w:p>
            <w:pPr>
              <w:pStyle w:val="Compact"/>
              <w:jc w:val="left"/>
            </w:pPr>
            <w:r>
              <w:t xml:space="preserve">Intercept</w:t>
            </w:r>
          </w:p>
        </w:tc>
        <w:tc>
          <w:tcPr/>
          <w:p>
            <w:pPr>
              <w:pStyle w:val="Compact"/>
              <w:jc w:val="left"/>
            </w:pPr>
            <w:r>
              <w:t xml:space="preserve">0.54</w:t>
            </w:r>
          </w:p>
        </w:tc>
        <w:tc>
          <w:tcPr/>
          <w:p>
            <w:pPr>
              <w:pStyle w:val="Compact"/>
              <w:jc w:val="left"/>
            </w:pPr>
            <w:r>
              <w:t xml:space="preserve">0.52</w:t>
            </w:r>
          </w:p>
        </w:tc>
        <w:tc>
          <w:tcPr/>
          <w:p>
            <w:pPr>
              <w:pStyle w:val="Compact"/>
              <w:jc w:val="left"/>
            </w:pPr>
            <w:r>
              <w:t xml:space="preserve">0.56</w:t>
            </w:r>
          </w:p>
        </w:tc>
      </w:tr>
      <w:tr>
        <w:tc>
          <w:tcPr/>
          <w:p>
            <w:pPr>
              <w:pStyle w:val="Compact"/>
              <w:jc w:val="left"/>
            </w:pPr>
            <w:r>
              <w:t xml:space="preserve">fixed</w:t>
            </w:r>
          </w:p>
        </w:tc>
        <w:tc>
          <w:tcPr/>
          <w:p>
            <w:pPr>
              <w:pStyle w:val="Compact"/>
            </w:pPr>
          </w:p>
        </w:tc>
        <w:tc>
          <w:tcPr/>
          <w:p>
            <w:pPr>
              <w:pStyle w:val="Compact"/>
              <w:jc w:val="left"/>
            </w:pPr>
            <w:r>
              <w:t xml:space="preserve">repeated</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Intercept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0.09</w:t>
            </w:r>
          </w:p>
        </w:tc>
      </w:tr>
      <w:tr>
        <w:tc>
          <w:tcPr/>
          <w:p>
            <w:pPr>
              <w:pStyle w:val="Compact"/>
              <w:jc w:val="left"/>
            </w:pPr>
            <w:r>
              <w:t xml:space="preserve">random</w:t>
            </w:r>
          </w:p>
        </w:tc>
        <w:tc>
          <w:tcPr/>
          <w:p>
            <w:pPr>
              <w:pStyle w:val="Compact"/>
              <w:jc w:val="left"/>
            </w:pPr>
            <w:r>
              <w:t xml:space="preserve">procedure</w:t>
            </w:r>
          </w:p>
        </w:tc>
        <w:tc>
          <w:tcPr/>
          <w:p>
            <w:pPr>
              <w:pStyle w:val="Compact"/>
              <w:jc w:val="left"/>
            </w:pPr>
            <w:r>
              <w:t xml:space="preserve">repeated (sd)</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Intercept (sd)</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random</w:t>
            </w:r>
          </w:p>
        </w:tc>
        <w:tc>
          <w:tcPr/>
          <w:p>
            <w:pPr>
              <w:pStyle w:val="Compact"/>
              <w:jc w:val="left"/>
            </w:pPr>
            <w:r>
              <w:t xml:space="preserve">statement</w:t>
            </w:r>
          </w:p>
        </w:tc>
        <w:tc>
          <w:tcPr/>
          <w:p>
            <w:pPr>
              <w:pStyle w:val="Compact"/>
              <w:jc w:val="left"/>
            </w:pPr>
            <w:r>
              <w:t xml:space="preserve">repeated (sd)</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Intercept (sd)</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0.10</w:t>
            </w:r>
          </w:p>
        </w:tc>
      </w:tr>
      <w:tr>
        <w:tc>
          <w:tcPr/>
          <w:p>
            <w:pPr>
              <w:pStyle w:val="Compact"/>
              <w:jc w:val="left"/>
            </w:pPr>
            <w:r>
              <w:t xml:space="preserve">random</w:t>
            </w:r>
          </w:p>
        </w:tc>
        <w:tc>
          <w:tcPr/>
          <w:p>
            <w:pPr>
              <w:pStyle w:val="Compact"/>
              <w:jc w:val="left"/>
            </w:pPr>
            <w:r>
              <w:t xml:space="preserve">subject (same day)</w:t>
            </w:r>
          </w:p>
        </w:tc>
        <w:tc>
          <w:tcPr/>
          <w:p>
            <w:pPr>
              <w:pStyle w:val="Compact"/>
              <w:jc w:val="left"/>
            </w:pPr>
            <w:r>
              <w:t xml:space="preserve">repeated (sd)</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random</w:t>
            </w:r>
          </w:p>
        </w:tc>
        <w:tc>
          <w:tcPr/>
          <w:p>
            <w:pPr>
              <w:pStyle w:val="Compact"/>
              <w:jc w:val="left"/>
            </w:pPr>
            <w:r>
              <w:t xml:space="preserve">subject (later)</w:t>
            </w:r>
          </w:p>
        </w:tc>
        <w:tc>
          <w:tcPr/>
          <w:p>
            <w:pPr>
              <w:pStyle w:val="Compact"/>
              <w:jc w:val="left"/>
            </w:pPr>
            <w:r>
              <w:t xml:space="preserve">Intercept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random</w:t>
            </w:r>
          </w:p>
        </w:tc>
        <w:tc>
          <w:tcPr/>
          <w:p>
            <w:pPr>
              <w:pStyle w:val="Compact"/>
              <w:jc w:val="left"/>
            </w:pPr>
            <w:r>
              <w:t xml:space="preserve">subject (later)</w:t>
            </w:r>
          </w:p>
        </w:tc>
        <w:tc>
          <w:tcPr/>
          <w:p>
            <w:pPr>
              <w:pStyle w:val="Compact"/>
              <w:jc w:val="left"/>
            </w:pPr>
            <w:r>
              <w:t xml:space="preserve">repeated (sd)</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bl>
    <w:p>
      <w:pPr>
        <w:pStyle w:val="table-note"/>
      </w:pPr>
      <w:r>
        <w:rPr>
          <w:iCs/>
          <w:i/>
        </w:rPr>
        <w:t xml:space="preserve">Note.</w:t>
      </w:r>
      <w:r>
        <w:t xml:space="preserve"> </w:t>
      </w:r>
      <w:r>
        <w:t xml:space="preserve">N = 587999; N Procedure = 66; N Subjects = 9592; N Statements = 2872; l_95_CrI refers to the lower boundary of the 95% credible interval, u_95_CrI refers to the upper boundary</w:t>
      </w:r>
    </w:p>
    <w:p>
      <w:pPr>
        <w:pStyle w:val="Textkrper"/>
      </w:pPr>
      <w:r>
        <w:t xml:space="preserve"> </w:t>
      </w:r>
    </w:p>
    <w:p>
      <w:pPr>
        <w:pStyle w:val="CaptionedFigure"/>
      </w:pPr>
      <w:r>
        <w:drawing>
          <wp:inline>
            <wp:extent cx="4587290" cy="3669832"/>
            <wp:effectExtent b="0" l="0" r="0" t="0"/>
            <wp:docPr descr="Figure 4: Variance in the truth effect at different levels" title="" id="51" name="Picture"/>
            <a:graphic>
              <a:graphicData uri="http://schemas.openxmlformats.org/drawingml/2006/picture">
                <pic:pic>
                  <pic:nvPicPr>
                    <pic:cNvPr descr="C:/Users/Sven/Documents/projects/research/ted/truth-db-paper/markdown/output/apa7_document_files/figure-docx/time-model-plot-1.png" id="52" name="Picture"/>
                    <pic:cNvPicPr>
                      <a:picLocks noChangeArrowheads="1" noChangeAspect="1"/>
                    </pic:cNvPicPr>
                  </pic:nvPicPr>
                  <pic:blipFill>
                    <a:blip r:embed="rId50"/>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53" w:name="fig:time-model-plot"/>
      <w:bookmarkEnd w:id="53"/>
      <w:r>
        <w:rPr>
          <w:iCs/>
          <w:i/>
        </w:rPr>
        <w:t xml:space="preserve">Figure</w:t>
      </w:r>
      <w:r>
        <w:t xml:space="preserve"> </w:t>
      </w:r>
      <w:r>
        <w:t xml:space="preserve">4. Variance in the truth effect at different levels</w:t>
      </w:r>
    </w:p>
    <w:bookmarkEnd w:id="54"/>
    <w:bookmarkEnd w:id="55"/>
    <w:bookmarkEnd w:id="56"/>
    <w:bookmarkStart w:id="59" w:name="discussion"/>
    <w:p>
      <w:pPr>
        <w:pStyle w:val="berschrift1"/>
      </w:pPr>
      <w:r>
        <w:t xml:space="preserve">Discussion</w:t>
      </w:r>
    </w:p>
    <w:p>
      <w:pPr>
        <w:pStyle w:val="FirstParagraph"/>
      </w:pPr>
      <w:r>
        <w:t xml:space="preserve">In this paper, we introduce the Truth Effect Database (TED), a large-scale, open-access repository of trial-level data on truth judgments. TED is designed to support cumulative, reproducible research on the truth effect by standardizing and centralizing data from a wide range of studies. It currently aggregates data from 27 publications, spanning 12002 participants and 778741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30">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rPr>
          <w:bCs/>
          <w:b/>
        </w:rPr>
        <w:t xml:space="preserve">Kannst du zu den folgenden Punkten bzgl. interpretation noch deine gedanken ergänzen? Ich habe schonmal ein bisschen die Struktur überlkegt, aber ich glaube das wird besser, wenn du da noch was zu sagst</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Thus, it remains an open question whether the variability in the truth effect reflects reliable, trait-like differences</w:t>
      </w:r>
      <w:r>
        <w:t xml:space="preserve"> </w:t>
      </w:r>
      <w:r>
        <w:rPr>
          <w:bCs/>
          <w:b/>
        </w:rPr>
        <w:t xml:space="preserve">something with issues in other experimental tasks, Rouder &amp; haaf 2019, Haaf 2025, Hedge 2018, Rouder 2023</w:t>
      </w:r>
      <w:r>
        <w:t xml:space="preserve"> </w:t>
      </w:r>
      <w:r>
        <w:rPr>
          <w:bCs/>
          <w:b/>
        </w:rPr>
        <w:t xml:space="preserve">point to new preprint by Schnuerch</w:t>
      </w:r>
      <w:r>
        <w:t xml:space="preserve">,.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w:t>
      </w:r>
      <w:r>
        <w:t xml:space="preserve"> </w:t>
      </w:r>
      <w:r>
        <w:t xml:space="preserve">Schnuerch et al. (</w:t>
      </w:r>
      <w:hyperlink w:anchor="ref-schnuerch2021truth">
        <w:r>
          <w:rPr>
            <w:rStyle w:val="Hyperlink"/>
          </w:rPr>
          <w:t xml:space="preserve">2021</w:t>
        </w:r>
      </w:hyperlink>
      <w:r>
        <w:t xml:space="preserve">)</w:t>
      </w:r>
      <w:r>
        <w:t xml:space="preserve"> </w:t>
      </w:r>
      <w:r>
        <w:t xml:space="preserve">previously observed reduced individual differences in experiments with longer retention intervals. TED allowed us to extend their analysis to all included studies, estimating variability in the truth effect when the exposure and judgment occur on the same day as opposed to a delay of at least a day while taking variance at the procedure and statement level into account. Something about what we expected</w:t>
      </w:r>
    </w:p>
    <w:p>
      <w:pPr>
        <w:pStyle w:val="Textkrper"/>
      </w:pPr>
      <w:r>
        <w:t xml:space="preserve">In line with this expectation, we found that the variance in the random effect of repetition was indeed larger when judgments were made on the same day as exposure, compared to when judgments were delayed to a later day. Bayesian model analysis confirmed that this difference is indeed different from 0, indicating true differences in the subject-level variability of the truth effect depending on the delay between exposure and judgment phase.</w:t>
      </w:r>
    </w:p>
    <w:p>
      <w:pPr>
        <w:pStyle w:val="Textkrper"/>
      </w:pPr>
      <w:r>
        <w:rPr>
          <w:bCs/>
          <w:b/>
        </w:rPr>
        <w:t xml:space="preserve">Interpretation, memory effects etc.</w:t>
      </w:r>
      <w:r>
        <w:rPr>
          <w:bCs/>
          <w:b/>
        </w:rPr>
        <w:t xml:space="preserve"> </w:t>
      </w:r>
    </w:p>
    <w:p>
      <w:pPr>
        <w:pStyle w:val="Textkrper"/>
      </w:pPr>
      <w:r>
        <w:t xml:space="preserve">However, these exploratory results should be interpreted cautiously. We did not control for potential confounding factors such as sample composition, procedural variation, or other study-level covariates.</w:t>
      </w:r>
      <w:r>
        <w:t xml:space="preserve"> </w:t>
      </w:r>
      <w:r>
        <w:rPr>
          <w:bCs/>
          <w:b/>
        </w:rPr>
        <w:t xml:space="preserve">Something, in time with more data, this will become more representative. But it already points in one direction</w:t>
      </w:r>
    </w:p>
    <w:p>
      <w:pPr>
        <w:pStyle w:val="Textkrper"/>
      </w:pPr>
      <w:r>
        <w:t xml:space="preserve">Taken together, these initial analyses demonstrate TED’s utility for modeling complex interactions and variance structures that would be difficult to assess using single-study data. The open, extensible nature of TED ensures that these questions can be revisited and refined as the database continues to grow. We see this as a first step toward more nuanced investigations of the truth effect grounded in large-scale, reproducible data.</w:t>
      </w:r>
    </w:p>
    <w:bookmarkStart w:id="57"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w:t>
      </w:r>
      <w:r>
        <w:t xml:space="preserve"> </w:t>
      </w:r>
      <w:r>
        <w:rPr>
          <w:bCs/>
          <w:b/>
        </w:rPr>
        <w:t xml:space="preserve">maybe add that this is different form meta-analysis, as the data is not true sample of all ITE studies, add that we provide this in the overview website</w:t>
      </w:r>
      <w:r>
        <w:t xml:space="preserve"> </w:t>
      </w:r>
      <w:r>
        <w:t xml:space="preserve">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This facilitates both direct and conceptual replications and provides a foundation for transparent, data-driven reassessment of prior findings.</w:t>
      </w:r>
    </w:p>
    <w:p>
      <w:pPr>
        <w:pStyle w:val="Textkrper"/>
      </w:pPr>
      <w:r>
        <w:t xml:space="preserve">Beyond replication, TED also enables the development of formal cognitive models of the truth effect. With detailed trial-level data and metadata on procedural variables, researchers can test and compare models such as drift diffusion models</w:t>
      </w:r>
      <w:r>
        <w:t xml:space="preserve"> </w:t>
      </w:r>
      <w:r>
        <w:t xml:space="preserve">(</w:t>
      </w:r>
      <w:hyperlink w:anchor="ref-ratcliff2008diffusion">
        <w:r>
          <w:rPr>
            <w:rStyle w:val="Hyperlink"/>
          </w:rPr>
          <w:t xml:space="preserve">Ratcliff &amp; McKoon, 2008</w:t>
        </w:r>
      </w:hyperlink>
      <w:r>
        <w:t xml:space="preserve">)</w:t>
      </w:r>
      <w:r>
        <w:t xml:space="preserve"> </w:t>
      </w:r>
      <w:r>
        <w:t xml:space="preserve">or multinomial processing tree models</w:t>
      </w:r>
      <w:r>
        <w:t xml:space="preserve"> </w:t>
      </w:r>
      <w:r>
        <w:t xml:space="preserve">(</w:t>
      </w:r>
      <w:hyperlink w:anchor="ref-calio2020explicit">
        <w:r>
          <w:rPr>
            <w:rStyle w:val="Hyperlink"/>
          </w:rPr>
          <w:t xml:space="preserve">Calio et al., 2020</w:t>
        </w:r>
      </w:hyperlink>
      <w:r>
        <w:t xml:space="preserve">;</w:t>
      </w:r>
      <w:r>
        <w:t xml:space="preserve"> </w:t>
      </w:r>
      <w:hyperlink w:anchor="ref-unkelbach2009multinomial">
        <w:r>
          <w:rPr>
            <w:rStyle w:val="Hyperlink"/>
          </w:rPr>
          <w:t xml:space="preserve">Unkelbach &amp; Stahl, 2009</w:t>
        </w:r>
      </w:hyperlink>
      <w:r>
        <w:t xml:space="preserve">)</w:t>
      </w:r>
      <w:r>
        <w:t xml:space="preserve"> </w:t>
      </w:r>
      <w:r>
        <w:t xml:space="preserve">of truth judgments. The scale and granularity of TED make it possible to fit hierarchical models across subjects, statements, or studies, and to split data into independent training and testing sets—supporting robust model evaluation and cross-validation. This opens the door for developing and benchmarking cognitive theories of truth judgments with strong empirical support.</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w:t>
      </w:r>
      <w:r>
        <w:t xml:space="preserve"> </w:t>
      </w:r>
      <w:r>
        <w:t xml:space="preserve">(</w:t>
      </w:r>
      <w:hyperlink w:anchor="ref-haaf2025attentional">
        <w:r>
          <w:rPr>
            <w:rStyle w:val="Hyperlink"/>
          </w:rPr>
          <w:t xml:space="preserve">Haaf et al., 2025</w:t>
        </w:r>
      </w:hyperlink>
      <w:r>
        <w:t xml:space="preserve">)</w:t>
      </w:r>
      <w:r>
        <w:t xml:space="preserve">, improving on data submission and ease-of-use. Both projects can serve as a jumping-off point for future database development. All aspects of our project—including the SQL schema, submission interface, R extraction package, and the interactive overview website—are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platform for cumulative science: one that supports rigorous replication, sophisticated cognitive modeling, empirical synthesis, and infrastructure reusability while lowering the barriers to collaboration and long-term research development.</w:t>
      </w:r>
    </w:p>
    <w:bookmarkEnd w:id="57"/>
    <w:bookmarkStart w:id="58" w:name="conclusion"/>
    <w:p>
      <w:pPr>
        <w:pStyle w:val="berschrift2"/>
      </w:pPr>
      <w:r>
        <w:t xml:space="preserve">Conclusion</w:t>
      </w:r>
    </w:p>
    <w:p>
      <w:pPr>
        <w:pStyle w:val="FirstParagraph"/>
      </w:pPr>
      <w:r>
        <w:t xml:space="preserve">In this paper, we introduced the Truth Effect Database (TED), a structured, large-scale resource for cumulative research on truth judgments. TED includes not only standardized, trial-level data but also open tools for user interaction, including a submission interface and an R package for flexible data extraction. Additional details can be found on TED’s homepage (</w:t>
      </w:r>
      <w:hyperlink r:id="rId25">
        <w:r>
          <w:rPr>
            <w:rStyle w:val="Hyperlink"/>
          </w:rPr>
          <w:t xml:space="preserve">https://slesche.github.io/ted-site/</w:t>
        </w:r>
      </w:hyperlink>
      <w:r>
        <w:t xml:space="preserve">).</w:t>
      </w:r>
    </w:p>
    <w:p>
      <w:pPr>
        <w:pStyle w:val="Textkrper"/>
      </w:pPr>
      <w:r>
        <w:t xml:space="preserve">We illustrated the utility of TED through initial multilevel analyses, which highlighted substantial subject-level variance in the truth effect and provide new evidence that individual differences in susceptibility to the truth effect systematically vary due to the length of the retention interval. These finding point to the need for further theoretical and empirical work on individual differences in susceptibility to repetition.</w:t>
      </w:r>
    </w:p>
    <w:p>
      <w:pPr>
        <w:pStyle w:val="Textkrper"/>
      </w:pPr>
      <w:r>
        <w:t xml:space="preserve">Beyond this first demonstration, TED provides the foundation for a wide range of future research. These include living meta-analyses that evolve as new data are added, simulation-based power analyses informed by real-world variance,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58"/>
    <w:bookmarkEnd w:id="59"/>
    <w:bookmarkStart w:id="98" w:name="references"/>
    <w:p>
      <w:pPr>
        <w:pStyle w:val="berschrift1"/>
      </w:pPr>
      <w:r>
        <w:t xml:space="preserve">References</w:t>
      </w:r>
    </w:p>
    <w:bookmarkStart w:id="97" w:name="refs"/>
    <w:bookmarkStart w:id="61"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60">
        <w:r>
          <w:rPr>
            <w:rStyle w:val="Hyperlink"/>
          </w:rPr>
          <w:t xml:space="preserve">https://github.com/crsh/papaja</w:t>
        </w:r>
      </w:hyperlink>
    </w:p>
    <w:bookmarkEnd w:id="61"/>
    <w:bookmarkStart w:id="62"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62"/>
    <w:bookmarkStart w:id="64"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63">
        <w:r>
          <w:rPr>
            <w:rStyle w:val="Hyperlink"/>
          </w:rPr>
          <w:t xml:space="preserve">https://doi.org/10.18637/jss.v080.i01</w:t>
        </w:r>
      </w:hyperlink>
    </w:p>
    <w:bookmarkEnd w:id="64"/>
    <w:bookmarkStart w:id="66"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5">
        <w:r>
          <w:rPr>
            <w:rStyle w:val="Hyperlink"/>
          </w:rPr>
          <w:t xml:space="preserve">https://doi.org/10.32614/RJ-2018-017</w:t>
        </w:r>
      </w:hyperlink>
    </w:p>
    <w:bookmarkEnd w:id="66"/>
    <w:bookmarkStart w:id="68"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7">
        <w:r>
          <w:rPr>
            <w:rStyle w:val="Hyperlink"/>
          </w:rPr>
          <w:t xml:space="preserve">https://doi.org/10.18637/jss.v100.i05</w:t>
        </w:r>
      </w:hyperlink>
    </w:p>
    <w:bookmarkEnd w:id="68"/>
    <w:bookmarkStart w:id="69" w:name="ref-calio2020explicit"/>
    <w:p>
      <w:pPr>
        <w:pStyle w:val="Literaturverzeichnis"/>
      </w:pPr>
      <w:r>
        <w:t xml:space="preserve">Calio, F., Nadarevic, L., &amp; Musch, J. (2020). How explicit warnings reduce the truth effect:</w:t>
      </w:r>
      <w:r>
        <w:t xml:space="preserve"> </w:t>
      </w:r>
      <w:r>
        <w:t xml:space="preserve">A</w:t>
      </w:r>
      <w:r>
        <w:t xml:space="preserve"> </w:t>
      </w:r>
      <w:r>
        <w:t xml:space="preserve">multinomial modeling approach.</w:t>
      </w:r>
      <w:r>
        <w:t xml:space="preserve"> </w:t>
      </w:r>
      <w:r>
        <w:rPr>
          <w:iCs/>
          <w:i/>
        </w:rPr>
        <w:t xml:space="preserve">Acta Psychologica</w:t>
      </w:r>
      <w:r>
        <w:t xml:space="preserve">,</w:t>
      </w:r>
      <w:r>
        <w:t xml:space="preserve"> </w:t>
      </w:r>
      <w:r>
        <w:rPr>
          <w:iCs/>
          <w:i/>
        </w:rPr>
        <w:t xml:space="preserve">211</w:t>
      </w:r>
      <w:r>
        <w:t xml:space="preserve">, 103185.</w:t>
      </w:r>
    </w:p>
    <w:bookmarkEnd w:id="69"/>
    <w:bookmarkStart w:id="70"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70"/>
    <w:bookmarkStart w:id="72"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71">
        <w:r>
          <w:rPr>
            <w:rStyle w:val="Hyperlink"/>
          </w:rPr>
          <w:t xml:space="preserve">https://doi.org/10.5195/jmla.2017.88</w:t>
        </w:r>
      </w:hyperlink>
    </w:p>
    <w:bookmarkEnd w:id="72"/>
    <w:bookmarkStart w:id="73"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73"/>
    <w:bookmarkStart w:id="74" w:name="ref-haaf2025attentional"/>
    <w:p>
      <w:pPr>
        <w:pStyle w:val="Literaturverzeichnis"/>
      </w:pPr>
      <w:r>
        <w:t xml:space="preserve">Haaf, J. M., Hoffstadt, M., &amp; Lesche, S. (2025). Attentional control data collection:</w:t>
      </w:r>
      <w:r>
        <w:t xml:space="preserve"> </w:t>
      </w:r>
      <w:r>
        <w:t xml:space="preserve">A</w:t>
      </w:r>
      <w:r>
        <w:t xml:space="preserve"> </w:t>
      </w:r>
      <w:r>
        <w:t xml:space="preserve">resource for efficient data reuse.</w:t>
      </w:r>
      <w:r>
        <w:t xml:space="preserve"> </w:t>
      </w:r>
      <w:r>
        <w:rPr>
          <w:iCs/>
          <w:i/>
        </w:rPr>
        <w:t xml:space="preserve">Behavior Research Methods</w:t>
      </w:r>
      <w:r>
        <w:t xml:space="preserve">,</w:t>
      </w:r>
      <w:r>
        <w:t xml:space="preserve"> </w:t>
      </w:r>
      <w:r>
        <w:rPr>
          <w:iCs/>
          <w:i/>
        </w:rPr>
        <w:t xml:space="preserve">57</w:t>
      </w:r>
      <w:r>
        <w:t xml:space="preserve">(8), 208.</w:t>
      </w:r>
    </w:p>
    <w:bookmarkEnd w:id="74"/>
    <w:bookmarkStart w:id="75"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75"/>
    <w:bookmarkStart w:id="77"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76">
        <w:r>
          <w:rPr>
            <w:rStyle w:val="Hyperlink"/>
          </w:rPr>
          <w:t xml:space="preserve">https://doi.org/10.3758/s13423-021-01995-w</w:t>
        </w:r>
      </w:hyperlink>
    </w:p>
    <w:bookmarkEnd w:id="77"/>
    <w:bookmarkStart w:id="78"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78"/>
    <w:bookmarkStart w:id="79"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79"/>
    <w:bookmarkStart w:id="81"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80">
        <w:r>
          <w:rPr>
            <w:rStyle w:val="Hyperlink"/>
          </w:rPr>
          <w:t xml:space="preserve">https://github.com/SLesche/acdc-query</w:t>
        </w:r>
      </w:hyperlink>
    </w:p>
    <w:bookmarkEnd w:id="81"/>
    <w:bookmarkStart w:id="82"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82"/>
    <w:bookmarkStart w:id="83"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83"/>
    <w:bookmarkStart w:id="84"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84"/>
    <w:bookmarkStart w:id="86"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85">
        <w:r>
          <w:rPr>
            <w:rStyle w:val="Hyperlink"/>
          </w:rPr>
          <w:t xml:space="preserve">https://www.R-project.org/</w:t>
        </w:r>
      </w:hyperlink>
    </w:p>
    <w:bookmarkEnd w:id="86"/>
    <w:bookmarkStart w:id="87" w:name="ref-ratcliff2008diffusion"/>
    <w:p>
      <w:pPr>
        <w:pStyle w:val="Literaturverzeichnis"/>
      </w:pPr>
      <w:r>
        <w:t xml:space="preserve">Ratcliff, R., &amp; McKoon, G. (2008). The diffusion decision model: Theory and data for two-choice decision tasks.</w:t>
      </w:r>
      <w:r>
        <w:t xml:space="preserve"> </w:t>
      </w:r>
      <w:r>
        <w:rPr>
          <w:iCs/>
          <w:i/>
        </w:rPr>
        <w:t xml:space="preserve">Neural Computation</w:t>
      </w:r>
      <w:r>
        <w:t xml:space="preserve">,</w:t>
      </w:r>
      <w:r>
        <w:t xml:space="preserve"> </w:t>
      </w:r>
      <w:r>
        <w:rPr>
          <w:iCs/>
          <w:i/>
        </w:rPr>
        <w:t xml:space="preserve">20</w:t>
      </w:r>
      <w:r>
        <w:t xml:space="preserve">(4), 873–922.</w:t>
      </w:r>
    </w:p>
    <w:bookmarkEnd w:id="87"/>
    <w:bookmarkStart w:id="88" w:name="ref-schnuerch2021truth"/>
    <w:p>
      <w:pPr>
        <w:pStyle w:val="Literaturverzeichnis"/>
      </w:pPr>
      <w:r>
        <w:t xml:space="preserve">Schnuerch, M., Nadarevic, L., &amp; Rouder, J. N. (2021). The truth revisited:</w:t>
      </w:r>
      <w:r>
        <w:t xml:space="preserve"> </w:t>
      </w:r>
      <w:r>
        <w:t xml:space="preserve">Bayesian</w:t>
      </w:r>
      <w:r>
        <w:t xml:space="preserve"> </w:t>
      </w:r>
      <w:r>
        <w:t xml:space="preserve">analysis of individual differences in the truth effect.</w:t>
      </w:r>
      <w:r>
        <w:t xml:space="preserve"> </w:t>
      </w:r>
      <w:r>
        <w:rPr>
          <w:iCs/>
          <w:i/>
        </w:rPr>
        <w:t xml:space="preserve">Psychonomic Bulletin &amp; Review</w:t>
      </w:r>
      <w:r>
        <w:t xml:space="preserve">,</w:t>
      </w:r>
      <w:r>
        <w:t xml:space="preserve"> </w:t>
      </w:r>
      <w:r>
        <w:rPr>
          <w:iCs/>
          <w:i/>
        </w:rPr>
        <w:t xml:space="preserve">28</w:t>
      </w:r>
      <w:r>
        <w:t xml:space="preserve">(3), 750–765.</w:t>
      </w:r>
    </w:p>
    <w:bookmarkEnd w:id="88"/>
    <w:bookmarkStart w:id="90" w:name="ref-R-rstan"/>
    <w:p>
      <w:pPr>
        <w:pStyle w:val="Literaturverzeichnis"/>
      </w:pPr>
      <w:r>
        <w:t xml:space="preserve">Stan Development Team. (2024).</w:t>
      </w:r>
      <w:r>
        <w:t xml:space="preserve"> </w:t>
      </w:r>
      <w:r>
        <w:rPr>
          <w:iCs/>
          <w:i/>
        </w:rPr>
        <w:t xml:space="preserve">RStan</w:t>
      </w:r>
      <w:r>
        <w:rPr>
          <w:iCs/>
          <w:i/>
        </w:rPr>
        <w:t xml:space="preserve">: The</w:t>
      </w:r>
      <w:r>
        <w:rPr>
          <w:iCs/>
          <w:i/>
        </w:rPr>
        <w:t xml:space="preserve"> </w:t>
      </w:r>
      <w:r>
        <w:rPr>
          <w:iCs/>
          <w:i/>
        </w:rPr>
        <w:t xml:space="preserve">R</w:t>
      </w:r>
      <w:r>
        <w:rPr>
          <w:iCs/>
          <w:i/>
        </w:rPr>
        <w:t xml:space="preserve"> </w:t>
      </w:r>
      <w:r>
        <w:rPr>
          <w:iCs/>
          <w:i/>
        </w:rPr>
        <w:t xml:space="preserve">interface to</w:t>
      </w:r>
      <w:r>
        <w:rPr>
          <w:iCs/>
          <w:i/>
        </w:rPr>
        <w:t xml:space="preserve"> </w:t>
      </w:r>
      <w:r>
        <w:rPr>
          <w:iCs/>
          <w:i/>
        </w:rPr>
        <w:t xml:space="preserve">Stan</w:t>
      </w:r>
      <w:r>
        <w:t xml:space="preserve">.</w:t>
      </w:r>
      <w:r>
        <w:t xml:space="preserve"> </w:t>
      </w:r>
      <w:hyperlink r:id="rId89">
        <w:r>
          <w:rPr>
            <w:rStyle w:val="Hyperlink"/>
          </w:rPr>
          <w:t xml:space="preserve">https://mc-stan.org/</w:t>
        </w:r>
      </w:hyperlink>
    </w:p>
    <w:bookmarkEnd w:id="90"/>
    <w:bookmarkStart w:id="91" w:name="ref-unkelbach2009multinomial"/>
    <w:p>
      <w:pPr>
        <w:pStyle w:val="Literaturverzeichnis"/>
      </w:pPr>
      <w:r>
        <w:t xml:space="preserve">Unkelbach, C., &amp; Stahl, C. (2009). A multinomial modeling approach to dissociate different components of the truth effect.</w:t>
      </w:r>
      <w:r>
        <w:t xml:space="preserve"> </w:t>
      </w:r>
      <w:r>
        <w:rPr>
          <w:iCs/>
          <w:i/>
        </w:rPr>
        <w:t xml:space="preserve">Consciousness and Cognition</w:t>
      </w:r>
      <w:r>
        <w:t xml:space="preserve">,</w:t>
      </w:r>
      <w:r>
        <w:t xml:space="preserve"> </w:t>
      </w:r>
      <w:r>
        <w:rPr>
          <w:iCs/>
          <w:i/>
        </w:rPr>
        <w:t xml:space="preserve">18</w:t>
      </w:r>
      <w:r>
        <w:t xml:space="preserve">(1), 22–38.</w:t>
      </w:r>
    </w:p>
    <w:bookmarkEnd w:id="91"/>
    <w:bookmarkStart w:id="93"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92">
        <w:r>
          <w:rPr>
            <w:rStyle w:val="Hyperlink"/>
          </w:rPr>
          <w:t xml:space="preserve">https://doi.org/10.21105/joss.01686</w:t>
        </w:r>
      </w:hyperlink>
    </w:p>
    <w:bookmarkEnd w:id="93"/>
    <w:bookmarkStart w:id="94"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94"/>
    <w:bookmarkStart w:id="96"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95">
        <w:r>
          <w:rPr>
            <w:rStyle w:val="Hyperlink"/>
          </w:rPr>
          <w:t xml:space="preserve">https://yihui.org/knitr/</w:t>
        </w:r>
      </w:hyperlink>
    </w:p>
    <w:bookmarkEnd w:id="96"/>
    <w:bookmarkEnd w:id="97"/>
    <w:p>
      <w:r>
        <w:br w:type="page"/>
      </w:r>
    </w:p>
    <w:bookmarkEnd w:id="98"/>
    <w:bookmarkStart w:id="99" w:name="appendix"/>
    <w:p>
      <w:pPr>
        <w:pStyle w:val="berschrift1"/>
      </w:pPr>
      <w:r>
        <w:t xml:space="preserve">Appendix</w:t>
      </w:r>
    </w:p>
    <w:bookmarkEnd w:id="99"/>
    <w:bookmarkStart w:id="100" w:name="talking-about-appendices"/>
    <w:p>
      <w:pPr>
        <w:pStyle w:val="berschrift1"/>
      </w:pPr>
      <w:r>
        <w:t xml:space="preserve">Talking about appendices</w:t>
      </w:r>
    </w:p>
    <w:bookmarkEnd w:id="100"/>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w:t>
      </w:r>
      <w:r>
        <w:t xml:space="preserve"> </w:t>
      </w:r>
      <w:r>
        <w:rPr>
          <w:iCs/>
          <w:i/>
        </w:rPr>
        <w:t xml:space="preserve">rstan</w:t>
      </w:r>
      <w:r>
        <w:t xml:space="preserve"> </w:t>
      </w:r>
      <w:r>
        <w:t xml:space="preserve">(Version 2.32.6;</w:t>
      </w:r>
      <w:r>
        <w:t xml:space="preserve"> </w:t>
      </w:r>
      <w:hyperlink w:anchor="ref-R-rstan">
        <w:r>
          <w:rPr>
            <w:rStyle w:val="Hyperlink"/>
          </w:rPr>
          <w:t xml:space="preserve">Stan Development Team, 2024</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hyperlink" Id="rId63" Target="https://doi.org/10.18637/jss.v080.i01" TargetMode="External" /><Relationship Type="http://schemas.openxmlformats.org/officeDocument/2006/relationships/hyperlink" Id="rId67" Target="https://doi.org/10.18637/jss.v100.i05" TargetMode="External" /><Relationship Type="http://schemas.openxmlformats.org/officeDocument/2006/relationships/hyperlink" Id="rId92" Target="https://doi.org/10.21105/joss.01686" TargetMode="External" /><Relationship Type="http://schemas.openxmlformats.org/officeDocument/2006/relationships/hyperlink" Id="rId65" Target="https://doi.org/10.32614/RJ-2018-017" TargetMode="External" /><Relationship Type="http://schemas.openxmlformats.org/officeDocument/2006/relationships/hyperlink" Id="rId76" Target="https://doi.org/10.3758/s13423-021-01995-w" TargetMode="External" /><Relationship Type="http://schemas.openxmlformats.org/officeDocument/2006/relationships/hyperlink" Id="rId71" Target="https://doi.org/10.5195/jmla.2017.88" TargetMode="External" /><Relationship Type="http://schemas.openxmlformats.org/officeDocument/2006/relationships/hyperlink" Id="rId80"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0" Target="https://github.com/crsh/papaja" TargetMode="External" /><Relationship Type="http://schemas.openxmlformats.org/officeDocument/2006/relationships/hyperlink" Id="rId89" Target="https://mc-stan.org/" TargetMode="External" /><Relationship Type="http://schemas.openxmlformats.org/officeDocument/2006/relationships/hyperlink" Id="rId25" Target="https://slesche.github.io/ted-site/" TargetMode="External" /><Relationship Type="http://schemas.openxmlformats.org/officeDocument/2006/relationships/hyperlink" Id="rId30" Target="https://slesche.github.io/truth-effect-database/" TargetMode="External" /><Relationship Type="http://schemas.openxmlformats.org/officeDocument/2006/relationships/hyperlink" Id="rId85" Target="https://www.R-project.org/" TargetMode="External" /><Relationship Type="http://schemas.openxmlformats.org/officeDocument/2006/relationships/hyperlink" Id="rId95"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8637/jss.v080.i01" TargetMode="External" /><Relationship Type="http://schemas.openxmlformats.org/officeDocument/2006/relationships/hyperlink" Id="rId67" Target="https://doi.org/10.18637/jss.v100.i05" TargetMode="External" /><Relationship Type="http://schemas.openxmlformats.org/officeDocument/2006/relationships/hyperlink" Id="rId92" Target="https://doi.org/10.21105/joss.01686" TargetMode="External" /><Relationship Type="http://schemas.openxmlformats.org/officeDocument/2006/relationships/hyperlink" Id="rId65" Target="https://doi.org/10.32614/RJ-2018-017" TargetMode="External" /><Relationship Type="http://schemas.openxmlformats.org/officeDocument/2006/relationships/hyperlink" Id="rId76" Target="https://doi.org/10.3758/s13423-021-01995-w" TargetMode="External" /><Relationship Type="http://schemas.openxmlformats.org/officeDocument/2006/relationships/hyperlink" Id="rId71" Target="https://doi.org/10.5195/jmla.2017.88" TargetMode="External" /><Relationship Type="http://schemas.openxmlformats.org/officeDocument/2006/relationships/hyperlink" Id="rId80"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60" Target="https://github.com/crsh/papaja" TargetMode="External" /><Relationship Type="http://schemas.openxmlformats.org/officeDocument/2006/relationships/hyperlink" Id="rId89" Target="https://mc-stan.org/" TargetMode="External" /><Relationship Type="http://schemas.openxmlformats.org/officeDocument/2006/relationships/hyperlink" Id="rId25" Target="https://slesche.github.io/ted-site/" TargetMode="External" /><Relationship Type="http://schemas.openxmlformats.org/officeDocument/2006/relationships/hyperlink" Id="rId30" Target="https://slesche.github.io/truth-effect-database/" TargetMode="External" /><Relationship Type="http://schemas.openxmlformats.org/officeDocument/2006/relationships/hyperlink" Id="rId85" Target="https://www.R-project.org/" TargetMode="External" /><Relationship Type="http://schemas.openxmlformats.org/officeDocument/2006/relationships/hyperlink" Id="rId95"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2025-08-26T13:19:19Z</dcterms:created>
  <dcterms:modified xsi:type="dcterms:W3CDTF">2025-08-26T13:19:19Z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