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5.png" ContentType="image/png"/>
  <Override PartName="/word/media/rId3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Author Notes go here.</w:t>
      </w:r>
    </w:p>
    <w:p>
      <w:pPr>
        <w:pStyle w:val="Textkrper"/>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Textkrper"/>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w:t>
      </w:r>
      <w:r>
        <w:t xml:space="preserve"> </w:t>
      </w:r>
      <w:r>
        <w:rPr>
          <w:bCs/>
          <w:b/>
        </w:rPr>
        <w:t xml:space="preserve">Haaf et al., in press</w:t>
      </w:r>
      <w:r>
        <w:t xml:space="preserve">)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w:t>
      </w:r>
      <w:r>
        <w:rPr>
          <w:bCs/>
          <w:b/>
        </w:rPr>
        <w:t xml:space="preserve">Lohnsdorf &amp; Ehlers, 2025</w:t>
      </w:r>
      <w:r>
        <w:t xml:space="preserve">).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drawing on resources and lessons learned from developing ACDC</w:t>
      </w:r>
      <w:r>
        <w:t xml:space="preserve"> </w:t>
      </w:r>
      <w:r>
        <w:rPr>
          <w:bCs/>
          <w:b/>
        </w:rPr>
        <w:t xml:space="preserve">cite!!</w:t>
      </w:r>
      <w:r>
        <w:t xml:space="preserve">. The truth-effect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4" w:name="method"/>
    <w:p>
      <w:pPr>
        <w:pStyle w:val="berschrift1"/>
      </w:pPr>
      <w:r>
        <w:t xml:space="preserve">Method</w:t>
      </w:r>
    </w:p>
    <w:bookmarkStart w:id="33"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r>
        <w:t xml:space="preserve">Figure 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9" w:name="data-submission"/>
    <w:p>
      <w:pPr>
        <w:pStyle w:val="berschrift3"/>
      </w:pPr>
      <w:r>
        <w:t xml:space="preserve">Data Submission.</w:t>
      </w:r>
    </w:p>
    <w:p>
      <w:pPr>
        <w:pStyle w:val="FirstParagraph"/>
      </w:pPr>
      <w:r>
        <w:t xml:space="preserve">To ease the process of submitting data to the database, we built a website (</w:t>
      </w:r>
      <w:hyperlink r:id="rId28">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29"/>
    <w:bookmarkStart w:id="30"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0"/>
    <w:bookmarkStart w:id="31"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w:t>
      </w:r>
    </w:p>
    <w:bookmarkEnd w:id="31"/>
    <w:bookmarkStart w:id="32"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2"/>
    <w:bookmarkEnd w:id="33"/>
    <w:bookmarkEnd w:id="34"/>
    <w:bookmarkStart w:id="45"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4.2.2;</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5"/>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7" name="Picture"/>
            <a:graphic>
              <a:graphicData uri="http://schemas.openxmlformats.org/drawingml/2006/picture">
                <pic:pic>
                  <pic:nvPicPr>
                    <pic:cNvPr descr="images/study_overview_plot.png" id="38" name="Picture"/>
                    <pic:cNvPicPr>
                      <a:picLocks noChangeArrowheads="1" noChangeAspect="1"/>
                    </pic:cNvPicPr>
                  </pic:nvPicPr>
                  <pic:blipFill>
                    <a:blip r:embed="rId36"/>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r>
        <w:t xml:space="preserve">Figure 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0" name="Picture"/>
            <a:graphic>
              <a:graphicData uri="http://schemas.openxmlformats.org/drawingml/2006/picture">
                <pic:pic>
                  <pic:nvPicPr>
                    <pic:cNvPr descr="images/procedure_overview_plot.png" id="41" name="Picture"/>
                    <pic:cNvPicPr>
                      <a:picLocks noChangeArrowheads="1" noChangeAspect="1"/>
                    </pic:cNvPicPr>
                  </pic:nvPicPr>
                  <pic:blipFill>
                    <a:blip r:embed="rId39"/>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r>
        <w:t xml:space="preserve">Figure 3: Overview of Procedure-related variables in TED</w:t>
      </w:r>
    </w:p>
    <w:p>
      <w:pPr>
        <w:pStyle w:val="Textkrper"/>
      </w:pPr>
      <w:r>
        <w:t xml:space="preserve">Detailed information on the statements presented is available for 45 out of 48 studies. Data on the accuracy of a statement is available for 83.58 % of trials, the detailed statement text is available for 69.90 % of trials, and response times are available for 24.31 % of trials.</w:t>
      </w:r>
    </w:p>
    <w:bookmarkStart w:id="44"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random intercepts and slopes at the subject, statement, and procedure levels.</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p>
      <w:pPr>
        <w:pStyle w:val="Textkrper"/>
      </w:pPr>
      <w:r>
        <w:t xml:space="preserve">We fit five models per dataset. A baseline model with only random intercepts. A full model including random intercepts and random slopes for repetition across all grouping factors. And three reduced models, each excluding the random slope of repetition for one grouping factor (subject, statement, or procedure).</w:t>
      </w:r>
    </w:p>
    <w:bookmarkStart w:id="42"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 1:</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w:t>
      </w:r>
      <w:r>
        <w:t xml:space="preserve"> </w:t>
      </w:r>
      <w:r>
        <w:rPr>
          <w:bCs/>
          <w:b/>
        </w:rPr>
        <w:t xml:space="preserve">here, fit indices!</w:t>
      </w:r>
      <w:r>
        <w:t xml:space="preserve">.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2"/>
    <w:bookmarkStart w:id="43"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 2:</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w:t>
      </w:r>
      <w:r>
        <w:t xml:space="preserve"> </w:t>
      </w:r>
      <w:r>
        <w:rPr>
          <w:bCs/>
          <w:b/>
        </w:rPr>
        <w:t xml:space="preserve">here, fit indices!!</w:t>
      </w:r>
      <w:r>
        <w:t xml:space="preserve">,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Fit indices and effect sizes of these models. Variance measures here, too.</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w:t>
      </w:r>
      <w:r>
        <w:br/>
      </w:r>
      <w:r>
        <w:rPr>
          <w:rStyle w:val="VerbatimChar"/>
        </w:rPr>
        <w:t xml:space="preserve">##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w:t>
      </w:r>
      <w:r>
        <w:br/>
      </w:r>
      <w:r>
        <w:rPr>
          <w:rStyle w:val="VerbatimChar"/>
        </w:rPr>
        <w:t xml:space="preserve">##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43"/>
    <w:bookmarkEnd w:id="44"/>
    <w:bookmarkEnd w:id="45"/>
    <w:bookmarkStart w:id="48"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With contributions from over 10,000 participants, our database offers a comprehensive resource for researchers interested in understanding how repetition and related factors influence truth judgments.</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rPr>
          <w:bCs/>
          <w:b/>
        </w:rPr>
        <w:t xml:space="preserve">citations here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rPr>
          <w:bCs/>
          <w:b/>
        </w:rPr>
        <w:t xml:space="preserve">cite!!</w:t>
      </w:r>
      <w:r>
        <w:t xml:space="preserve"> </w:t>
      </w:r>
      <w:r>
        <w:t xml:space="preserve">allows users to extract data with flexible filtering criteria, supporting both simple and complex queries. Additionally, we have developed a web-based data entry interface that automatically checks for consistency and flags incorrect variable names or entries (</w:t>
      </w:r>
      <w:hyperlink r:id="rId28">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 Based on prior studies</w:t>
      </w:r>
      <w:r>
        <w:t xml:space="preserve"> </w:t>
      </w:r>
      <w:r>
        <w:rPr>
          <w:bCs/>
          <w:b/>
        </w:rPr>
        <w:t xml:space="preserve">include study</w:t>
      </w:r>
      <w:r>
        <w:t xml:space="preserve">, we expected variability in the truth effect to be greater when the exposure and judgment occur on the same day, as repetition-based fluency is likely more salient in short-delay conditions.</w:t>
      </w:r>
    </w:p>
    <w:p>
      <w:pPr>
        <w:pStyle w:val="Textkrper"/>
      </w:pPr>
      <w:r>
        <w:rPr>
          <w:bCs/>
          <w:b/>
        </w:rPr>
        <w:t xml:space="preserve">also the overall size of truth effect here?</w:t>
      </w:r>
      <w:r>
        <w:t xml:space="preserve"> </w:t>
      </w: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test the delay-related differences for significance, and the analysis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46"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 multinomial processing tree models, or signal detection accounts 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w:t>
      </w:r>
      <w:r>
        <w:t xml:space="preserve"> </w:t>
      </w:r>
      <w:r>
        <w:rPr>
          <w:bCs/>
          <w:b/>
        </w:rPr>
        <w:t xml:space="preserve">cite!!</w:t>
      </w:r>
      <w:r>
        <w:t xml:space="preserve"> </w:t>
      </w:r>
      <w:r>
        <w:t xml:space="preserve">project, improving on data submission and ease-of-use and can as a blueprint and jumping-off point for future database development. All aspects of the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46"/>
    <w:bookmarkStart w:id="47" w:name="conclusion"/>
    <w:p>
      <w:pPr>
        <w:pStyle w:val="berschrift2"/>
      </w:pPr>
      <w:r>
        <w:t xml:space="preserve">Conclusion</w:t>
      </w:r>
    </w:p>
    <w:p>
      <w:pPr>
        <w:pStyle w:val="FirstParagraph"/>
      </w:pPr>
      <w:r>
        <w:t xml:space="preserve">In this paper, we introduced the Truth-Effect Database (TED), a structured, large-scale resource for cumulative research on truth judgments. TED includes not only standardized, trial-level data but also open tools for user interaction, including a submission interface, a data exploration website, and an R package for flexible data extraction.</w:t>
      </w:r>
    </w:p>
    <w:p>
      <w:pPr>
        <w:pStyle w:val="Textkrper"/>
      </w:pPr>
      <w:r>
        <w:t xml:space="preserve">We illustrated the utility of TED through initial multilevel analyses, which highlighted substantial subject-level variance in the truth effect. This finding points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47"/>
    <w:bookmarkEnd w:id="48"/>
    <w:bookmarkStart w:id="82" w:name="references"/>
    <w:p>
      <w:pPr>
        <w:pStyle w:val="berschrift1"/>
      </w:pPr>
      <w:r>
        <w:t xml:space="preserve">References</w:t>
      </w:r>
    </w:p>
    <w:bookmarkStart w:id="81" w:name="refs"/>
    <w:bookmarkStart w:id="50"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49">
        <w:r>
          <w:rPr>
            <w:rStyle w:val="Hyperlink"/>
          </w:rPr>
          <w:t xml:space="preserve">https://github.com/crsh/papaja</w:t>
        </w:r>
      </w:hyperlink>
    </w:p>
    <w:bookmarkEnd w:id="50"/>
    <w:bookmarkStart w:id="52"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1">
        <w:r>
          <w:rPr>
            <w:rStyle w:val="Hyperlink"/>
          </w:rPr>
          <w:t xml:space="preserve">https://doi.org/10.18637/jss.v067.i01</w:t>
        </w:r>
      </w:hyperlink>
    </w:p>
    <w:bookmarkEnd w:id="52"/>
    <w:bookmarkStart w:id="53"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(No. 2; Vol. 33, pp. 179–183). SAGE Publications Sage CA: Los Angeles, CA.</w:t>
      </w:r>
    </w:p>
    <w:bookmarkEnd w:id="53"/>
    <w:bookmarkStart w:id="55"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4">
        <w:r>
          <w:rPr>
            <w:rStyle w:val="Hyperlink"/>
          </w:rPr>
          <w:t xml:space="preserve">https://doi.org/10.18637/jss.v080.i01</w:t>
        </w:r>
      </w:hyperlink>
    </w:p>
    <w:bookmarkEnd w:id="55"/>
    <w:bookmarkStart w:id="57"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56">
        <w:r>
          <w:rPr>
            <w:rStyle w:val="Hyperlink"/>
          </w:rPr>
          <w:t xml:space="preserve">https://doi.org/10.32614/RJ-2018-017</w:t>
        </w:r>
      </w:hyperlink>
    </w:p>
    <w:bookmarkEnd w:id="57"/>
    <w:bookmarkStart w:id="59"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58">
        <w:r>
          <w:rPr>
            <w:rStyle w:val="Hyperlink"/>
          </w:rPr>
          <w:t xml:space="preserve">https://doi.org/10.18637/jss.v100.i05</w:t>
        </w:r>
      </w:hyperlink>
    </w:p>
    <w:bookmarkEnd w:id="59"/>
    <w:bookmarkStart w:id="60"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0"/>
    <w:bookmarkStart w:id="62"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1">
        <w:r>
          <w:rPr>
            <w:rStyle w:val="Hyperlink"/>
          </w:rPr>
          <w:t xml:space="preserve">https://doi.org/10.5195/jmla.2017.88</w:t>
        </w:r>
      </w:hyperlink>
    </w:p>
    <w:bookmarkEnd w:id="62"/>
    <w:bookmarkStart w:id="63"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3"/>
    <w:bookmarkStart w:id="64"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4"/>
    <w:bookmarkStart w:id="66"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65">
        <w:r>
          <w:rPr>
            <w:rStyle w:val="Hyperlink"/>
          </w:rPr>
          <w:t xml:space="preserve">https://doi.org/10.3758/s13423-021-01995-w</w:t>
        </w:r>
      </w:hyperlink>
    </w:p>
    <w:bookmarkEnd w:id="66"/>
    <w:bookmarkStart w:id="67"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67"/>
    <w:bookmarkStart w:id="68"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68"/>
    <w:bookmarkStart w:id="70"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69">
        <w:r>
          <w:rPr>
            <w:rStyle w:val="Hyperlink"/>
          </w:rPr>
          <w:t xml:space="preserve">https://github.com/SLesche/acdc-query</w:t>
        </w:r>
      </w:hyperlink>
    </w:p>
    <w:bookmarkEnd w:id="70"/>
    <w:bookmarkStart w:id="71"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1"/>
    <w:bookmarkStart w:id="72"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2"/>
    <w:bookmarkStart w:id="73"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3"/>
    <w:bookmarkStart w:id="75"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4">
        <w:r>
          <w:rPr>
            <w:rStyle w:val="Hyperlink"/>
          </w:rPr>
          <w:t xml:space="preserve">https://www.R-project.org/</w:t>
        </w:r>
      </w:hyperlink>
    </w:p>
    <w:bookmarkEnd w:id="75"/>
    <w:bookmarkStart w:id="77"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76">
        <w:r>
          <w:rPr>
            <w:rStyle w:val="Hyperlink"/>
          </w:rPr>
          <w:t xml:space="preserve">https://doi.org/10.21105/joss.01686</w:t>
        </w:r>
      </w:hyperlink>
    </w:p>
    <w:bookmarkEnd w:id="77"/>
    <w:bookmarkStart w:id="78"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78"/>
    <w:bookmarkStart w:id="80"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79">
        <w:r>
          <w:rPr>
            <w:rStyle w:val="Hyperlink"/>
          </w:rPr>
          <w:t xml:space="preserve">https://yihui.org/knitr/</w:t>
        </w:r>
      </w:hyperlink>
    </w:p>
    <w:bookmarkEnd w:id="80"/>
    <w:bookmarkEnd w:id="81"/>
    <w:p>
      <w:r>
        <w:br w:type="page"/>
      </w:r>
    </w:p>
    <w:bookmarkEnd w:id="82"/>
    <w:bookmarkStart w:id="83" w:name="appendix"/>
    <w:p>
      <w:pPr>
        <w:pStyle w:val="berschrift1"/>
      </w:pPr>
      <w:r>
        <w:t xml:space="preserve">Appendix</w:t>
      </w:r>
    </w:p>
    <w:bookmarkEnd w:id="83"/>
    <w:bookmarkStart w:id="84" w:name="talking-about-appendices"/>
    <w:p>
      <w:pPr>
        <w:pStyle w:val="berschrift1"/>
      </w:pPr>
      <w:r>
        <w:t xml:space="preserve">Talking about appendices</w:t>
      </w:r>
    </w:p>
    <w:bookmarkEnd w:id="84"/>
    <w:sectPr w:rsidR="00DA0F6A" w:rsidRPr="00A76E18" w:rsidSect="00CB20D0">
      <w:headerReference r:id="rId10" w:type="even"/>
      <w:headerReference r:id="rId9" w:type="default"/>
      <w:headerReference r:id="rId11"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1.42;</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1.1.32;</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0.1.1;</w:t>
      </w:r>
      <w:r>
        <w:t xml:space="preserve"> </w:t>
      </w:r>
      <w:hyperlink w:anchor="ref-R-papaja">
        <w:r>
          <w:rPr>
            <w:rStyle w:val="Hyperlink"/>
          </w:rPr>
          <w:t xml:space="preserve">Aust &amp; Barth, 2022</w:t>
        </w:r>
      </w:hyperlink>
      <w:r>
        <w:t xml:space="preserve">)</w:t>
      </w:r>
      <w:r>
        <w:t xml:space="preserve">, 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INTRODUCING TED</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INTRODUCING TED</w:t>
    </w:r>
  </w:p>
  <w:p w:rsidR="00CB20D0" w:rsidRPr="00A05772" w:rsidRDefault="00F57B6E" w:rsidP="00CB20D0">
    <w:pPr>
      <w:pStyle w:val="Kopfzeile"/>
      <w:ind w:right="357"/>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EC6A2DF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8C62132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62BAE31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24507FF6"/>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4C896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B6B486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4282EB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7B8633C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D1AAEE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E585DB0"/>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006D3F"/>
    <w:pPr>
      <w:spacing w:before="0"/>
    </w:pPr>
  </w:style>
  <w:style w:customStyle="1" w:styleId="Table" w:type="table">
    <w:name w:val="Table"/>
    <w:basedOn w:val="NormaleTabelle"/>
    <w:uiPriority w:val="99"/>
    <w:rsid w:val="00141BA7"/>
    <w:pPr>
      <w:spacing w:after="0"/>
    </w:pPr>
    <w:rPr>
      <w:rFonts w:ascii="Times New Roman" w:hAnsi="Times New Roman"/>
    </w:rPr>
    <w:tblPr>
      <w:tblBorders>
        <w:top w:color="auto" w:space="0" w:sz="12" w:val="single"/>
        <w:bottom w:color="auto" w:space="0" w:sz="4" w:val="single"/>
      </w:tblBorders>
    </w:tbl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006D3F"/>
    <w:pPr>
      <w:keepNext/>
    </w:pPr>
  </w:style>
  <w:style w:customStyle="1" w:styleId="ImageCaption" w:type="paragraph">
    <w:name w:val="Image Caption"/>
    <w:basedOn w:val="Beschriftung"/>
    <w:rsid w:val="00421B26"/>
    <w:rPr>
      <w:i w:val="0"/>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effect-database/"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effect-database/"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2025-07-23T13:01:07Z</dcterms:created>
  <dcterms:modified xsi:type="dcterms:W3CDTF">2025-07-23T13:01:07Z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C:\Users\Sven\AppData\Local\R\win-library\4.2\papaja\rmd\apa7.csl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