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0.png" ContentType="image/png"/>
  <Override PartName="/word/media/rId25.png" ContentType="image/png"/>
  <Override PartName="/word/media/rId46.png" ContentType="image/png"/>
  <Override PartName="/word/media/rId5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The FAIR data principles form the foundation of the open data movement. However, while many current practices ensure data are findable and accessible, true interoperability and reusability remain limited. This paper introduces the Truth Effect Database (TED), a large-scale, trial-level, open database harmonizing data from illusory truth effect studies designed to enhance interoperability and reusability. TED currently integrates data from 59 studies in 29 publications, spanning 12,242 participants and 808,231 trials, accounting for a wide range of dispositional and contextual variables. To promote usability, TED focuses on user-friendly data submission using a custom entry website and data extraction using the R-package acdcquery. These tools guide researchers through both data entry and retrieval, eliminating the need for direct interaction with the database’s internal structure. We illustrated the utility of TED through Bayesian multilevel analyses, highlighting substantial variance in the illusory truth effect at the subject level, moderated by the delay between exposure and judgment phases in truth effect paradigms. Beyond this first demonstration, TED provides the foundation for a wide range of future research. These include (living) meta-analyses, simulation-based power analyses, rigorous replication and reanalysis of existing studies, as well as the validation and development of formal cognitive models. As an open and extensible infrastructure, TED serves as a blueprint for sustainable, community-driven database development in psychological science.</w:t>
      </w:r>
    </w:p>
    <w:p>
      <w:pPr>
        <w:pStyle w:val="Textkrper"/>
      </w:pPr>
      <w:r>
        <w:rPr>
          <w:iCs/>
          <w:i/>
        </w:rPr>
        <w:t xml:space="preserve">Keywords:</w:t>
      </w:r>
      <w:r>
        <w:t xml:space="preserve"> </w:t>
      </w:r>
      <w:r>
        <w:t xml:space="preserve">illusory truth effect, open science, open data, database, SQL, reproducibility</w:t>
      </w:r>
    </w:p>
    <w:p>
      <w:pPr>
        <w:pStyle w:val="h1-pagebreak"/>
      </w:pPr>
      <w:r>
        <w:t xml:space="preserve">Introducing the Truth Effect Database (TED) - an open trial-level database promoting FAIR data in truth effect research</w:t>
      </w:r>
    </w:p>
    <w:p>
      <w:pPr>
        <w:pStyle w:val="Textkrper"/>
      </w:pPr>
      <w:r>
        <w:t xml:space="preserve">The open science movement has emerged in response to growing concerns about the replicability, transparency, and efficiency of scientific research (Ioannidis, 2005; Munafò et al., 2017; Nosek et al., 2015).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 (Foster &amp; Deardorff, 2017), have played a pivotal role in advancing openness through tools that support study registration, version control, and public sharing of data and materials. Transparency, once rare, is increasingly becoming the norm (Bauer, 2022).</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 (Wilkinson et al., 2016),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to investigate a further research question, they have to comb through OSF, pray for existing codebooks and hope for decipherable raw data. This is both tedious and often unsuccessful (Crüwell et al., 2023; Hardwicke et al., 2021).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believe that structure is essential to make research results not only transparent, but also truly reusable. That is, reusability requires standardized organization: consistent variable naming, common data schemas, uniform documentation practices, and clear, accessible codebooks. In neuroscience, this principle has been successfully realized through the Brain Imaging Data Structure – BIDS (Gorgolewski et al., 2016), which provides a framework for organizing and annotating neuroimaging data. BIDS has enabled not just more efficient sharing, but also reproducible pipelines, automated analyses, and collaborative efforts at scale (Poldrack et al., 2024).</w:t>
      </w:r>
    </w:p>
    <w:p>
      <w:pPr>
        <w:pStyle w:val="Textkrper"/>
      </w:pPr>
      <w:r>
        <w:t xml:space="preserve">Structured approaches like BIDS are now gaining increasing attention in cognitive psychology. The Attentional Control Data Collection (ACDC) introduced a trial-level database for data from attentional control experiments, providing standardized variable names, metadata, and analysis-ready formats that streamline cross-study comparisons (Haaf et al., 2025).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 DFG issued an open funding call for projects developing infrastructure for scientific data management (DFG; Förderprogramm Informationsinfrastrukturen für Forschungsdaten).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in the field of cognitive psychology.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 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 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3"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 (Haaf et al., 2025).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 The accompanying website (</w:t>
      </w:r>
      <w:hyperlink r:id="rId22">
        <w:r>
          <w:rPr>
            <w:rStyle w:val="Hyperlink"/>
          </w:rPr>
          <w:t xml:space="preserve">https://slesche.github.io/ted-site/</w:t>
        </w:r>
      </w:hyperlink>
      <w:r>
        <w:t xml:space="preserve">) aims to serve as both a guide towards using TED as well as a living example of analyses made possible through TED. In addition to a living version of the analysis provided in this paper, we provide a small, living meta-analysis – in fact, the most recent meta-analysis published in the field of the illusory truth effect dates back more than 15 years (see Dechêne et al., 2010).</w:t>
      </w:r>
    </w:p>
    <w:bookmarkEnd w:id="23"/>
    <w:bookmarkStart w:id="39" w:name="method"/>
    <w:p>
      <w:pPr>
        <w:pStyle w:val="berschrift1"/>
      </w:pPr>
      <w:r>
        <w:t xml:space="preserve">Method</w:t>
      </w:r>
    </w:p>
    <w:bookmarkStart w:id="38"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2">
        <w:r>
          <w:rPr>
            <w:rStyle w:val="Hyperlink"/>
          </w:rPr>
          <w:t xml:space="preserve">https://slesche.github.io/ted-site/</w:t>
        </w:r>
      </w:hyperlink>
      <w:r>
        <w:t xml:space="preserve">).</w:t>
      </w:r>
    </w:p>
    <w:p>
      <w:pPr>
        <w:pStyle w:val="Textkrper"/>
      </w:pPr>
      <w:r>
        <w:t xml:space="preserve">The database is implemented using Structured Query Language (SQL), specifically SQLite (Hipp, 2020). A key advantage of SQLite is its serverless architecture – 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 1. Broadly, we make use of a table for each part of data related to truth effect experiments. Meta-data concerning the publications themselves as the highest order are stored in a publication_table and raw data at the lowest level in the observation_table. Between these two levels, additional tables capture detailed information about studies, procedures, materials, and collected measures:</w:t>
      </w:r>
      <w:r>
        <w:t xml:space="preserve"> </w:t>
      </w:r>
      <w:r>
        <w:t xml:space="preserve">•</w:t>
      </w:r>
      <w:r>
        <w:t xml:space="preserve"> </w:t>
      </w:r>
      <w:r>
        <w:rPr>
          <w:iCs/>
          <w:i/>
        </w:rPr>
        <w:t xml:space="preserve">publication_table</w:t>
      </w:r>
      <w:r>
        <w:t xml:space="preserve">: Contains meta-data about the publication (e.g., authors, year, journal).</w:t>
      </w:r>
      <w:r>
        <w:t xml:space="preserve"> </w:t>
      </w:r>
      <w:r>
        <w:t xml:space="preserve">•</w:t>
      </w:r>
      <w:r>
        <w:t xml:space="preserve"> </w:t>
      </w:r>
      <w:r>
        <w:rPr>
          <w:iCs/>
          <w:i/>
        </w:rPr>
        <w:t xml:space="preserve">study_table</w:t>
      </w:r>
      <w:r>
        <w:t xml:space="preserve">: Includes study-level information such as participant characteristics, use of filler tasks, and the location of raw data in online repositories.</w:t>
      </w:r>
      <w:r>
        <w:t xml:space="preserve"> </w:t>
      </w:r>
      <w:r>
        <w:t xml:space="preserve">•</w:t>
      </w:r>
      <w:r>
        <w:t xml:space="preserve"> </w:t>
      </w:r>
      <w:r>
        <w:rPr>
          <w:iCs/>
          <w:i/>
        </w:rPr>
        <w:t xml:space="preserve">procedure_table</w:t>
      </w:r>
      <w:r>
        <w:t xml:space="preserve">: Describes the experimental procedure, including commonly manipulated variables in truth effect research (e.g., type of repetition, delay between exposure and judgment phase, warnings about the truth effect).</w:t>
      </w:r>
      <w:r>
        <w:t xml:space="preserve"> </w:t>
      </w:r>
      <w:r>
        <w:t xml:space="preserve">•</w:t>
      </w:r>
      <w:r>
        <w:t xml:space="preserve"> </w:t>
      </w:r>
      <w:r>
        <w:rPr>
          <w:iCs/>
          <w:i/>
        </w:rPr>
        <w:t xml:space="preserve">between_table</w:t>
      </w:r>
      <w:r>
        <w:t xml:space="preserve">: Lists between-subject manipulations not already encoded in the</w:t>
      </w:r>
      <w:r>
        <w:t xml:space="preserve"> </w:t>
      </w:r>
      <w:r>
        <w:rPr>
          <w:iCs/>
          <w:i/>
        </w:rPr>
        <w:t xml:space="preserve">procedure_table.</w:t>
      </w:r>
      <w:r>
        <w:t xml:space="preserve"> </w:t>
      </w:r>
      <w:r>
        <w:t xml:space="preserve">•</w:t>
      </w:r>
      <w:r>
        <w:t xml:space="preserve"> </w:t>
      </w:r>
      <w:r>
        <w:rPr>
          <w:iCs/>
          <w:i/>
        </w:rPr>
        <w:t xml:space="preserve">within_table</w:t>
      </w:r>
      <w:r>
        <w:t xml:space="preserve">: Lists within-subject manipulations not already encoded in the</w:t>
      </w:r>
      <w:r>
        <w:t xml:space="preserve"> </w:t>
      </w:r>
      <w:r>
        <w:rPr>
          <w:iCs/>
          <w:i/>
        </w:rPr>
        <w:t xml:space="preserve">procedure_table.</w:t>
      </w:r>
      <w:r>
        <w:t xml:space="preserve"> </w:t>
      </w:r>
      <w:r>
        <w:t xml:space="preserve">•</w:t>
      </w:r>
      <w:r>
        <w:t xml:space="preserve"> </w:t>
      </w:r>
      <w:r>
        <w:rPr>
          <w:iCs/>
          <w:i/>
        </w:rPr>
        <w:t xml:space="preserve">statementset_table</w:t>
      </w:r>
      <w:r>
        <w:t xml:space="preserve">: Provides information about the publication or source from which a set of statements was retrieved.</w:t>
      </w:r>
      <w:r>
        <w:t xml:space="preserve"> </w:t>
      </w:r>
      <w:r>
        <w:t xml:space="preserve">•</w:t>
      </w:r>
      <w:r>
        <w:t xml:space="preserve"> </w:t>
      </w:r>
      <w:r>
        <w:rPr>
          <w:iCs/>
          <w:i/>
        </w:rPr>
        <w:t xml:space="preserve">statement_table</w:t>
      </w:r>
      <w:r>
        <w:t xml:space="preserve">: Contains the text of each statement and its accuracy classification.</w:t>
      </w:r>
      <w:r>
        <w:t xml:space="preserve"> </w:t>
      </w:r>
      <w:r>
        <w:t xml:space="preserve">•</w:t>
      </w:r>
      <w:r>
        <w:t xml:space="preserve"> </w:t>
      </w:r>
      <w:r>
        <w:rPr>
          <w:iCs/>
          <w:i/>
        </w:rPr>
        <w:t xml:space="preserve">measure_table</w:t>
      </w:r>
      <w:r>
        <w:t xml:space="preserve">: Includes information about additional measures collected during the experiment. Although raw data for these measures are not included due to limited overlap across studies, researchers can use this table to filter relevant studies and retrieve corresponding raw data separately.</w:t>
      </w:r>
      <w:r>
        <w:t xml:space="preserve"> </w:t>
      </w:r>
      <w:r>
        <w:t xml:space="preserve">•</w:t>
      </w:r>
      <w:r>
        <w:t xml:space="preserve"> </w:t>
      </w:r>
      <w:r>
        <w:rPr>
          <w:iCs/>
          <w:i/>
        </w:rPr>
        <w:t xml:space="preserve">observation_table</w:t>
      </w:r>
      <w:r>
        <w:t xml:space="preserve">: Stores the harmonized raw trial-level data, representing the lowest level of the database structure.</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4"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(see Figure</w:t>
      </w:r>
      <w:r>
        <w:t xml:space="preserve"> </w:t>
      </w:r>
      <w:r>
        <w:t xml:space="preserve">2</w:t>
      </w:r>
      <w:r>
        <w:t xml:space="preserve">). This website is designed to minimize both the effort of submitting new data to the database as well as proactively identify potential errors in the submission process.</w:t>
      </w:r>
    </w:p>
    <w:p>
      <w:pPr>
        <w:pStyle w:val="CaptionedFigure"/>
      </w:pPr>
      <w:r>
        <w:drawing>
          <wp:inline>
            <wp:extent cx="5969000" cy="3387698"/>
            <wp:effectExtent b="0" l="0" r="0" t="0"/>
            <wp:docPr descr="Figure 2: Screenshot of the TED data entry webpage" title="" id="31" name="Picture"/>
            <a:graphic>
              <a:graphicData uri="http://schemas.openxmlformats.org/drawingml/2006/picture">
                <pic:pic>
                  <pic:nvPicPr>
                    <pic:cNvPr descr="./images/screenshot_submission_homepage.png" id="32" name="Picture"/>
                    <pic:cNvPicPr>
                      <a:picLocks noChangeArrowheads="1" noChangeAspect="1"/>
                    </pic:cNvPicPr>
                  </pic:nvPicPr>
                  <pic:blipFill>
                    <a:blip r:embed="rId30"/>
                    <a:stretch>
                      <a:fillRect/>
                    </a:stretch>
                  </pic:blipFill>
                  <pic:spPr bwMode="auto">
                    <a:xfrm>
                      <a:off x="0" y="0"/>
                      <a:ext cx="5969000" cy="3387698"/>
                    </a:xfrm>
                    <a:prstGeom prst="rect">
                      <a:avLst/>
                    </a:prstGeom>
                    <a:noFill/>
                    <a:ln w="9525">
                      <a:noFill/>
                      <a:headEnd/>
                      <a:tailEnd/>
                    </a:ln>
                  </pic:spPr>
                </pic:pic>
              </a:graphicData>
            </a:graphic>
          </wp:inline>
        </w:drawing>
      </w:r>
    </w:p>
    <w:p>
      <w:pPr>
        <w:pStyle w:val="ImageCaption"/>
      </w:pPr>
      <w:bookmarkStart w:id="33" w:name="fig:submission-overview-png"/>
      <w:bookmarkEnd w:id="33"/>
      <w:r>
        <w:rPr>
          <w:iCs/>
          <w:i/>
        </w:rPr>
        <w:t xml:space="preserve">Figure</w:t>
      </w:r>
      <w:r>
        <w:t xml:space="preserve"> </w:t>
      </w:r>
      <w:r>
        <w:t xml:space="preserve">2. Screenshot of the TED data entry webpage</w:t>
      </w:r>
    </w:p>
    <w:p>
      <w:pPr>
        <w:pStyle w:val="Textkrper"/>
      </w:pPr>
      <w:r>
        <w:t xml:space="preserve">Contributors are prompted to provide information across all levels of the database, including publication metadata, study characteristics, experimental conditions, statements, and raw trial data. Importantly, this also requires formatting the raw data according to the documented TED variable names. By placing the responsibility for mapping and labeling variables on the researchers most familiar with the dataset, ambiguities about variable meaning are resolved at the source and the data are directly translated into a standardized format that is transparent and usable for the broader community.</w:t>
      </w:r>
    </w:p>
    <w:p>
      <w:pPr>
        <w:pStyle w:val="Textkrper"/>
      </w:pPr>
      <w:r>
        <w:t xml:space="preserve">The system cross-checks entered metadata against the uploaded raw data (e.g., verifying the number and coding of conditions or statements) and provides immediate feedback if inconsistencies arise. These automated validation steps ensure that submissions are internally coherent and can be smoothly integrated into the harmonized database structure, while maintaining a low barrier to contribution.</w:t>
      </w:r>
    </w:p>
    <w:p>
      <w:pPr>
        <w:pStyle w:val="Textkrper"/>
      </w:pPr>
      <w:r>
        <w:t xml:space="preserve">Once all required information has been entered and validated, contributors finalize their submission by clicking the</w:t>
      </w:r>
      <w:r>
        <w:t xml:space="preserve"> </w:t>
      </w:r>
      <w:r>
        <w:t xml:space="preserve">“</w:t>
      </w:r>
      <w:r>
        <w:t xml:space="preserve">Submit Data</w:t>
      </w:r>
      <w:r>
        <w:t xml:space="preserve">”</w:t>
      </w:r>
      <w:r>
        <w:t xml:space="preserve"> </w:t>
      </w:r>
      <w:r>
        <w:t xml:space="preserve">button. This action generates and downloads a finalized JSON file containing the complete submission package. Contributors then send this file to the TED maintainers for review and final approval, after which the data are integrated into the database.</w:t>
      </w:r>
    </w:p>
    <w:p>
      <w:pPr>
        <w:pStyle w:val="Textkrper"/>
      </w:pPr>
      <w:r>
        <w:t xml:space="preserve">Data can be submitted at any stage of the research process (e.g. immediately after data collection, upon release of a preprint, or following formal publication). If the status of the associated manuscript changes, contributors can easily update this information by contacting the TED maintainers and informing them of the new status.</w:t>
      </w:r>
    </w:p>
    <w:bookmarkEnd w:id="34"/>
    <w:bookmarkStart w:id="35"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download the latest version of the database using</w:t>
      </w:r>
      <w:r>
        <w:t xml:space="preserve"> </w:t>
      </w:r>
      <w:r>
        <w:rPr>
          <w:rStyle w:val="VerbatimChar"/>
        </w:rPr>
        <w:t xml:space="preserve">download_ted()</w:t>
      </w:r>
      <w:r>
        <w:t xml:space="preserve">, connect to the database using</w:t>
      </w:r>
      <w:r>
        <w:t xml:space="preserve"> </w:t>
      </w:r>
      <w:r>
        <w:rPr>
          <w:rStyle w:val="VerbatimChar"/>
        </w:rPr>
        <w:t xml:space="preserve">connect_to_db()</w:t>
      </w:r>
      <w:r>
        <w:t xml:space="preserve">,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FunctionTok"/>
        </w:rPr>
        <w:t xml:space="preserve">download_ted</w:t>
      </w:r>
      <w:r>
        <w:rPr>
          <w:rStyle w:val="NormalTok"/>
        </w:rPr>
        <w:t xml:space="preserve">(</w:t>
      </w:r>
      <w:r>
        <w:rPr>
          <w:rStyle w:val="StringTok"/>
        </w:rPr>
        <w:t xml:space="preserve">"path/to/"</w:t>
      </w:r>
      <w:r>
        <w:rPr>
          <w:rStyle w:val="NormalTok"/>
        </w:rPr>
        <w:t xml:space="preserve">)</w:t>
      </w:r>
      <w:r>
        <w:br/>
      </w:r>
      <w:r>
        <w:br/>
      </w:r>
      <w:r>
        <w:rPr>
          <w:rStyle w:val="CommentTok"/>
        </w:rPr>
        <w:t xml:space="preserve"># OR check whether your version is up-to-date using check_ted("path/to/ted.db")</w:t>
      </w:r>
      <w:r>
        <w:br/>
      </w:r>
      <w:r>
        <w:rPr>
          <w:rStyle w:val="CommentTok"/>
        </w:rPr>
        <w:t xml:space="preserve"># and update it using update_ted("path/to/ted.db")</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rPr>
          <w:rStyle w:val="FunctionTok"/>
        </w:rPr>
        <w:t xml:space="preserve">add_argument</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"publication_id"</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add_argument</w:t>
      </w:r>
      <w:r>
        <w:rPr>
          <w:rStyle w:val="NormalTok"/>
        </w:rPr>
        <w:t xml:space="preserve">(  </w:t>
      </w:r>
      <w:r>
        <w:rPr>
          <w:rStyle w:val="CommentTok"/>
        </w:rPr>
        <w:t xml:space="preserve"># You can chain together multiple arguments</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"phase"</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StringTok"/>
        </w:rPr>
        <w:t xml:space="preserve">"test"</w:t>
      </w:r>
      <w:r>
        <w:br/>
      </w:r>
      <w:r>
        <w:rPr>
          <w:rStyle w:val="NormalTok"/>
        </w:rPr>
        <w:t xml:space="preserve">  )</w:t>
      </w:r>
      <w:r>
        <w:br/>
      </w:r>
      <w:r>
        <w:br/>
      </w:r>
      <w:r>
        <w:rPr>
          <w:rStyle w:val="NormalTok"/>
        </w:rPr>
        <w:t xml:space="preserve">procedure_results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"publication_id"</w:t>
      </w:r>
      <w:r>
        <w:rPr>
          <w:rStyle w:val="NormalTok"/>
        </w:rPr>
        <w:t xml:space="preserve">), </w:t>
      </w:r>
      <w:r>
        <w:rPr>
          <w:rStyle w:val="CommentTok"/>
        </w:rPr>
        <w:t xml:space="preserve"># "default" will automatically return all vars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"procedure_table"</w:t>
      </w:r>
      <w:r>
        <w:br/>
      </w:r>
      <w:r>
        <w:rPr>
          <w:rStyle w:val="NormalTok"/>
        </w:rPr>
        <w:t xml:space="preserve">)</w:t>
      </w:r>
      <w:r>
        <w:br/>
      </w:r>
      <w:r>
        <w:br/>
      </w:r>
      <w:r>
        <w:rPr>
          <w:rStyle w:val="NormalTok"/>
        </w:rPr>
        <w:t xml:space="preserve">trial_results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"phase"</w:t>
      </w:r>
      <w:r>
        <w:rPr>
          <w:rStyle w:val="NormalTok"/>
        </w:rPr>
        <w:t xml:space="preserve">), </w:t>
      </w:r>
      <w:r>
        <w:rPr>
          <w:rStyle w:val="CommentTok"/>
        </w:rPr>
        <w:t xml:space="preserve"># You can add any variable from any table to be added to the result</w:t>
      </w:r>
      <w:r>
        <w:br/>
      </w:r>
      <w:r>
        <w:rPr>
          <w:rStyle w:val="NormalTok"/>
        </w:rPr>
        <w:t xml:space="preserve">  </w:t>
      </w:r>
      <w:r>
        <w:rPr>
          <w:rStyle w:val="AttributeTok"/>
        </w:rPr>
        <w:t xml:space="preserve">target_table =</w:t>
      </w:r>
      <w:r>
        <w:rPr>
          <w:rStyle w:val="NormalTok"/>
        </w:rPr>
        <w:t xml:space="preserve"> </w:t>
      </w:r>
      <w:r>
        <w:rPr>
          <w:rStyle w:val="StringTok"/>
        </w:rPr>
        <w:t xml:space="preserve">"observation_table"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5"/>
    <w:bookmarkStart w:id="36"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 Henderson et al. (2022), who identified 17 publications with accessible raw data. Additionally, we contacted colleagues directly to request openly available datasets, further expanding the scope of included studies and conducted a literature search to find open data from the past years.</w:t>
      </w:r>
    </w:p>
    <w:bookmarkEnd w:id="36"/>
    <w:bookmarkStart w:id="37"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experimental)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7"/>
    <w:bookmarkEnd w:id="38"/>
    <w:bookmarkEnd w:id="39"/>
    <w:bookmarkStart w:id="60"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40"/>
      </w:r>
      <w:r>
        <w:t xml:space="preserve">.</w:t>
      </w:r>
    </w:p>
    <w:p>
      <w:pPr>
        <w:pStyle w:val="Textkrper"/>
      </w:pPr>
      <w:r>
        <w:t xml:space="preserve">.</w:t>
      </w:r>
    </w:p>
    <w:p>
      <w:pPr>
        <w:pStyle w:val="Textkrper"/>
      </w:pPr>
      <w:r>
        <w:t xml:space="preserve">In the current version of the manuscript, we included 59 studies from 29 publications, spanning 12249 participants contributing 808231 trials. A complete list of the included publications can be found in Table</w:t>
      </w:r>
      <w:r>
        <w:t xml:space="preserve"> </w:t>
      </w:r>
      <w:r>
        <w:t xml:space="preserve">1</w:t>
      </w:r>
      <w:r>
        <w:t xml:space="preserve">.</w:t>
      </w:r>
    </w:p>
    <w:p>
      <w:pPr>
        <w:pStyle w:val="TableCaption"/>
      </w:pPr>
      <w:bookmarkStart w:id="41" w:name="tab:table-db-overview"/>
      <w:bookmarkEnd w:id="41"/>
      <w:r>
        <w:t xml:space="preserve">Table 1</w:t>
      </w:r>
      <w:r>
        <w:br/>
      </w:r>
      <w:r>
        <w:rPr>
          <w:iCs/>
          <w:i/>
        </w:rPr>
        <w:t xml:space="preserve">Publications</w:t>
      </w:r>
      <w:r>
        <w:rPr>
          <w:iCs/>
          <w:i/>
        </w:rPr>
        <w:t xml:space="preserve"> </w:t>
      </w:r>
      <w:r>
        <w:rPr>
          <w:iCs/>
          <w:i/>
        </w:rPr>
        <w:t xml:space="preserve">included</w:t>
      </w:r>
      <w:r>
        <w:rPr>
          <w:iCs/>
          <w:i/>
        </w:rPr>
        <w:t xml:space="preserve"> </w:t>
      </w:r>
      <w:r>
        <w:rPr>
          <w:iCs/>
          <w:i/>
        </w:rPr>
        <w:t xml:space="preserve">in</w:t>
      </w:r>
      <w:r>
        <w:rPr>
          <w:iCs/>
          <w:i/>
        </w:rPr>
        <w:t xml:space="preserve"> </w:t>
      </w:r>
      <w:r>
        <w:rPr>
          <w:iCs/>
          <w:i/>
        </w:rPr>
        <w:t xml:space="preserve">TED</w:t>
      </w:r>
    </w:p>
    <w:tbl>
      <w:tblPr>
        <w:tblStyle w:val="Table"/>
        <w:tblW w:type="auto" w:w="0"/>
        <w:tblLook w:firstRow="1" w:lastRow="0" w:firstColumn="0" w:lastColumn="0" w:noHBand="0" w:noVBand="0" w:val="0020"/>
        <w:jc w:val="start"/>
        <w:tblCaption w:val="Table 1 Publications included in TED"/>
      </w:tblPr>
      <w:tblGrid>
        <w:gridCol w:w="1131"/>
        <w:gridCol w:w="1131"/>
        <w:gridCol w:w="1131"/>
        <w:gridCol w:w="1131"/>
        <w:gridCol w:w="1131"/>
        <w:gridCol w:w="1131"/>
        <w:gridCol w:w="1131"/>
      </w:tblGrid>
      <w:tr>
        <w:trPr>
          <w:tblHeader w:val="true"/>
        </w:trPr>
        <w:tc>
          <w:tcPr/>
          <w:p>
            <w:pPr>
              <w:pStyle w:val="Compact"/>
              <w:jc w:val="left"/>
            </w:pPr>
            <w:r>
              <w:t xml:space="preserve">publication_id</w:t>
            </w:r>
          </w:p>
        </w:tc>
        <w:tc>
          <w:tcPr/>
          <w:p>
            <w:pPr>
              <w:pStyle w:val="Compact"/>
              <w:jc w:val="left"/>
            </w:pPr>
            <w:r>
              <w:t xml:space="preserve">authors</w:t>
            </w:r>
          </w:p>
        </w:tc>
        <w:tc>
          <w:tcPr/>
          <w:p>
            <w:pPr>
              <w:pStyle w:val="Compact"/>
              <w:jc w:val="left"/>
            </w:pPr>
            <w:r>
              <w:t xml:space="preserve">conducted</w:t>
            </w:r>
          </w:p>
        </w:tc>
        <w:tc>
          <w:tcPr/>
          <w:p>
            <w:pPr>
              <w:pStyle w:val="Compact"/>
              <w:jc w:val="left"/>
            </w:pPr>
            <w:r>
              <w:t xml:space="preserve">peer_reviewed</w:t>
            </w:r>
          </w:p>
        </w:tc>
        <w:tc>
          <w:tcPr/>
          <w:p>
            <w:pPr>
              <w:pStyle w:val="Compact"/>
              <w:jc w:val="left"/>
            </w:pPr>
            <w:r>
              <w:t xml:space="preserve">study_id</w:t>
            </w:r>
          </w:p>
        </w:tc>
        <w:tc>
          <w:tcPr/>
          <w:p>
            <w:pPr>
              <w:pStyle w:val="Compact"/>
              <w:jc w:val="left"/>
            </w:pPr>
            <w:r>
              <w:t xml:space="preserve">n_participants</w:t>
            </w:r>
          </w:p>
        </w:tc>
        <w:tc>
          <w:tcPr/>
          <w:p>
            <w:pPr>
              <w:pStyle w:val="Compact"/>
              <w:jc w:val="left"/>
            </w:pPr>
            <w:r>
              <w:t xml:space="preserve">n_trials</w:t>
            </w:r>
          </w:p>
        </w:tc>
      </w:tr>
      <w:tr>
        <w:tc>
          <w:tcPr/>
          <w:p>
            <w:pPr>
              <w:pStyle w:val="Compact"/>
              <w:jc w:val="left"/>
            </w:pPr>
            <w:r>
              <w:t xml:space="preserve">1</w:t>
            </w:r>
          </w:p>
        </w:tc>
        <w:tc>
          <w:tcPr/>
          <w:p>
            <w:pPr>
              <w:pStyle w:val="Compact"/>
              <w:jc w:val="left"/>
            </w:pPr>
            <w:r>
              <w:t xml:space="preserve">bena, carreras, terrier</w:t>
            </w:r>
          </w:p>
        </w:tc>
        <w:tc>
          <w:tcPr/>
          <w:p>
            <w:pPr>
              <w:pStyle w:val="Compact"/>
              <w:jc w:val="left"/>
            </w:pPr>
            <w:r>
              <w:t xml:space="preserve">2019</w:t>
            </w:r>
          </w:p>
        </w:tc>
        <w:tc>
          <w:tcPr/>
          <w:p>
            <w:pPr>
              <w:pStyle w:val="Compact"/>
              <w:jc w:val="left"/>
            </w:pPr>
            <w:r>
              <w:t xml:space="preserve">No</w:t>
            </w:r>
          </w:p>
        </w:tc>
        <w:tc>
          <w:tcPr/>
          <w:p>
            <w:pPr>
              <w:pStyle w:val="Compact"/>
              <w:jc w:val="left"/>
            </w:pPr>
            <w:r>
              <w:t xml:space="preserve">1</w:t>
            </w:r>
          </w:p>
        </w:tc>
        <w:tc>
          <w:tcPr/>
          <w:p>
            <w:pPr>
              <w:pStyle w:val="Compact"/>
              <w:jc w:val="left"/>
            </w:pPr>
            <w:r>
              <w:t xml:space="preserve">186</w:t>
            </w:r>
          </w:p>
        </w:tc>
        <w:tc>
          <w:tcPr/>
          <w:p>
            <w:pPr>
              <w:pStyle w:val="Compact"/>
              <w:jc w:val="left"/>
            </w:pPr>
            <w:r>
              <w:t xml:space="preserve">10416</w:t>
            </w:r>
          </w:p>
        </w:tc>
      </w:tr>
      <w:tr>
        <w:tc>
          <w:tcPr/>
          <w:p>
            <w:pPr>
              <w:pStyle w:val="Compact"/>
              <w:jc w:val="left"/>
            </w:pPr>
            <w:r>
              <w:t xml:space="preserve">2</w:t>
            </w:r>
          </w:p>
        </w:tc>
        <w:tc>
          <w:tcPr/>
          <w:p>
            <w:pPr>
              <w:pStyle w:val="Compact"/>
              <w:jc w:val="left"/>
            </w:pPr>
            <w:r>
              <w:t xml:space="preserve">bena, carreras, terrier</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w:t>
            </w:r>
          </w:p>
        </w:tc>
        <w:tc>
          <w:tcPr/>
          <w:p>
            <w:pPr>
              <w:pStyle w:val="Compact"/>
              <w:jc w:val="left"/>
            </w:pPr>
            <w:r>
              <w:t xml:space="preserve">138</w:t>
            </w:r>
          </w:p>
        </w:tc>
        <w:tc>
          <w:tcPr/>
          <w:p>
            <w:pPr>
              <w:pStyle w:val="Compact"/>
              <w:jc w:val="left"/>
            </w:pPr>
            <w:r>
              <w:t xml:space="preserve">4968</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w:t>
            </w:r>
          </w:p>
        </w:tc>
        <w:tc>
          <w:tcPr/>
          <w:p>
            <w:pPr>
              <w:pStyle w:val="Compact"/>
              <w:jc w:val="left"/>
            </w:pPr>
            <w:r>
              <w:t xml:space="preserve">103</w:t>
            </w:r>
          </w:p>
        </w:tc>
        <w:tc>
          <w:tcPr/>
          <w:p>
            <w:pPr>
              <w:pStyle w:val="Compact"/>
              <w:jc w:val="left"/>
            </w:pPr>
            <w:r>
              <w:t xml:space="preserve">12480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w:t>
            </w:r>
          </w:p>
        </w:tc>
        <w:tc>
          <w:tcPr/>
          <w:p>
            <w:pPr>
              <w:pStyle w:val="Compact"/>
              <w:jc w:val="left"/>
            </w:pPr>
            <w:r>
              <w:t xml:space="preserve">99</w:t>
            </w:r>
          </w:p>
        </w:tc>
        <w:tc>
          <w:tcPr/>
          <w:p>
            <w:pPr>
              <w:pStyle w:val="Compact"/>
              <w:jc w:val="left"/>
            </w:pPr>
            <w:r>
              <w:t xml:space="preserve">19800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w:t>
            </w:r>
          </w:p>
        </w:tc>
        <w:tc>
          <w:tcPr/>
          <w:p>
            <w:pPr>
              <w:pStyle w:val="Compact"/>
              <w:jc w:val="left"/>
            </w:pPr>
            <w:r>
              <w:t xml:space="preserve">68</w:t>
            </w:r>
          </w:p>
        </w:tc>
        <w:tc>
          <w:tcPr/>
          <w:p>
            <w:pPr>
              <w:pStyle w:val="Compact"/>
              <w:jc w:val="left"/>
            </w:pPr>
            <w:r>
              <w:t xml:space="preserve">13600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6</w:t>
            </w:r>
          </w:p>
        </w:tc>
        <w:tc>
          <w:tcPr/>
          <w:p>
            <w:pPr>
              <w:pStyle w:val="Compact"/>
              <w:jc w:val="left"/>
            </w:pPr>
            <w:r>
              <w:t xml:space="preserve">89</w:t>
            </w:r>
          </w:p>
        </w:tc>
        <w:tc>
          <w:tcPr/>
          <w:p>
            <w:pPr>
              <w:pStyle w:val="Compact"/>
              <w:jc w:val="left"/>
            </w:pPr>
            <w:r>
              <w:t xml:space="preserve">18600</w:t>
            </w:r>
          </w:p>
        </w:tc>
      </w:tr>
      <w:tr>
        <w:tc>
          <w:tcPr/>
          <w:p>
            <w:pPr>
              <w:pStyle w:val="Compact"/>
              <w:jc w:val="left"/>
            </w:pPr>
            <w:r>
              <w:t xml:space="preserve">4</w:t>
            </w:r>
          </w:p>
        </w:tc>
        <w:tc>
          <w:tcPr/>
          <w:p>
            <w:pPr>
              <w:pStyle w:val="Compact"/>
              <w:jc w:val="left"/>
            </w:pPr>
            <w:r>
              <w:t xml:space="preserve">bena, corneille, mierop, unkelbach</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7</w:t>
            </w:r>
          </w:p>
        </w:tc>
        <w:tc>
          <w:tcPr/>
          <w:p>
            <w:pPr>
              <w:pStyle w:val="Compact"/>
              <w:jc w:val="left"/>
            </w:pPr>
            <w:r>
              <w:t xml:space="preserve">380</w:t>
            </w:r>
          </w:p>
        </w:tc>
        <w:tc>
          <w:tcPr/>
          <w:p>
            <w:pPr>
              <w:pStyle w:val="Compact"/>
              <w:jc w:val="left"/>
            </w:pPr>
            <w:r>
              <w:t xml:space="preserve">15200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8</w:t>
            </w:r>
          </w:p>
        </w:tc>
        <w:tc>
          <w:tcPr/>
          <w:p>
            <w:pPr>
              <w:pStyle w:val="Compact"/>
              <w:jc w:val="left"/>
            </w:pPr>
            <w:r>
              <w:t xml:space="preserve">283</w:t>
            </w:r>
          </w:p>
        </w:tc>
        <w:tc>
          <w:tcPr/>
          <w:p>
            <w:pPr>
              <w:pStyle w:val="Compact"/>
              <w:jc w:val="left"/>
            </w:pPr>
            <w:r>
              <w:t xml:space="preserve">5320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9</w:t>
            </w:r>
          </w:p>
        </w:tc>
        <w:tc>
          <w:tcPr/>
          <w:p>
            <w:pPr>
              <w:pStyle w:val="Compact"/>
              <w:jc w:val="left"/>
            </w:pPr>
            <w:r>
              <w:t xml:space="preserve">271</w:t>
            </w:r>
          </w:p>
        </w:tc>
        <w:tc>
          <w:tcPr/>
          <w:p>
            <w:pPr>
              <w:pStyle w:val="Compact"/>
              <w:jc w:val="left"/>
            </w:pPr>
            <w:r>
              <w:t xml:space="preserve">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10</w:t>
            </w:r>
          </w:p>
        </w:tc>
        <w:tc>
          <w:tcPr/>
          <w:p>
            <w:pPr>
              <w:pStyle w:val="Compact"/>
              <w:jc w:val="left"/>
            </w:pPr>
            <w:r>
              <w:t xml:space="preserve">200</w:t>
            </w:r>
          </w:p>
        </w:tc>
        <w:tc>
          <w:tcPr/>
          <w:p>
            <w:pPr>
              <w:pStyle w:val="Compact"/>
              <w:jc w:val="left"/>
            </w:pPr>
            <w:r>
              <w:t xml:space="preserve">11520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11</w:t>
            </w:r>
          </w:p>
        </w:tc>
        <w:tc>
          <w:tcPr/>
          <w:p>
            <w:pPr>
              <w:pStyle w:val="Compact"/>
              <w:jc w:val="left"/>
            </w:pPr>
            <w:r>
              <w:t xml:space="preserve">299</w:t>
            </w:r>
          </w:p>
        </w:tc>
        <w:tc>
          <w:tcPr/>
          <w:p>
            <w:pPr>
              <w:pStyle w:val="Compact"/>
              <w:jc w:val="left"/>
            </w:pPr>
            <w:r>
              <w:t xml:space="preserve">11960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12</w:t>
            </w:r>
          </w:p>
        </w:tc>
        <w:tc>
          <w:tcPr/>
          <w:p>
            <w:pPr>
              <w:pStyle w:val="Compact"/>
              <w:jc w:val="left"/>
            </w:pPr>
            <w:r>
              <w:t xml:space="preserve">291</w:t>
            </w:r>
          </w:p>
        </w:tc>
        <w:tc>
          <w:tcPr/>
          <w:p>
            <w:pPr>
              <w:pStyle w:val="Compact"/>
              <w:jc w:val="left"/>
            </w:pPr>
            <w:r>
              <w:t xml:space="preserve">11680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13</w:t>
            </w:r>
          </w:p>
        </w:tc>
        <w:tc>
          <w:tcPr/>
          <w:p>
            <w:pPr>
              <w:pStyle w:val="Compact"/>
              <w:jc w:val="left"/>
            </w:pPr>
            <w:r>
              <w:t xml:space="preserve">113</w:t>
            </w:r>
          </w:p>
        </w:tc>
        <w:tc>
          <w:tcPr/>
          <w:p>
            <w:pPr>
              <w:pStyle w:val="Compact"/>
              <w:jc w:val="left"/>
            </w:pPr>
            <w:r>
              <w:t xml:space="preserve">22600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14</w:t>
            </w:r>
          </w:p>
        </w:tc>
        <w:tc>
          <w:tcPr/>
          <w:p>
            <w:pPr>
              <w:pStyle w:val="Compact"/>
              <w:jc w:val="left"/>
            </w:pPr>
            <w:r>
              <w:t xml:space="preserve">430</w:t>
            </w:r>
          </w:p>
        </w:tc>
        <w:tc>
          <w:tcPr/>
          <w:p>
            <w:pPr>
              <w:pStyle w:val="Compact"/>
              <w:jc w:val="left"/>
            </w:pPr>
            <w:r>
              <w:t xml:space="preserve">86000</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15</w:t>
            </w:r>
          </w:p>
        </w:tc>
        <w:tc>
          <w:tcPr/>
          <w:p>
            <w:pPr>
              <w:pStyle w:val="Compact"/>
              <w:jc w:val="left"/>
            </w:pPr>
            <w:r>
              <w:t xml:space="preserve">371</w:t>
            </w:r>
          </w:p>
        </w:tc>
        <w:tc>
          <w:tcPr/>
          <w:p>
            <w:pPr>
              <w:pStyle w:val="Compact"/>
              <w:jc w:val="left"/>
            </w:pPr>
            <w:r>
              <w:t xml:space="preserve">4476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16</w:t>
            </w:r>
          </w:p>
        </w:tc>
        <w:tc>
          <w:tcPr/>
          <w:p>
            <w:pPr>
              <w:pStyle w:val="Compact"/>
              <w:jc w:val="left"/>
            </w:pPr>
            <w:r>
              <w:t xml:space="preserve">939</w:t>
            </w:r>
          </w:p>
        </w:tc>
        <w:tc>
          <w:tcPr/>
          <w:p>
            <w:pPr>
              <w:pStyle w:val="Compact"/>
              <w:jc w:val="left"/>
            </w:pPr>
            <w:r>
              <w:t xml:space="preserve">11376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17</w:t>
            </w:r>
          </w:p>
        </w:tc>
        <w:tc>
          <w:tcPr/>
          <w:p>
            <w:pPr>
              <w:pStyle w:val="Compact"/>
              <w:jc w:val="left"/>
            </w:pPr>
            <w:r>
              <w:t xml:space="preserve">408</w:t>
            </w:r>
          </w:p>
        </w:tc>
        <w:tc>
          <w:tcPr/>
          <w:p>
            <w:pPr>
              <w:pStyle w:val="Compact"/>
              <w:jc w:val="left"/>
            </w:pPr>
            <w:r>
              <w:t xml:space="preserve">4932</w:t>
            </w:r>
          </w:p>
        </w:tc>
      </w:tr>
      <w:tr>
        <w:tc>
          <w:tcPr/>
          <w:p>
            <w:pPr>
              <w:pStyle w:val="Compact"/>
              <w:jc w:val="left"/>
            </w:pPr>
            <w:r>
              <w:t xml:space="preserve">8</w:t>
            </w:r>
          </w:p>
        </w:tc>
        <w:tc>
          <w:tcPr/>
          <w:p>
            <w:pPr>
              <w:pStyle w:val="Compact"/>
              <w:jc w:val="left"/>
            </w:pPr>
            <w:r>
              <w:t xml:space="preserve">fazio, rand, pennycook</w:t>
            </w:r>
          </w:p>
        </w:tc>
        <w:tc>
          <w:tcPr/>
          <w:p>
            <w:pPr>
              <w:pStyle w:val="Compact"/>
              <w:jc w:val="left"/>
            </w:pPr>
            <w:r>
              <w:t xml:space="preserve">2019</w:t>
            </w:r>
          </w:p>
        </w:tc>
        <w:tc>
          <w:tcPr/>
          <w:p>
            <w:pPr>
              <w:pStyle w:val="Compact"/>
              <w:jc w:val="left"/>
            </w:pPr>
            <w:r>
              <w:t xml:space="preserve">Yes</w:t>
            </w:r>
          </w:p>
        </w:tc>
        <w:tc>
          <w:tcPr/>
          <w:p>
            <w:pPr>
              <w:pStyle w:val="Compact"/>
              <w:jc w:val="left"/>
            </w:pPr>
            <w:r>
              <w:t xml:space="preserve">18</w:t>
            </w:r>
          </w:p>
        </w:tc>
        <w:tc>
          <w:tcPr/>
          <w:p>
            <w:pPr>
              <w:pStyle w:val="Compact"/>
              <w:jc w:val="left"/>
            </w:pPr>
            <w:r>
              <w:t xml:space="preserve">503</w:t>
            </w:r>
          </w:p>
        </w:tc>
        <w:tc>
          <w:tcPr/>
          <w:p>
            <w:pPr>
              <w:pStyle w:val="Compact"/>
              <w:jc w:val="left"/>
            </w:pPr>
            <w:r>
              <w:t xml:space="preserve">40240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19</w:t>
            </w:r>
          </w:p>
        </w:tc>
        <w:tc>
          <w:tcPr/>
          <w:p>
            <w:pPr>
              <w:pStyle w:val="Compact"/>
              <w:jc w:val="left"/>
            </w:pPr>
            <w:r>
              <w:t xml:space="preserve">82</w:t>
            </w:r>
          </w:p>
        </w:tc>
        <w:tc>
          <w:tcPr/>
          <w:p>
            <w:pPr>
              <w:pStyle w:val="Compact"/>
              <w:jc w:val="left"/>
            </w:pPr>
            <w:r>
              <w:t xml:space="preserve">9840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20</w:t>
            </w:r>
          </w:p>
        </w:tc>
        <w:tc>
          <w:tcPr/>
          <w:p>
            <w:pPr>
              <w:pStyle w:val="Compact"/>
              <w:jc w:val="left"/>
            </w:pPr>
            <w:r>
              <w:t xml:space="preserve">68</w:t>
            </w:r>
          </w:p>
        </w:tc>
        <w:tc>
          <w:tcPr/>
          <w:p>
            <w:pPr>
              <w:pStyle w:val="Compact"/>
              <w:jc w:val="left"/>
            </w:pPr>
            <w:r>
              <w:t xml:space="preserve">8160</w:t>
            </w:r>
          </w:p>
        </w:tc>
      </w:tr>
      <w:tr>
        <w:tc>
          <w:tcPr/>
          <w:p>
            <w:pPr>
              <w:pStyle w:val="Compact"/>
              <w:jc w:val="left"/>
            </w:pPr>
            <w:r>
              <w:t xml:space="preserve">10</w:t>
            </w:r>
          </w:p>
        </w:tc>
        <w:tc>
          <w:tcPr/>
          <w:p>
            <w:pPr>
              <w:pStyle w:val="Compact"/>
              <w:jc w:val="left"/>
            </w:pPr>
            <w:r>
              <w:t xml:space="preserve">henderson, simons, barr</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21</w:t>
            </w:r>
          </w:p>
        </w:tc>
        <w:tc>
          <w:tcPr/>
          <w:p>
            <w:pPr>
              <w:pStyle w:val="Compact"/>
              <w:jc w:val="left"/>
            </w:pPr>
            <w:r>
              <w:t xml:space="preserve">507</w:t>
            </w:r>
          </w:p>
        </w:tc>
        <w:tc>
          <w:tcPr/>
          <w:p>
            <w:pPr>
              <w:pStyle w:val="Compact"/>
              <w:jc w:val="left"/>
            </w:pPr>
            <w:r>
              <w:t xml:space="preserve">68800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22</w:t>
            </w:r>
          </w:p>
        </w:tc>
        <w:tc>
          <w:tcPr/>
          <w:p>
            <w:pPr>
              <w:pStyle w:val="Compact"/>
              <w:jc w:val="left"/>
            </w:pPr>
            <w:r>
              <w:t xml:space="preserve">220</w:t>
            </w:r>
          </w:p>
        </w:tc>
        <w:tc>
          <w:tcPr/>
          <w:p>
            <w:pPr>
              <w:pStyle w:val="Compact"/>
              <w:jc w:val="left"/>
            </w:pPr>
            <w:r>
              <w:t xml:space="preserve">15840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23</w:t>
            </w:r>
          </w:p>
        </w:tc>
        <w:tc>
          <w:tcPr/>
          <w:p>
            <w:pPr>
              <w:pStyle w:val="Compact"/>
              <w:jc w:val="left"/>
            </w:pPr>
            <w:r>
              <w:t xml:space="preserve">282</w:t>
            </w:r>
          </w:p>
        </w:tc>
        <w:tc>
          <w:tcPr/>
          <w:p>
            <w:pPr>
              <w:pStyle w:val="Compact"/>
              <w:jc w:val="left"/>
            </w:pPr>
            <w:r>
              <w:t xml:space="preserve">20376</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24</w:t>
            </w:r>
          </w:p>
        </w:tc>
        <w:tc>
          <w:tcPr/>
          <w:p>
            <w:pPr>
              <w:pStyle w:val="Compact"/>
              <w:jc w:val="left"/>
            </w:pPr>
            <w:r>
              <w:t xml:space="preserve">405</w:t>
            </w:r>
          </w:p>
        </w:tc>
        <w:tc>
          <w:tcPr/>
          <w:p>
            <w:pPr>
              <w:pStyle w:val="Compact"/>
              <w:jc w:val="left"/>
            </w:pPr>
            <w:r>
              <w:t xml:space="preserve">29088</w:t>
            </w:r>
          </w:p>
        </w:tc>
      </w:tr>
      <w:tr>
        <w:tc>
          <w:tcPr/>
          <w:p>
            <w:pPr>
              <w:pStyle w:val="Compact"/>
              <w:jc w:val="left"/>
            </w:pPr>
            <w:r>
              <w:t xml:space="preserve">12</w:t>
            </w:r>
          </w:p>
        </w:tc>
        <w:tc>
          <w:tcPr/>
          <w:p>
            <w:pPr>
              <w:pStyle w:val="Compact"/>
              <w:jc w:val="left"/>
            </w:pPr>
            <w:r>
              <w:t xml:space="preserve">lacassagne, bena, corneille</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25</w:t>
            </w:r>
          </w:p>
        </w:tc>
        <w:tc>
          <w:tcPr/>
          <w:p>
            <w:pPr>
              <w:pStyle w:val="Compact"/>
              <w:jc w:val="left"/>
            </w:pPr>
            <w:r>
              <w:t xml:space="preserve">240</w:t>
            </w:r>
          </w:p>
        </w:tc>
        <w:tc>
          <w:tcPr/>
          <w:p>
            <w:pPr>
              <w:pStyle w:val="Compact"/>
              <w:jc w:val="left"/>
            </w:pPr>
            <w:r>
              <w:t xml:space="preserve">3712</w:t>
            </w:r>
          </w:p>
        </w:tc>
      </w:tr>
      <w:tr>
        <w:tc>
          <w:tcPr/>
          <w:p>
            <w:pPr>
              <w:pStyle w:val="Compact"/>
              <w:jc w:val="left"/>
            </w:pPr>
            <w:r>
              <w:t xml:space="preserve">13</w:t>
            </w:r>
          </w:p>
        </w:tc>
        <w:tc>
          <w:tcPr/>
          <w:p>
            <w:pPr>
              <w:pStyle w:val="Compact"/>
              <w:jc w:val="left"/>
            </w:pPr>
            <w:r>
              <w:t xml:space="preserve">lorenzoni, faccio, navarette</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26</w:t>
            </w:r>
          </w:p>
        </w:tc>
        <w:tc>
          <w:tcPr/>
          <w:p>
            <w:pPr>
              <w:pStyle w:val="Compact"/>
              <w:jc w:val="left"/>
            </w:pPr>
            <w:r>
              <w:t xml:space="preserve">60</w:t>
            </w:r>
          </w:p>
        </w:tc>
        <w:tc>
          <w:tcPr/>
          <w:p>
            <w:pPr>
              <w:pStyle w:val="Compact"/>
              <w:jc w:val="left"/>
            </w:pPr>
            <w:r>
              <w:t xml:space="preserve">4960</w:t>
            </w:r>
          </w:p>
        </w:tc>
      </w:tr>
      <w:tr>
        <w:tc>
          <w:tcPr/>
          <w:p>
            <w:pPr>
              <w:pStyle w:val="Compact"/>
              <w:jc w:val="left"/>
            </w:pPr>
            <w:r>
              <w:t xml:space="preserve">14</w:t>
            </w:r>
          </w:p>
        </w:tc>
        <w:tc>
          <w:tcPr/>
          <w:p>
            <w:pPr>
              <w:pStyle w:val="Compact"/>
              <w:jc w:val="left"/>
            </w:pPr>
            <w:r>
              <w:t xml:space="preserve">murray, stanley, mcphetres, pennycook, seli</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27</w:t>
            </w:r>
          </w:p>
        </w:tc>
        <w:tc>
          <w:tcPr/>
          <w:p>
            <w:pPr>
              <w:pStyle w:val="Compact"/>
              <w:jc w:val="left"/>
            </w:pPr>
            <w:r>
              <w:t xml:space="preserve">526</w:t>
            </w:r>
          </w:p>
        </w:tc>
        <w:tc>
          <w:tcPr/>
          <w:p>
            <w:pPr>
              <w:pStyle w:val="Compact"/>
              <w:jc w:val="left"/>
            </w:pPr>
            <w:r>
              <w:t xml:space="preserve">48825</w:t>
            </w:r>
          </w:p>
        </w:tc>
      </w:tr>
      <w:tr>
        <w:tc>
          <w:tcPr/>
          <w:p>
            <w:pPr>
              <w:pStyle w:val="Compact"/>
              <w:jc w:val="left"/>
            </w:pPr>
            <w:r>
              <w:t xml:space="preserve">15</w:t>
            </w:r>
          </w:p>
        </w:tc>
        <w:tc>
          <w:tcPr/>
          <w:p>
            <w:pPr>
              <w:pStyle w:val="Compact"/>
              <w:jc w:val="left"/>
            </w:pPr>
            <w:r>
              <w:t xml:space="preserve">nadarevic</w:t>
            </w:r>
          </w:p>
        </w:tc>
        <w:tc>
          <w:tcPr/>
          <w:p>
            <w:pPr>
              <w:pStyle w:val="Compact"/>
              <w:jc w:val="left"/>
            </w:pPr>
            <w:r>
              <w:t xml:space="preserve">2007</w:t>
            </w:r>
          </w:p>
        </w:tc>
        <w:tc>
          <w:tcPr/>
          <w:p>
            <w:pPr>
              <w:pStyle w:val="Compact"/>
              <w:jc w:val="left"/>
            </w:pPr>
            <w:r>
              <w:t xml:space="preserve">No</w:t>
            </w:r>
          </w:p>
        </w:tc>
        <w:tc>
          <w:tcPr/>
          <w:p>
            <w:pPr>
              <w:pStyle w:val="Compact"/>
              <w:jc w:val="left"/>
            </w:pPr>
            <w:r>
              <w:t xml:space="preserve">28</w:t>
            </w:r>
          </w:p>
        </w:tc>
        <w:tc>
          <w:tcPr/>
          <w:p>
            <w:pPr>
              <w:pStyle w:val="Compact"/>
              <w:jc w:val="left"/>
            </w:pPr>
            <w:r>
              <w:t xml:space="preserve">54</w:t>
            </w:r>
          </w:p>
        </w:tc>
        <w:tc>
          <w:tcPr/>
          <w:p>
            <w:pPr>
              <w:pStyle w:val="Compact"/>
              <w:jc w:val="left"/>
            </w:pPr>
            <w:r>
              <w:t xml:space="preserve">9504</w:t>
            </w:r>
          </w:p>
        </w:tc>
      </w:tr>
      <w:tr>
        <w:tc>
          <w:tcPr/>
          <w:p>
            <w:pPr>
              <w:pStyle w:val="Compact"/>
              <w:jc w:val="left"/>
            </w:pPr>
            <w:r>
              <w:t xml:space="preserve">16</w:t>
            </w:r>
          </w:p>
        </w:tc>
        <w:tc>
          <w:tcPr/>
          <w:p>
            <w:pPr>
              <w:pStyle w:val="Compact"/>
              <w:jc w:val="left"/>
            </w:pPr>
            <w:r>
              <w:t xml:space="preserve">nadarevic, rinnewitz</w:t>
            </w:r>
          </w:p>
        </w:tc>
        <w:tc>
          <w:tcPr/>
          <w:p>
            <w:pPr>
              <w:pStyle w:val="Compact"/>
              <w:jc w:val="left"/>
            </w:pPr>
            <w:r>
              <w:t xml:space="preserve">2011</w:t>
            </w:r>
          </w:p>
        </w:tc>
        <w:tc>
          <w:tcPr/>
          <w:p>
            <w:pPr>
              <w:pStyle w:val="Compact"/>
              <w:jc w:val="left"/>
            </w:pPr>
            <w:r>
              <w:t xml:space="preserve">No</w:t>
            </w:r>
          </w:p>
        </w:tc>
        <w:tc>
          <w:tcPr/>
          <w:p>
            <w:pPr>
              <w:pStyle w:val="Compact"/>
              <w:jc w:val="left"/>
            </w:pPr>
            <w:r>
              <w:t xml:space="preserve">29</w:t>
            </w:r>
          </w:p>
        </w:tc>
        <w:tc>
          <w:tcPr/>
          <w:p>
            <w:pPr>
              <w:pStyle w:val="Compact"/>
              <w:jc w:val="left"/>
            </w:pPr>
            <w:r>
              <w:t xml:space="preserve">139</w:t>
            </w:r>
          </w:p>
        </w:tc>
        <w:tc>
          <w:tcPr/>
          <w:p>
            <w:pPr>
              <w:pStyle w:val="Compact"/>
              <w:jc w:val="left"/>
            </w:pPr>
            <w:r>
              <w:t xml:space="preserve">2780</w:t>
            </w:r>
          </w:p>
        </w:tc>
      </w:tr>
      <w:tr>
        <w:tc>
          <w:tcPr/>
          <w:p>
            <w:pPr>
              <w:pStyle w:val="Compact"/>
              <w:jc w:val="left"/>
            </w:pPr>
            <w:r>
              <w:t xml:space="preserve">17</w:t>
            </w:r>
          </w:p>
        </w:tc>
        <w:tc>
          <w:tcPr/>
          <w:p>
            <w:pPr>
              <w:pStyle w:val="Compact"/>
              <w:jc w:val="left"/>
            </w:pPr>
            <w:r>
              <w:t xml:space="preserve">nadarevic, meckler, schmidt</w:t>
            </w:r>
          </w:p>
        </w:tc>
        <w:tc>
          <w:tcPr/>
          <w:p>
            <w:pPr>
              <w:pStyle w:val="Compact"/>
              <w:jc w:val="left"/>
            </w:pPr>
            <w:r>
              <w:t xml:space="preserve">2012</w:t>
            </w:r>
          </w:p>
        </w:tc>
        <w:tc>
          <w:tcPr/>
          <w:p>
            <w:pPr>
              <w:pStyle w:val="Compact"/>
              <w:jc w:val="left"/>
            </w:pPr>
            <w:r>
              <w:t xml:space="preserve">No</w:t>
            </w:r>
          </w:p>
        </w:tc>
        <w:tc>
          <w:tcPr/>
          <w:p>
            <w:pPr>
              <w:pStyle w:val="Compact"/>
              <w:jc w:val="left"/>
            </w:pPr>
            <w:r>
              <w:t xml:space="preserve">30</w:t>
            </w:r>
          </w:p>
        </w:tc>
        <w:tc>
          <w:tcPr/>
          <w:p>
            <w:pPr>
              <w:pStyle w:val="Compact"/>
              <w:jc w:val="left"/>
            </w:pPr>
            <w:r>
              <w:t xml:space="preserve">267</w:t>
            </w:r>
          </w:p>
        </w:tc>
        <w:tc>
          <w:tcPr/>
          <w:p>
            <w:pPr>
              <w:pStyle w:val="Compact"/>
              <w:jc w:val="left"/>
            </w:pPr>
            <w:r>
              <w:t xml:space="preserve">5340</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31</w:t>
            </w:r>
          </w:p>
        </w:tc>
        <w:tc>
          <w:tcPr/>
          <w:p>
            <w:pPr>
              <w:pStyle w:val="Compact"/>
              <w:jc w:val="left"/>
            </w:pPr>
            <w:r>
              <w:t xml:space="preserve">85</w:t>
            </w:r>
          </w:p>
        </w:tc>
        <w:tc>
          <w:tcPr/>
          <w:p>
            <w:pPr>
              <w:pStyle w:val="Compact"/>
              <w:jc w:val="left"/>
            </w:pPr>
            <w:r>
              <w:t xml:space="preserve">22968</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32</w:t>
            </w:r>
          </w:p>
        </w:tc>
        <w:tc>
          <w:tcPr/>
          <w:p>
            <w:pPr>
              <w:pStyle w:val="Compact"/>
              <w:jc w:val="left"/>
            </w:pPr>
            <w:r>
              <w:t xml:space="preserve">66</w:t>
            </w:r>
          </w:p>
        </w:tc>
        <w:tc>
          <w:tcPr/>
          <w:p>
            <w:pPr>
              <w:pStyle w:val="Compact"/>
              <w:jc w:val="left"/>
            </w:pPr>
            <w:r>
              <w:t xml:space="preserve">6072</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33</w:t>
            </w:r>
          </w:p>
        </w:tc>
        <w:tc>
          <w:tcPr/>
          <w:p>
            <w:pPr>
              <w:pStyle w:val="Compact"/>
              <w:jc w:val="left"/>
            </w:pPr>
            <w:r>
              <w:t xml:space="preserve">65</w:t>
            </w:r>
          </w:p>
        </w:tc>
        <w:tc>
          <w:tcPr/>
          <w:p>
            <w:pPr>
              <w:pStyle w:val="Compact"/>
              <w:jc w:val="left"/>
            </w:pPr>
            <w:r>
              <w:t xml:space="preserve">11440</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34</w:t>
            </w:r>
          </w:p>
        </w:tc>
        <w:tc>
          <w:tcPr/>
          <w:p>
            <w:pPr>
              <w:pStyle w:val="Compact"/>
              <w:jc w:val="left"/>
            </w:pPr>
            <w:r>
              <w:t xml:space="preserve">202</w:t>
            </w:r>
          </w:p>
        </w:tc>
        <w:tc>
          <w:tcPr/>
          <w:p>
            <w:pPr>
              <w:pStyle w:val="Compact"/>
              <w:jc w:val="left"/>
            </w:pPr>
            <w:r>
              <w:t xml:space="preserve">14000</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35</w:t>
            </w:r>
          </w:p>
        </w:tc>
        <w:tc>
          <w:tcPr/>
          <w:p>
            <w:pPr>
              <w:pStyle w:val="Compact"/>
              <w:jc w:val="left"/>
            </w:pPr>
            <w:r>
              <w:t xml:space="preserve">73</w:t>
            </w:r>
          </w:p>
        </w:tc>
        <w:tc>
          <w:tcPr/>
          <w:p>
            <w:pPr>
              <w:pStyle w:val="Compact"/>
              <w:jc w:val="left"/>
            </w:pPr>
            <w:r>
              <w:t xml:space="preserve">4088</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36</w:t>
            </w:r>
          </w:p>
        </w:tc>
        <w:tc>
          <w:tcPr/>
          <w:p>
            <w:pPr>
              <w:pStyle w:val="Compact"/>
              <w:jc w:val="left"/>
            </w:pPr>
            <w:r>
              <w:t xml:space="preserve">79</w:t>
            </w:r>
          </w:p>
        </w:tc>
        <w:tc>
          <w:tcPr/>
          <w:p>
            <w:pPr>
              <w:pStyle w:val="Compact"/>
              <w:jc w:val="left"/>
            </w:pPr>
            <w:r>
              <w:t xml:space="preserve">8848</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37</w:t>
            </w:r>
          </w:p>
        </w:tc>
        <w:tc>
          <w:tcPr/>
          <w:p>
            <w:pPr>
              <w:pStyle w:val="Compact"/>
              <w:jc w:val="left"/>
            </w:pPr>
            <w:r>
              <w:t xml:space="preserve">91</w:t>
            </w:r>
          </w:p>
        </w:tc>
        <w:tc>
          <w:tcPr/>
          <w:p>
            <w:pPr>
              <w:pStyle w:val="Compact"/>
              <w:jc w:val="left"/>
            </w:pPr>
            <w:r>
              <w:t xml:space="preserve">5460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38</w:t>
            </w:r>
          </w:p>
        </w:tc>
        <w:tc>
          <w:tcPr/>
          <w:p>
            <w:pPr>
              <w:pStyle w:val="Compact"/>
              <w:jc w:val="left"/>
            </w:pPr>
            <w:r>
              <w:t xml:space="preserve">64</w:t>
            </w:r>
          </w:p>
        </w:tc>
        <w:tc>
          <w:tcPr/>
          <w:p>
            <w:pPr>
              <w:pStyle w:val="Compact"/>
              <w:jc w:val="left"/>
            </w:pPr>
            <w:r>
              <w:t xml:space="preserve">3840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39</w:t>
            </w:r>
          </w:p>
        </w:tc>
        <w:tc>
          <w:tcPr/>
          <w:p>
            <w:pPr>
              <w:pStyle w:val="Compact"/>
              <w:jc w:val="left"/>
            </w:pPr>
            <w:r>
              <w:t xml:space="preserve">80</w:t>
            </w:r>
          </w:p>
        </w:tc>
        <w:tc>
          <w:tcPr/>
          <w:p>
            <w:pPr>
              <w:pStyle w:val="Compact"/>
              <w:jc w:val="left"/>
            </w:pPr>
            <w:r>
              <w:t xml:space="preserve">4320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40</w:t>
            </w:r>
          </w:p>
        </w:tc>
        <w:tc>
          <w:tcPr/>
          <w:p>
            <w:pPr>
              <w:pStyle w:val="Compact"/>
              <w:jc w:val="left"/>
            </w:pPr>
            <w:r>
              <w:t xml:space="preserve">70</w:t>
            </w:r>
          </w:p>
        </w:tc>
        <w:tc>
          <w:tcPr/>
          <w:p>
            <w:pPr>
              <w:pStyle w:val="Compact"/>
              <w:jc w:val="left"/>
            </w:pPr>
            <w:r>
              <w:t xml:space="preserve">11200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41</w:t>
            </w:r>
          </w:p>
        </w:tc>
        <w:tc>
          <w:tcPr/>
          <w:p>
            <w:pPr>
              <w:pStyle w:val="Compact"/>
              <w:jc w:val="left"/>
            </w:pPr>
            <w:r>
              <w:t xml:space="preserve">149</w:t>
            </w:r>
          </w:p>
        </w:tc>
        <w:tc>
          <w:tcPr/>
          <w:p>
            <w:pPr>
              <w:pStyle w:val="Compact"/>
              <w:jc w:val="left"/>
            </w:pPr>
            <w:r>
              <w:t xml:space="preserve">26820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42</w:t>
            </w:r>
          </w:p>
        </w:tc>
        <w:tc>
          <w:tcPr/>
          <w:p>
            <w:pPr>
              <w:pStyle w:val="Compact"/>
              <w:jc w:val="left"/>
            </w:pPr>
            <w:r>
              <w:t xml:space="preserve">98</w:t>
            </w:r>
          </w:p>
        </w:tc>
        <w:tc>
          <w:tcPr/>
          <w:p>
            <w:pPr>
              <w:pStyle w:val="Compact"/>
              <w:jc w:val="left"/>
            </w:pPr>
            <w:r>
              <w:t xml:space="preserve">4800</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43</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44</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45</w:t>
            </w:r>
          </w:p>
        </w:tc>
        <w:tc>
          <w:tcPr/>
          <w:p>
            <w:pPr>
              <w:pStyle w:val="Compact"/>
              <w:jc w:val="left"/>
            </w:pPr>
            <w:r>
              <w:t xml:space="preserve">65</w:t>
            </w:r>
          </w:p>
        </w:tc>
        <w:tc>
          <w:tcPr/>
          <w:p>
            <w:pPr>
              <w:pStyle w:val="Compact"/>
              <w:jc w:val="left"/>
            </w:pPr>
            <w:r>
              <w:t xml:space="preserve">5200</w:t>
            </w:r>
          </w:p>
        </w:tc>
      </w:tr>
      <w:tr>
        <w:tc>
          <w:tcPr/>
          <w:p>
            <w:pPr>
              <w:pStyle w:val="Compact"/>
              <w:jc w:val="left"/>
            </w:pPr>
            <w:r>
              <w:t xml:space="preserve">24</w:t>
            </w:r>
          </w:p>
        </w:tc>
        <w:tc>
          <w:tcPr/>
          <w:p>
            <w:pPr>
              <w:pStyle w:val="Compact"/>
              <w:jc w:val="left"/>
            </w:pPr>
            <w:r>
              <w:t xml:space="preserve">newman, plier, thielmann, daranco</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46</w:t>
            </w:r>
          </w:p>
        </w:tc>
        <w:tc>
          <w:tcPr/>
          <w:p>
            <w:pPr>
              <w:pStyle w:val="Compact"/>
              <w:jc w:val="left"/>
            </w:pPr>
            <w:r>
              <w:t xml:space="preserve">89</w:t>
            </w:r>
          </w:p>
        </w:tc>
        <w:tc>
          <w:tcPr/>
          <w:p>
            <w:pPr>
              <w:pStyle w:val="Compact"/>
              <w:jc w:val="left"/>
            </w:pPr>
            <w:r>
              <w:t xml:space="preserve">6624</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47</w:t>
            </w:r>
          </w:p>
        </w:tc>
        <w:tc>
          <w:tcPr/>
          <w:p>
            <w:pPr>
              <w:pStyle w:val="Compact"/>
              <w:jc w:val="left"/>
            </w:pPr>
            <w:r>
              <w:t xml:space="preserve">409</w:t>
            </w:r>
          </w:p>
        </w:tc>
        <w:tc>
          <w:tcPr/>
          <w:p>
            <w:pPr>
              <w:pStyle w:val="Compact"/>
              <w:jc w:val="left"/>
            </w:pPr>
            <w:r>
              <w:t xml:space="preserve">11452</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48</w:t>
            </w:r>
          </w:p>
        </w:tc>
        <w:tc>
          <w:tcPr/>
          <w:p>
            <w:pPr>
              <w:pStyle w:val="Compact"/>
              <w:jc w:val="left"/>
            </w:pPr>
            <w:r>
              <w:t xml:space="preserve">949</w:t>
            </w:r>
          </w:p>
        </w:tc>
        <w:tc>
          <w:tcPr/>
          <w:p>
            <w:pPr>
              <w:pStyle w:val="Compact"/>
              <w:jc w:val="left"/>
            </w:pPr>
            <w:r>
              <w:t xml:space="preserve">22776</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49</w:t>
            </w:r>
          </w:p>
        </w:tc>
        <w:tc>
          <w:tcPr/>
          <w:p>
            <w:pPr>
              <w:pStyle w:val="Compact"/>
              <w:jc w:val="left"/>
            </w:pPr>
            <w:r>
              <w:t xml:space="preserve">940</w:t>
            </w:r>
          </w:p>
        </w:tc>
        <w:tc>
          <w:tcPr/>
          <w:p>
            <w:pPr>
              <w:pStyle w:val="Compact"/>
              <w:jc w:val="left"/>
            </w:pPr>
            <w:r>
              <w:t xml:space="preserve">28624</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50</w:t>
            </w:r>
          </w:p>
        </w:tc>
        <w:tc>
          <w:tcPr/>
          <w:p>
            <w:pPr>
              <w:pStyle w:val="Compact"/>
              <w:jc w:val="left"/>
            </w:pPr>
            <w:r>
              <w:t xml:space="preserve">97</w:t>
            </w:r>
          </w:p>
        </w:tc>
        <w:tc>
          <w:tcPr/>
          <w:p>
            <w:pPr>
              <w:pStyle w:val="Compact"/>
              <w:jc w:val="left"/>
            </w:pPr>
            <w:r>
              <w:t xml:space="preserve">11640</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51</w:t>
            </w:r>
          </w:p>
        </w:tc>
        <w:tc>
          <w:tcPr/>
          <w:p>
            <w:pPr>
              <w:pStyle w:val="Compact"/>
              <w:jc w:val="left"/>
            </w:pPr>
            <w:r>
              <w:t xml:space="preserve">75</w:t>
            </w:r>
          </w:p>
        </w:tc>
        <w:tc>
          <w:tcPr/>
          <w:p>
            <w:pPr>
              <w:pStyle w:val="Compact"/>
              <w:jc w:val="left"/>
            </w:pPr>
            <w:r>
              <w:t xml:space="preserve">9000</w:t>
            </w:r>
          </w:p>
        </w:tc>
      </w:tr>
      <w:tr>
        <w:tc>
          <w:tcPr/>
          <w:p>
            <w:pPr>
              <w:pStyle w:val="Compact"/>
              <w:jc w:val="left"/>
            </w:pPr>
            <w:r>
              <w:t xml:space="preserve">27</w:t>
            </w:r>
          </w:p>
        </w:tc>
        <w:tc>
          <w:tcPr/>
          <w:p>
            <w:pPr>
              <w:pStyle w:val="Compact"/>
              <w:jc w:val="left"/>
            </w:pPr>
            <w:r>
              <w:t xml:space="preserve">stump, voss, rummel</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52</w:t>
            </w:r>
          </w:p>
        </w:tc>
        <w:tc>
          <w:tcPr/>
          <w:p>
            <w:pPr>
              <w:pStyle w:val="Compact"/>
              <w:jc w:val="left"/>
            </w:pPr>
            <w:r>
              <w:t xml:space="preserve">81</w:t>
            </w:r>
          </w:p>
        </w:tc>
        <w:tc>
          <w:tcPr/>
          <w:p>
            <w:pPr>
              <w:pStyle w:val="Compact"/>
              <w:jc w:val="left"/>
            </w:pPr>
            <w:r>
              <w:t xml:space="preserve">8850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53</w:t>
            </w:r>
          </w:p>
        </w:tc>
        <w:tc>
          <w:tcPr/>
          <w:p>
            <w:pPr>
              <w:pStyle w:val="Compact"/>
              <w:jc w:val="left"/>
            </w:pPr>
            <w:r>
              <w:t xml:space="preserve">29</w:t>
            </w:r>
          </w:p>
        </w:tc>
        <w:tc>
          <w:tcPr/>
          <w:p>
            <w:pPr>
              <w:pStyle w:val="Compact"/>
              <w:jc w:val="left"/>
            </w:pPr>
            <w:r>
              <w:t xml:space="preserve">3240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54</w:t>
            </w:r>
          </w:p>
        </w:tc>
        <w:tc>
          <w:tcPr/>
          <w:p>
            <w:pPr>
              <w:pStyle w:val="Compact"/>
              <w:jc w:val="left"/>
            </w:pPr>
            <w:r>
              <w:t xml:space="preserve">41</w:t>
            </w:r>
          </w:p>
        </w:tc>
        <w:tc>
          <w:tcPr/>
          <w:p>
            <w:pPr>
              <w:pStyle w:val="Compact"/>
              <w:jc w:val="left"/>
            </w:pPr>
            <w:r>
              <w:t xml:space="preserve">4920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55</w:t>
            </w:r>
          </w:p>
        </w:tc>
        <w:tc>
          <w:tcPr/>
          <w:p>
            <w:pPr>
              <w:pStyle w:val="Compact"/>
              <w:jc w:val="left"/>
            </w:pPr>
            <w:r>
              <w:t xml:space="preserve">42</w:t>
            </w:r>
          </w:p>
        </w:tc>
        <w:tc>
          <w:tcPr/>
          <w:p>
            <w:pPr>
              <w:pStyle w:val="Compact"/>
              <w:jc w:val="left"/>
            </w:pPr>
            <w:r>
              <w:t xml:space="preserve">5040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56</w:t>
            </w:r>
          </w:p>
        </w:tc>
        <w:tc>
          <w:tcPr/>
          <w:p>
            <w:pPr>
              <w:pStyle w:val="Compact"/>
              <w:jc w:val="left"/>
            </w:pPr>
            <w:r>
              <w:t xml:space="preserve">37</w:t>
            </w:r>
          </w:p>
        </w:tc>
        <w:tc>
          <w:tcPr/>
          <w:p>
            <w:pPr>
              <w:pStyle w:val="Compact"/>
              <w:jc w:val="left"/>
            </w:pPr>
            <w:r>
              <w:t xml:space="preserve">3000</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57</w:t>
            </w:r>
          </w:p>
        </w:tc>
        <w:tc>
          <w:tcPr/>
          <w:p>
            <w:pPr>
              <w:pStyle w:val="Compact"/>
              <w:jc w:val="left"/>
            </w:pPr>
            <w:r>
              <w:t xml:space="preserve">132</w:t>
            </w:r>
          </w:p>
        </w:tc>
        <w:tc>
          <w:tcPr/>
          <w:p>
            <w:pPr>
              <w:pStyle w:val="Compact"/>
              <w:jc w:val="left"/>
            </w:pPr>
            <w:r>
              <w:t xml:space="preserve">7392</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58</w:t>
            </w:r>
          </w:p>
        </w:tc>
        <w:tc>
          <w:tcPr/>
          <w:p>
            <w:pPr>
              <w:pStyle w:val="Compact"/>
              <w:jc w:val="left"/>
            </w:pPr>
            <w:r>
              <w:t xml:space="preserve">102</w:t>
            </w:r>
          </w:p>
        </w:tc>
        <w:tc>
          <w:tcPr/>
          <w:p>
            <w:pPr>
              <w:pStyle w:val="Compact"/>
              <w:jc w:val="left"/>
            </w:pPr>
            <w:r>
              <w:t xml:space="preserve">2448</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59</w:t>
            </w:r>
          </w:p>
        </w:tc>
        <w:tc>
          <w:tcPr/>
          <w:p>
            <w:pPr>
              <w:pStyle w:val="Compact"/>
              <w:jc w:val="left"/>
            </w:pPr>
            <w:r>
              <w:t xml:space="preserve">104</w:t>
            </w:r>
          </w:p>
        </w:tc>
        <w:tc>
          <w:tcPr/>
          <w:p>
            <w:pPr>
              <w:pStyle w:val="Compact"/>
              <w:jc w:val="left"/>
            </w:pPr>
            <w:r>
              <w:t xml:space="preserve">5824</w:t>
            </w:r>
          </w:p>
        </w:tc>
      </w:tr>
    </w:tbl>
    <w:p>
      <w:pPr>
        <w:pStyle w:val="Textkrper"/>
      </w:pPr>
      <w:r>
        <w:t xml:space="preserve">Sample composition ranged from 29 to 949 participants. On average, studies included 211.24 participants (</w:t>
      </w:r>
      <m:oMath>
        <m:sSub>
          <m:e>
            <m:r>
              <m:t>μ</m:t>
            </m:r>
          </m:e>
          <m:sub>
            <m:r>
              <m:t>a</m:t>
            </m:r>
            <m:r>
              <m:t>g</m:t>
            </m:r>
            <m:r>
              <m:t>e</m:t>
            </m:r>
          </m:sub>
        </m:sSub>
        <m:r>
          <m:rPr>
            <m:sty m:val="p"/>
          </m:rPr>
          <m:t>=</m:t>
        </m:r>
      </m:oMath>
      <w:r>
        <w:t xml:space="preserve"> </w:t>
      </w:r>
      <w:r>
        <w:t xml:space="preserve">32.92,</w:t>
      </w:r>
      <m:oMath>
        <m:sSub>
          <m:e>
            <m:r>
              <m:t>σ</m:t>
            </m:r>
          </m:e>
          <m:sub>
            <m:r>
              <m:t>a</m:t>
            </m:r>
            <m:r>
              <m:t>g</m:t>
            </m:r>
            <m:r>
              <m:t>e</m:t>
            </m:r>
          </m:sub>
        </m:sSub>
        <m:r>
          <m:rPr>
            <m:sty m:val="p"/>
          </m:rPr>
          <m:t>=</m:t>
        </m:r>
      </m:oMath>
      <w:r>
        <w:t xml:space="preserve"> </w:t>
      </w:r>
      <w:r>
        <w:t xml:space="preserve">7.33). An overview of the rating scale usage for truth judgments and the use of a filler task over all included studies can be found in Figure</w:t>
      </w:r>
      <w:r>
        <w:t xml:space="preserve"> </w:t>
      </w:r>
      <w:r>
        <w:t xml:space="preserve">3</w:t>
      </w:r>
      <w:r>
        <w:t xml:space="preserve">.</w:t>
      </w:r>
    </w:p>
    <w:p>
      <w:pPr>
        <w:pStyle w:val="CaptionedFigure"/>
      </w:pPr>
      <w:r>
        <w:drawing>
          <wp:inline>
            <wp:extent cx="5372100" cy="3021806"/>
            <wp:effectExtent b="0" l="0" r="0" t="0"/>
            <wp:docPr descr="Figure 3: Overview of Study-related variables in TED" title="" id="43" name="Picture"/>
            <a:graphic>
              <a:graphicData uri="http://schemas.openxmlformats.org/drawingml/2006/picture">
                <pic:pic>
                  <pic:nvPicPr>
                    <pic:cNvPr descr="images/study_overview_plot.png" id="44" name="Picture"/>
                    <pic:cNvPicPr>
                      <a:picLocks noChangeArrowheads="1" noChangeAspect="1"/>
                    </pic:cNvPicPr>
                  </pic:nvPicPr>
                  <pic:blipFill>
                    <a:blip r:embed="rId42"/>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5" w:name="fig:study-overview-plot"/>
      <w:bookmarkEnd w:id="45"/>
      <w:r>
        <w:rPr>
          <w:iCs/>
          <w:i/>
        </w:rPr>
        <w:t xml:space="preserve">Figure</w:t>
      </w:r>
      <w:r>
        <w:t xml:space="preserve"> </w:t>
      </w:r>
      <w:r>
        <w:t xml:space="preserve">3. Overview of Study-related variables in TED</w:t>
      </w:r>
    </w:p>
    <w:p>
      <w:pPr>
        <w:pStyle w:val="Textkrper"/>
      </w:pPr>
      <w:r>
        <w:t xml:space="preserve">On average, studies employed 62.71 (</w:t>
      </w:r>
      <m:oMath>
        <m:r>
          <m:t>S</m:t>
        </m:r>
        <m:r>
          <m:t>D</m:t>
        </m:r>
        <m:r>
          <m:rPr>
            <m:sty m:val="p"/>
          </m:rPr>
          <m:t>=</m:t>
        </m:r>
      </m:oMath>
      <w:r>
        <w:t xml:space="preserve"> </w:t>
      </w:r>
      <w:r>
        <w:t xml:space="preserve">38.66) statements per</w:t>
      </w:r>
      <w:r>
        <w:t xml:space="preserve"> </w:t>
      </w:r>
      <w:r>
        <w:t xml:space="preserve">participant in the judgment session and in 89.36 % of procedure settings exactly 50% of statements were repeated. Of 94 judgment phases, 73.40 % were conducted on the same day as the exposure phase. The average delay between exposure and judgment phase if both were conducted on the same day was 4.04 minutes. The average delay between exposure and judgment phase, given the judgment phase was conducted at least one day after the exposure phase, was 7.40 days. An overview of additional variables pertaining to the procedure of the included studies can be found in Figure</w:t>
      </w:r>
      <w:r>
        <w:t xml:space="preserve"> </w:t>
      </w:r>
      <w:r>
        <w:t xml:space="preserve">4</w:t>
      </w:r>
      <w:r>
        <w:t xml:space="preserve">.</w:t>
      </w:r>
    </w:p>
    <w:p>
      <w:pPr>
        <w:pStyle w:val="CaptionedFigure"/>
      </w:pPr>
      <w:r>
        <w:drawing>
          <wp:inline>
            <wp:extent cx="5969000" cy="3357562"/>
            <wp:effectExtent b="0" l="0" r="0" t="0"/>
            <wp:docPr descr="Figure 4: Overview of Procedure-related variables in TED" title="" id="47" name="Picture"/>
            <a:graphic>
              <a:graphicData uri="http://schemas.openxmlformats.org/drawingml/2006/picture">
                <pic:pic>
                  <pic:nvPicPr>
                    <pic:cNvPr descr="images/procedure_overview_plot.png" id="48" name="Picture"/>
                    <pic:cNvPicPr>
                      <a:picLocks noChangeArrowheads="1" noChangeAspect="1"/>
                    </pic:cNvPicPr>
                  </pic:nvPicPr>
                  <pic:blipFill>
                    <a:blip r:embed="rId46"/>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49" w:name="fig:procedure-overview-plot"/>
      <w:bookmarkEnd w:id="49"/>
      <w:r>
        <w:rPr>
          <w:iCs/>
          <w:i/>
        </w:rPr>
        <w:t xml:space="preserve">Figure</w:t>
      </w:r>
      <w:r>
        <w:t xml:space="preserve"> </w:t>
      </w:r>
      <w:r>
        <w:t xml:space="preserve">4. Overview of Procedure-related variables in TED</w:t>
      </w:r>
    </w:p>
    <w:p>
      <w:pPr>
        <w:pStyle w:val="Textkrper"/>
      </w:pPr>
      <w:r>
        <w:t xml:space="preserve">Detailed information on the statements presented is available for 56 out of 59 studies. Data on the accuracy of a statement is available for 388603 (54.38 %) of trials, the exact statement text is available for 326877 (45.74 %) of trials, and response times are available for 140567 (19.67 %) of trials.</w:t>
      </w:r>
    </w:p>
    <w:bookmarkStart w:id="59" w:name="bayesian-multilevel-modeling"/>
    <w:p>
      <w:pPr>
        <w:pStyle w:val="berschrift2"/>
      </w:pPr>
      <w:r>
        <w:t xml:space="preserve">Bayesian Multilevel Modeling</w:t>
      </w:r>
    </w:p>
    <w:p>
      <w:pPr>
        <w:pStyle w:val="FirstParagraph"/>
      </w:pPr>
      <w:r>
        <w:t xml:space="preserve">To illustrate the benefits of our large collection of trial-level data, we fitted Bayesian multilevel models predicting truth judgments, with repetition as a fixed effect and random intercepts and slopes at the statement, subject, and experiment levels.</w:t>
      </w:r>
    </w:p>
    <w:p>
      <w:pPr>
        <w:pStyle w:val="Textkrper"/>
      </w:pPr>
      <w:r>
        <w:t xml:space="preserve">The experiment level is based on data from the procedure_table, as this table contains detailed information about each experimental setup (e.g., proportion of repeated items, presence of warnings, number of sessions) beyond what is available in the broader study_table. Each entry in the study_table corresponds to at least one entry in the procedure_table, but a single study may include several procedures that differ in these settings. For example, the same study may have multiple judgment sessions, modify the percentage of repeated stimuli, or warn some participants about the truth effect. These different procedures will then also receive different procedure identifiers, but the same study identifier. Critically, this results in more</w:t>
      </w:r>
      <w:r>
        <w:t xml:space="preserve"> </w:t>
      </w:r>
      <w:r>
        <w:t xml:space="preserve">“</w:t>
      </w:r>
      <w:r>
        <w:t xml:space="preserve">experiments</w:t>
      </w:r>
      <w:r>
        <w:t xml:space="preserve">”</w:t>
      </w:r>
      <w:r>
        <w:t xml:space="preserve"> </w:t>
      </w:r>
      <w:r>
        <w:t xml:space="preserve">than studies included in TED. While TED includes 59 studies, these studies consist of a total of 86 different procedural settings –</w:t>
      </w:r>
      <w:r>
        <w:t xml:space="preserve"> </w:t>
      </w:r>
      <w:r>
        <w:t xml:space="preserve">“</w:t>
      </w:r>
      <w:r>
        <w:t xml:space="preserve">experiments</w:t>
      </w:r>
      <w:r>
        <w:t xml:space="preserve">”</w:t>
      </w:r>
      <w:r>
        <w:t xml:space="preserve">.</w:t>
      </w:r>
    </w:p>
    <w:p>
      <w:pPr>
        <w:pStyle w:val="Textkrper"/>
      </w:pPr>
      <w:r>
        <w:t xml:space="preserve">Thus, the experiment identifier (</w:t>
      </w:r>
      <w:r>
        <w:rPr>
          <w:iCs/>
          <w:i/>
        </w:rPr>
        <w:t xml:space="preserve">procedure_id</w:t>
      </w:r>
      <w:r>
        <w:t xml:space="preserve">) uniquely captures both the study context and its specific experimental conditions. This modeling approach allows us to estimate the variance in the truth effect at three levels simultaneously: (1) variance due to diverse statements (statement level), (2) variance due to individual differences (subject level), and (3) variance due to common experimental manipulations and study settings (experiment level).</w:t>
      </w:r>
    </w:p>
    <w:p>
      <w:pPr>
        <w:pStyle w:val="Textkrper"/>
      </w:pPr>
      <w:r>
        <w:t xml:space="preserve">We analyzed the dichotomous and Likert-type response formats separately due to differences in their scale characteristics. Dichotomous responses (e.g., true/false) require logistic models, whereas Likert-scale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effect coded with -0.5 for new and +0.5 for repeated statements.</w:t>
      </w:r>
      <w:r>
        <w:t xml:space="preserve"> </w:t>
      </w: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51" w:name="dichotomous-truth-judgments"/>
    <w:p>
      <w:pPr>
        <w:pStyle w:val="berschrift3"/>
      </w:pPr>
      <w:r>
        <w:t xml:space="preserve">Dichotomous Truth Judgments.</w:t>
      </w:r>
    </w:p>
    <w:p>
      <w:pPr>
        <w:pStyle w:val="FirstParagraph"/>
      </w:pPr>
      <w:r>
        <w:t xml:space="preserve">The analysis was based on 141889 trials nested within 1823 subjects, 1357 statements, and 20 experiments.</w:t>
      </w:r>
    </w:p>
    <w:p>
      <w:pPr>
        <w:pStyle w:val="Textkrper"/>
      </w:pPr>
      <w:r>
        <w:t xml:space="preserve">Table</w:t>
      </w:r>
      <w:r>
        <w:t xml:space="preserve"> </w:t>
      </w:r>
      <w:r>
        <w:t xml:space="preserve">2</w:t>
      </w:r>
      <w:r>
        <w:t xml:space="preserve"> </w:t>
      </w:r>
      <w:r>
        <w:t xml:space="preserve">provides a summary of parameter estimates.As expected, the model indicated a significant fixed effect of repetition (</w:t>
      </w:r>
      <m:oMath>
        <m:r>
          <m:t>b</m:t>
        </m:r>
        <m:r>
          <m:rPr>
            <m:sty m:val="p"/>
          </m:rPr>
          <m:t>=</m:t>
        </m:r>
      </m:oMath>
      <w:r>
        <w:t xml:space="preserve"> </w:t>
      </w:r>
      <w:r>
        <w:t xml:space="preserve">0.63,</w:t>
      </w:r>
      <w:r>
        <w:t xml:space="preserve"> </w:t>
      </w:r>
      <m:oMath>
        <m:r>
          <m:t>95</m:t>
        </m:r>
        <m:r>
          <m:rPr>
            <m:sty m:val="p"/>
          </m:rPr>
          <m:t>%</m:t>
        </m:r>
        <m:r>
          <m:t> </m:t>
        </m:r>
        <m:r>
          <m:t>C</m:t>
        </m:r>
        <m:r>
          <m:t>r</m:t>
        </m:r>
        <m:r>
          <m:t>I</m:t>
        </m:r>
        <m:r>
          <m:rPr>
            <m:sty m:val="p"/>
          </m:rPr>
          <m:t>=</m:t>
        </m:r>
      </m:oMath>
      <w:r>
        <w:t xml:space="preserve"> </w:t>
      </w:r>
      <w:r>
        <w:t xml:space="preserve">[0.49, 0.77],</w:t>
      </w:r>
      <w:r>
        <w:t xml:space="preserve"> </w:t>
      </w:r>
      <m:oMath>
        <m:r>
          <m:t>O</m:t>
        </m:r>
        <m:r>
          <m:t>R</m:t>
        </m:r>
        <m:r>
          <m:rPr>
            <m:sty m:val="p"/>
          </m:rPr>
          <m:t>=</m:t>
        </m:r>
      </m:oMath>
      <w:r>
        <w:t xml:space="preserve"> </w:t>
      </w:r>
      <w:r>
        <w:t xml:space="preserve">1.87,</w:t>
      </w:r>
      <w:r>
        <w:t xml:space="preserve"> </w:t>
      </w:r>
      <m:oMath>
        <m:r>
          <m:t>B</m:t>
        </m:r>
        <m:sSub>
          <m:e>
            <m:r>
              <m:t>F</m:t>
            </m:r>
          </m:e>
          <m:sub>
            <m:r>
              <m:t>10</m:t>
            </m:r>
          </m:sub>
        </m:sSub>
        <m:r>
          <m:rPr>
            <m:sty m:val="p"/>
          </m:rPr>
          <m:t>&gt;</m:t>
        </m:r>
        <m:r>
          <m:t>1</m:t>
        </m:r>
        <m:r>
          <m:rPr>
            <m:sty m:val="p"/>
          </m:rPr>
          <m:t>×</m:t>
        </m:r>
        <m:sSup>
          <m:e>
            <m:r>
              <m:t>10</m:t>
            </m:r>
          </m:e>
          <m:sup>
            <m:r>
              <m:t>10</m:t>
            </m:r>
          </m:sup>
        </m:sSup>
      </m:oMath>
      <w:r>
        <w:t xml:space="preserve">). Notably, the standard deviation of the random slope of repetition was highest at the subject level (</w:t>
      </w:r>
      <m:oMath>
        <m:r>
          <m:t>σ</m:t>
        </m:r>
        <m:r>
          <m:rPr>
            <m:sty m:val="p"/>
          </m:rPr>
          <m:t>=</m:t>
        </m:r>
      </m:oMath>
      <w:r>
        <w:t xml:space="preserve"> </w:t>
      </w:r>
      <w:r>
        <w:t xml:space="preserve">0.67,</w:t>
      </w:r>
      <w:r>
        <w:t xml:space="preserve"> </w:t>
      </w:r>
      <m:oMath>
        <m:r>
          <m:t>95</m:t>
        </m:r>
        <m:r>
          <m:rPr>
            <m:sty m:val="p"/>
          </m:rPr>
          <m:t>%</m:t>
        </m:r>
        <m:r>
          <m:t> </m:t>
        </m:r>
        <m:r>
          <m:t>C</m:t>
        </m:r>
        <m:r>
          <m:t>r</m:t>
        </m:r>
        <m:r>
          <m:t>I</m:t>
        </m:r>
        <m:r>
          <m:rPr>
            <m:sty m:val="p"/>
          </m:rPr>
          <m:t>=</m:t>
        </m:r>
      </m:oMath>
      <w:r>
        <w:t xml:space="preserve"> </w:t>
      </w:r>
      <w:r>
        <w:t xml:space="preserve">[0.63, 0.71]), followed by the experiment level (</w:t>
      </w:r>
      <m:oMath>
        <m:r>
          <m:t>σ</m:t>
        </m:r>
        <m:r>
          <m:rPr>
            <m:sty m:val="p"/>
          </m:rPr>
          <m:t>=</m:t>
        </m:r>
      </m:oMath>
      <w:r>
        <w:t xml:space="preserve"> </w:t>
      </w:r>
      <w:r>
        <w:t xml:space="preserve">0.29,</w:t>
      </w:r>
      <w:r>
        <w:t xml:space="preserve"> </w:t>
      </w:r>
      <m:oMath>
        <m:r>
          <m:t>95</m:t>
        </m:r>
        <m:r>
          <m:rPr>
            <m:sty m:val="p"/>
          </m:rPr>
          <m:t>%</m:t>
        </m:r>
        <m:r>
          <m:t> </m:t>
        </m:r>
        <m:r>
          <m:t>C</m:t>
        </m:r>
        <m:r>
          <m:t>r</m:t>
        </m:r>
        <m:r>
          <m:t>I</m:t>
        </m:r>
        <m:r>
          <m:rPr>
            <m:sty m:val="p"/>
          </m:rPr>
          <m:t>=</m:t>
        </m:r>
      </m:oMath>
      <w:r>
        <w:t xml:space="preserve"> </w:t>
      </w:r>
      <w:r>
        <w:t xml:space="preserve">[0.21, 0.42]), and the statement level (</w:t>
      </w:r>
      <m:oMath>
        <m:r>
          <m:t>σ</m:t>
        </m:r>
        <m:r>
          <m:rPr>
            <m:sty m:val="p"/>
          </m:rPr>
          <m:t>=</m:t>
        </m:r>
      </m:oMath>
      <w:r>
        <w:t xml:space="preserve"> </w:t>
      </w:r>
      <w:r>
        <w:t xml:space="preserve">0.16,</w:t>
      </w:r>
      <w:r>
        <w:t xml:space="preserve"> </w:t>
      </w:r>
      <m:oMath>
        <m:r>
          <m:t>95</m:t>
        </m:r>
        <m:r>
          <m:rPr>
            <m:sty m:val="p"/>
          </m:rPr>
          <m:t>%</m:t>
        </m:r>
        <m:r>
          <m:t> </m:t>
        </m:r>
        <m:r>
          <m:t>C</m:t>
        </m:r>
        <m:r>
          <m:t>r</m:t>
        </m:r>
        <m:r>
          <m:t>I</m:t>
        </m:r>
        <m:r>
          <m:rPr>
            <m:sty m:val="p"/>
          </m:rPr>
          <m:t>=</m:t>
        </m:r>
      </m:oMath>
      <w:r>
        <w:t xml:space="preserve"> </w:t>
      </w:r>
      <w:r>
        <w:t xml:space="preserve">[0.11, 0.21]).</w:t>
      </w:r>
    </w:p>
    <w:p>
      <w:pPr>
        <w:pStyle w:val="TableCaption"/>
      </w:pPr>
      <w:bookmarkStart w:id="50" w:name="tab:dichotomous-model-table"/>
      <w:bookmarkEnd w:id="50"/>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0.36</w:t>
            </w:r>
          </w:p>
        </w:tc>
        <w:tc>
          <w:tcPr/>
          <w:p>
            <w:pPr>
              <w:pStyle w:val="Compact"/>
              <w:jc w:val="left"/>
            </w:pPr>
            <w:r>
              <w:t xml:space="preserve">0.26</w:t>
            </w:r>
          </w:p>
        </w:tc>
        <w:tc>
          <w:tcPr/>
          <w:p>
            <w:pPr>
              <w:pStyle w:val="Compact"/>
              <w:jc w:val="left"/>
            </w:pPr>
            <w:r>
              <w:t xml:space="preserve">0.47</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0.63</w:t>
            </w:r>
          </w:p>
        </w:tc>
        <w:tc>
          <w:tcPr/>
          <w:p>
            <w:pPr>
              <w:pStyle w:val="Compact"/>
              <w:jc w:val="left"/>
            </w:pPr>
            <w:r>
              <w:t xml:space="preserve">0.49</w:t>
            </w:r>
          </w:p>
        </w:tc>
        <w:tc>
          <w:tcPr/>
          <w:p>
            <w:pPr>
              <w:pStyle w:val="Compact"/>
              <w:jc w:val="left"/>
            </w:pPr>
            <w:r>
              <w:t xml:space="preserve">0.77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0.17</w:t>
            </w:r>
          </w:p>
        </w:tc>
        <w:tc>
          <w:tcPr/>
          <w:p>
            <w:pPr>
              <w:pStyle w:val="Compact"/>
              <w:jc w:val="left"/>
            </w:pPr>
            <w:r>
              <w:t xml:space="preserve">0.10</w:t>
            </w:r>
          </w:p>
        </w:tc>
        <w:tc>
          <w:tcPr/>
          <w:p>
            <w:pPr>
              <w:pStyle w:val="Compact"/>
              <w:jc w:val="left"/>
            </w:pPr>
            <w:r>
              <w:t xml:space="preserve">0.27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0.42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0.81</w:t>
            </w:r>
          </w:p>
        </w:tc>
        <w:tc>
          <w:tcPr/>
          <w:p>
            <w:pPr>
              <w:pStyle w:val="Compact"/>
              <w:jc w:val="left"/>
            </w:pPr>
            <w:r>
              <w:t xml:space="preserve">0.78</w:t>
            </w:r>
          </w:p>
        </w:tc>
        <w:tc>
          <w:tcPr/>
          <w:p>
            <w:pPr>
              <w:pStyle w:val="Compact"/>
              <w:jc w:val="left"/>
            </w:pPr>
            <w:r>
              <w:t xml:space="preserve">0.85</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0.21</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0.66</w:t>
            </w:r>
          </w:p>
        </w:tc>
        <w:tc>
          <w:tcPr/>
          <w:p>
            <w:pPr>
              <w:pStyle w:val="Compact"/>
              <w:jc w:val="left"/>
            </w:pPr>
            <w:r>
              <w:t xml:space="preserve">0.63</w:t>
            </w:r>
          </w:p>
        </w:tc>
        <w:tc>
          <w:tcPr/>
          <w:p>
            <w:pPr>
              <w:pStyle w:val="Compact"/>
              <w:jc w:val="left"/>
            </w:pPr>
            <w:r>
              <w:t xml:space="preserve">0.68</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0.67</w:t>
            </w:r>
          </w:p>
        </w:tc>
        <w:tc>
          <w:tcPr/>
          <w:p>
            <w:pPr>
              <w:pStyle w:val="Compact"/>
              <w:jc w:val="left"/>
            </w:pPr>
            <w:r>
              <w:t xml:space="preserve">0.63</w:t>
            </w:r>
          </w:p>
        </w:tc>
        <w:tc>
          <w:tcPr/>
          <w:p>
            <w:pPr>
              <w:pStyle w:val="Compact"/>
              <w:jc w:val="left"/>
            </w:pPr>
            <w:r>
              <w:t xml:space="preserve">0.71</w:t>
            </w:r>
          </w:p>
        </w:tc>
      </w:tr>
    </w:tbl>
    <w:p>
      <w:pPr>
        <w:pStyle w:val="table-note"/>
      </w:pPr>
      <w:r>
        <w:rPr>
          <w:iCs/>
          <w:i/>
        </w:rPr>
        <w:t xml:space="preserve">Note.</w:t>
      </w:r>
      <w:r>
        <w:t xml:space="preserve"> </w:t>
      </w:r>
      <w:r>
        <w:t xml:space="preserve">N = 141889; N Experiments = 20; N Subjects = 1823; N Statements = 1357; l_95_CrI refers to the lower boundary of the 95% credible interval, u_95_CrI refers to the upper boundary</w:t>
      </w:r>
    </w:p>
    <w:p>
      <w:pPr>
        <w:pStyle w:val="Textkrper"/>
      </w:pPr>
      <w:r>
        <w:t xml:space="preserve"> </w:t>
      </w:r>
    </w:p>
    <w:bookmarkEnd w:id="51"/>
    <w:bookmarkStart w:id="58" w:name="scale-truth-judgments"/>
    <w:p>
      <w:pPr>
        <w:pStyle w:val="berschrift3"/>
      </w:pPr>
      <w:r>
        <w:t xml:space="preserve">Scale Truth Judgments.</w:t>
      </w:r>
    </w:p>
    <w:p>
      <w:pPr>
        <w:pStyle w:val="FirstParagraph"/>
      </w:pPr>
      <w:r>
        <w:t xml:space="preserve">The analysis was based on 572775 trials nested within 8309 subjects, 2872 statements, and 66 experiments.</w:t>
      </w:r>
    </w:p>
    <w:p>
      <w:pPr>
        <w:pStyle w:val="Textkrper"/>
      </w:pPr>
      <w:r>
        <w:t xml:space="preserve">Table</w:t>
      </w:r>
      <w:r>
        <w:t xml:space="preserve"> </w:t>
      </w:r>
      <w:r>
        <w:t xml:space="preserve">3</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w:t>
      </w:r>
      <w:r>
        <w:t xml:space="preserve"> </w:t>
      </w:r>
      <m:oMath>
        <m:r>
          <m:t>B</m:t>
        </m:r>
        <m:sSub>
          <m:e>
            <m:r>
              <m:t>F</m:t>
            </m:r>
          </m:e>
          <m:sub>
            <m:r>
              <m:t>10</m:t>
            </m:r>
          </m:sub>
        </m:sSub>
        <m:r>
          <m:rPr>
            <m:sty m:val="p"/>
          </m:rPr>
          <m:t>&gt;</m:t>
        </m:r>
        <m:r>
          <m:t>1</m:t>
        </m:r>
        <m:r>
          <m:rPr>
            <m:sty m:val="p"/>
          </m:rPr>
          <m:t>×</m:t>
        </m:r>
        <m:sSup>
          <m:e>
            <m:r>
              <m:t>10</m:t>
            </m:r>
          </m:e>
          <m:sup>
            <m:r>
              <m:t>10</m:t>
            </m:r>
          </m:sup>
        </m:sSup>
      </m:oMath>
      <w:r>
        <w:t xml:space="preserve">).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experiment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52" w:name="tab:scale-model-table"/>
      <w:bookmarkEnd w:id="52"/>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As outlined above in the introduction, previous research findings suggest that the time interval between exposure and judgment phase may be a crucial factor in investigating the role of individual differences in the truth effect. 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Based on this, we examined whether variability in the repetition effect at the subject-level differ depending on the temporal delay.</w:t>
      </w:r>
    </w:p>
    <w:p>
      <w:pPr>
        <w:pStyle w:val="Textkrper"/>
      </w:pPr>
      <w:r>
        <w:t xml:space="preserve">Table</w:t>
      </w:r>
      <w:r>
        <w:t xml:space="preserve"> </w:t>
      </w:r>
      <w:r>
        <w:t xml:space="preserve">4</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r>
        <w:t xml:space="preserve"> </w:t>
      </w:r>
      <m:oMath>
        <m:r>
          <m:t>B</m:t>
        </m:r>
        <m:sSub>
          <m:e>
            <m:r>
              <m:t>F</m:t>
            </m:r>
          </m:e>
          <m:sub>
            <m:r>
              <m:t>10</m:t>
            </m:r>
          </m:sub>
        </m:sSub>
        <m:r>
          <m:rPr>
            <m:sty m:val="p"/>
          </m:rPr>
          <m:t>&gt;</m:t>
        </m:r>
        <m:r>
          <m:t>1</m:t>
        </m:r>
        <m:r>
          <m:rPr>
            <m:sty m:val="p"/>
          </m:rPr>
          <m:t>×</m:t>
        </m:r>
        <m:sSup>
          <m:e>
            <m:r>
              <m:t>10</m:t>
            </m:r>
          </m:e>
          <m:sup>
            <m:r>
              <m:t>10</m:t>
            </m:r>
          </m:sup>
        </m:sSup>
      </m:oMath>
      <w:r>
        <w:t xml:space="preserve">).</w:t>
      </w:r>
    </w:p>
    <w:p>
      <w:pPr>
        <w:pStyle w:val="TableCaption"/>
      </w:pPr>
      <w:bookmarkStart w:id="53" w:name="tab:time-model-table"/>
      <w:bookmarkEnd w:id="53"/>
      <w:r>
        <w:t xml:space="preserve">Table 4</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4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5969000" cy="3357562"/>
            <wp:effectExtent b="0" l="0" r="0" t="0"/>
            <wp:docPr descr="Figure 5: Variance in the truth effect at different levels" title="" id="55" name="Picture"/>
            <a:graphic>
              <a:graphicData uri="http://schemas.openxmlformats.org/drawingml/2006/picture">
                <pic:pic>
                  <pic:nvPicPr>
                    <pic:cNvPr descr="images/sd_posterior_plot.png" id="56" name="Picture"/>
                    <pic:cNvPicPr>
                      <a:picLocks noChangeArrowheads="1" noChangeAspect="1"/>
                    </pic:cNvPicPr>
                  </pic:nvPicPr>
                  <pic:blipFill>
                    <a:blip r:embed="rId54"/>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57" w:name="fig:time-model-plot"/>
      <w:bookmarkEnd w:id="57"/>
      <w:r>
        <w:rPr>
          <w:iCs/>
          <w:i/>
        </w:rPr>
        <w:t xml:space="preserve">Figure</w:t>
      </w:r>
      <w:r>
        <w:t xml:space="preserve"> </w:t>
      </w:r>
      <w:r>
        <w:t xml:space="preserve">5. Variance in the truth effect at different levels</w:t>
      </w:r>
    </w:p>
    <w:bookmarkEnd w:id="58"/>
    <w:bookmarkEnd w:id="59"/>
    <w:bookmarkEnd w:id="60"/>
    <w:bookmarkStart w:id="65"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illusory truth effect (ITE) by standardizing and centralizing data from a wide range of studies. It currently aggregates data from 59 studies in 29 publications, spanning 12,242 participants and 808,231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(Crüwell et al., 2023; Hardwicke et al., 2021). To meet these challenges, we provide a structured SQL-based schema that organizes data at multiple levels – including publications, experiments,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 acdcquery (Lesche, 2025) 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fitted multilevel models predicting truth judgments. By estimating random effects at the statement, subject, and experiment levels, we investigated where variance in the truth effect originates.</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experiment-level random effect of repetition. This is unsurprising, as experiments varied considerably in design features such as the number of statements, delay between exposure and judgment phase, or whether participants were warned about repetition. Nevertheless, the experiment-level variance in the effect of repetition was still smaller than at the subject level.</w:t>
      </w:r>
    </w:p>
    <w:p>
      <w:pPr>
        <w:pStyle w:val="Textkrper"/>
      </w:pPr>
      <w:r>
        <w:t xml:space="preserve">In fact,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However, efforts to study individual differences in the truth effect have so far produced mixed results (for an overview, see the introduction).</w:t>
      </w:r>
    </w:p>
    <w:p>
      <w:pPr>
        <w:pStyle w:val="Textkrper"/>
      </w:pPr>
      <w:r>
        <w:t xml:space="preserve">In this exemplary use of TED, we furthermore explored whether the individual variance in the ITE is moderated by the delay between exposure and judgment phase – a key design feature in truth effect experiments. TED allowed us to perform an analysis using a large number of ITE data sets, estimating individual variability in the truth effect when the exposure and judgment occur on the same day, as opposed to a delay of at least one day, while additionally taking variance at the experiment and statement level into account. The results revealed that the variance in the repetition effect at the subject level was larger when truth judgments for repeated (vs. new) statements were made on the same day as the exposure phase, compared to when the judgment phases were postponed to a later date (i.e., at least one day later). Based on the posterior distributions, we compared these random effects between conditions (retention interval &lt; 1 day vs. retention interval &gt;= 1 day). Results demonstrated that this difference is different from 0, indicating credible differences in the subject-level variability in the illusory truth effect as a function of the delay between exposure and judgment phase. On a theoretical level, these differences as a function of retention interval length may reflect variations in memory strength. After a relatively short delay, memory traces are likely still robust, making it easier for individuals to identify the earlier presentation as the source of the familiarity experience. On a theoretical level, these differences as a function of retention interval length may reflect variations in memory strength. Arkes et al. (1989) found that the illusory truth effect increases when repeated statements are attributed to sources external to the experiment. We argue that after a relatively short delay, memory traces are likely still robust, making it easier for individuals to identify the earlier presentation as the source of the familiarity experience. Consequently, as long as the feeling of fluency can be traced back to repetition within the experimental context, certain dispositional factors may reduce the likelihood of relying on repetition-based fluency (e.g., a higher preference for deliberation, a lower need for cognitive closure). After longer intervals (e.g., one week), the source of familiarity likely becomes less distinct, reducing the interaction between repetition and dispositional factors. Once the familiarity can no longer be attributed to the experimental context, reliance on repetition-induced fluency may serve as a valid cue for truth evaluation under uncertainty (Reber &amp; Unkelbach, 2010). This idea aligns well with prior research demonstrating that dispositional effects (e.g., Need for Cognitive Closure) tend to emerge after relatively short retention intervals (e.g., 10 minutes) rather than longer ones (e.g., one week; Stump et al., 2022).</w:t>
      </w:r>
    </w:p>
    <w:p>
      <w:pPr>
        <w:pStyle w:val="Textkrper"/>
      </w:pPr>
      <w:r>
        <w:t xml:space="preserve">Finally, although our findings align well with previous research, we emphasize that these preliminary results and theoretical assumptions should be interpreted with caution, as we did not control for potential confounding factors such as sample composition, procedural variation, or other study-level covariates. Overall, these initial analyses were primarily intended to demonstrate the usefulness of TED for addressing complex research questions that would be difficult to examine using data from a single study. The open and extensible nature of TED ensures that these questions can be revisited and refined as the database continues to grow. We see this as a first step toward more nuanced investigations of the truth effect grounded in large-scale, reproducible data.</w:t>
      </w:r>
    </w:p>
    <w:bookmarkStart w:id="61" w:name="limitations"/>
    <w:p>
      <w:pPr>
        <w:pStyle w:val="berschrift2"/>
      </w:pPr>
      <w:r>
        <w:t xml:space="preserve">Limitations</w:t>
      </w:r>
    </w:p>
    <w:p>
      <w:pPr>
        <w:pStyle w:val="FirstParagraph"/>
      </w:pPr>
      <w:r>
        <w:t xml:space="preserve">Different limitations of the current version of TED should be acknowledged. First, TED is not a comprehensive repository of all truth effect studies. The dataset is based primarily on the systematic review by Henderson et al. (2022), and we have updated the database through our own literature searches. Consequently, any inferences drawn from analyses of TED should be interpreted in light of this selection bias: TED includes only those studies that have already made their data publicly available. To fully resolve issues of selection and interoperability, all original data would need to be made publicly accessible and well-documented. Nevertheless, TED represents a step toward this goal and is uniquely positioned to facilitate data harmonization; the entry mask and harmonization efforts implemented in the database reduce barriers to interoperable data for future research.</w:t>
      </w:r>
    </w:p>
    <w:p>
      <w:pPr>
        <w:pStyle w:val="Textkrper"/>
      </w:pPr>
      <w:r>
        <w:t xml:space="preserve">Second, the submission process still requires contributors to send data directly to the maintainers via email. Although this procedure is relatively low-tech, it was deliberately designed to minimize points of failure and attack, avoid server hosting costs, and foster direct contact between contributors and maintainers, which can support follow-up and clarification. Similarly, TED currently does not provide API or server access. Instead, data are accessible via a downloadable file or directly through the accompanying R package, allowing researchers to interact with the database at their own pace and modify it as needed while limiting project complexity and costs.</w:t>
      </w:r>
    </w:p>
    <w:p>
      <w:pPr>
        <w:pStyle w:val="Textkrper"/>
      </w:pPr>
      <w:r>
        <w:t xml:space="preserve">Third, the database is not static. Information may change over time as new studies are added, errors are corrected, or classifications are refined. In particular, the veracity of statements encoded in the database reflects their status at the time of the publication in which they were used. Because factual accuracy can change over time, researchers should exercise caution when using statement texts directly from TED and consider re-evaluating statement accuracy where necessary.</w:t>
      </w:r>
    </w:p>
    <w:p>
      <w:pPr>
        <w:pStyle w:val="Textkrper"/>
      </w:pPr>
      <w:r>
        <w:t xml:space="preserve">Expansion of the database is also constrained by available resources. In the absence of dedicated institutional support or direct funding, growth depends on voluntary submissions from researchers and on targeted survey efforts conducted by the maintenance team. We have aimed to make contribution to TED as straightforward as possible to lower barriers to participation and aim to survey new research to add to TED periodically to reach out to potential contributors directly. All contributions help improve the FAIRness of illusory truth effect data and also increase the visibility of contributors’ work. We are also hopeful that broader initiatives promoting the development and use of large-scale databases, such as the recent call for submissions using large-scale data in Psychometrika (Psychometric Society, 2026), will further strengthen community support for TED.</w:t>
      </w:r>
    </w:p>
    <w:p>
      <w:pPr>
        <w:pStyle w:val="Textkrper"/>
      </w:pPr>
      <w:r>
        <w:t xml:space="preserve">Finally, because TED evolves over time, researchers should ensure that the version of the database they use matches the most current release. To facilitate this, the accompanying R package provides the check_ted() function, which allows users to compare a locally stored SQLite file with the latest version available online. If discrepancies are detected, users can update their local copy using update_ted() or download a specific release via download_ted(path, tag =</w:t>
      </w:r>
      <w:r>
        <w:t xml:space="preserve"> </w:t>
      </w:r>
      <w:r>
        <w:t xml:space="preserve">“</w:t>
      </w:r>
      <w:r>
        <w:t xml:space="preserve">v1.1.0-example</w:t>
      </w:r>
      <w:r>
        <w:t xml:space="preserve">”</w:t>
      </w:r>
      <w:r>
        <w:t xml:space="preserve">), thereby ensuring transparency and reproducibility in analyses based on TED.</w:t>
      </w:r>
    </w:p>
    <w:bookmarkEnd w:id="61"/>
    <w:bookmarkStart w:id="63"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Importantly, the present data does not represent a random or comprehensive sample of all published ITE studies and therefore does not support a formal meta-analysis. Nevertheless, TED can be used to estimate average effect sizes among studies with openly available data. Given these limitations, we chose not to report an aggregate effect size in the current paper. However, we provide a proof-of-concept meta-analysis on TED’s website (</w:t>
      </w:r>
      <w:hyperlink r:id="rId62">
        <w:r>
          <w:rPr>
            <w:rStyle w:val="Hyperlink"/>
          </w:rPr>
          <w:t xml:space="preserve">https://slesche.github.io/ted-site/explore.html#meta-analysis</w:t>
        </w:r>
      </w:hyperlink>
      <w:r>
        <w:t xml:space="preserve">).</w:t>
      </w:r>
    </w:p>
    <w:p>
      <w:pPr>
        <w:pStyle w:val="Textkrper"/>
      </w:pP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Thus, TED facilitates both direct and conceptual replications and provides a foundation for transparent, data-driven reassessment of prior findings.</w:t>
      </w:r>
    </w:p>
    <w:p>
      <w:pPr>
        <w:pStyle w:val="Textkrper"/>
      </w:pPr>
      <w:r>
        <w:t xml:space="preserve">Beyond supporting replications, TED offers a foundation for formal modeling approaches to the truth effect. Its detailed trial-level data and metadata allow researchers to fit and validate cognitive process models – such as drift diffusion (see e.g., Ratcliff &amp; McKoon, 2008) or multinomial processing tree models (see e.g., Calio et al., 2020; Unkelbach &amp; Stahl, 2009).</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 (Haaf et al., 2025), improving on data submission and ease-of-use. Both projects can serve as a jumping-off point for future database development. All aspects of our project, including the SQL schema, submission interface, R extraction package, and the interactive overview website, 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blueprint for cumulative science: one that supports rigorous replication, sophisticated cognitive modeling, empirical synthesis, and infrastructure reusability while lowering the barriers to collaboration and long-term research development.</w:t>
      </w:r>
    </w:p>
    <w:bookmarkEnd w:id="63"/>
    <w:bookmarkStart w:id="64"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2">
        <w:r>
          <w:rPr>
            <w:rStyle w:val="Hyperlink"/>
          </w:rPr>
          <w:t xml:space="preserve">https://slesche.github.io/ted-site/</w:t>
        </w:r>
      </w:hyperlink>
      <w:r>
        <w:t xml:space="preserve">).</w:t>
      </w:r>
    </w:p>
    <w:p>
      <w:pPr>
        <w:pStyle w:val="Textkrper"/>
      </w:pPr>
      <w:r>
        <w:t xml:space="preserve">We illustrated the utility of TED through Bayesian multilevel analyses, which highlighted substantial variance in the illusory truth effect at the subject level and provided new evidence that individual differences in susceptibility to the truth effect systematically vary as a function of the retention interval length. These findings point to the need for further theoretical and empirical work on individual differences in susceptibility to information repetition.</w:t>
      </w:r>
    </w:p>
    <w:p>
      <w:pPr>
        <w:pStyle w:val="Textkrper"/>
      </w:pPr>
      <w:r>
        <w:t xml:space="preserve">Beyond this first demonstration, TED provides the foundation for a wide range of future research. These include (living) meta-analyses, simulation-based power analyses,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64"/>
    <w:bookmarkEnd w:id="65"/>
    <w:bookmarkStart w:id="138" w:name="references"/>
    <w:p>
      <w:pPr>
        <w:pStyle w:val="berschrift1"/>
      </w:pPr>
      <w:r>
        <w:t xml:space="preserve">References</w:t>
      </w:r>
    </w:p>
    <w:p>
      <w:pPr>
        <w:pStyle w:val="FirstParagraph"/>
      </w:pPr>
      <w:r>
        <w:t xml:space="preserve">Arkes, H. R., Hackett, C., &amp; Boehm, L. (1989). The generality of the relation between</w:t>
      </w:r>
      <w:r>
        <w:t xml:space="preserve"> </w:t>
      </w:r>
      <w:r>
        <w:t xml:space="preserve">familiarity and judged validity. Journal of Behavioral Decision Making, 2(2), 81–</w:t>
      </w:r>
      <w:r>
        <w:t xml:space="preserve"> </w:t>
      </w:r>
      <w:r>
        <w:t xml:space="preserve">94.</w:t>
      </w:r>
      <w:r>
        <w:t xml:space="preserve"> </w:t>
      </w:r>
      <w:hyperlink r:id="rId66">
        <w:r>
          <w:rPr>
            <w:rStyle w:val="Hyperlink"/>
          </w:rPr>
          <w:t xml:space="preserve">https://doi.org/10.1002/bdm.3960020203</w:t>
        </w:r>
      </w:hyperlink>
      <w:r>
        <w:t xml:space="preserve"> </w:t>
      </w:r>
      <w:r>
        <w:t xml:space="preserve">Aust, F., &amp; Barth, M. (2022). papaja: Prepare reproducible APA journal articles with R Markdown.</w:t>
      </w:r>
      <w:r>
        <w:t xml:space="preserve"> </w:t>
      </w:r>
      <w:hyperlink r:id="rId67">
        <w:r>
          <w:rPr>
            <w:rStyle w:val="Hyperlink"/>
          </w:rPr>
          <w:t xml:space="preserve">https://github.com/crsh/papaja</w:t>
        </w:r>
      </w:hyperlink>
      <w:r>
        <w:t xml:space="preserve"> </w:t>
      </w:r>
      <w:r>
        <w:t xml:space="preserve">Bauer, P. J. (2022). Psychological science stepping up a level (2; Vol. 33, pp. 179–183). SAGE Publications Sage CA: Los Angeles, CA.</w:t>
      </w:r>
      <w:r>
        <w:t xml:space="preserve"> </w:t>
      </w:r>
      <w:hyperlink r:id="rId68">
        <w:r>
          <w:rPr>
            <w:rStyle w:val="Hyperlink"/>
          </w:rPr>
          <w:t xml:space="preserve">https://doi.org/10.1177/09567976221078527</w:t>
        </w:r>
      </w:hyperlink>
      <w:r>
        <w:t xml:space="preserve"> </w:t>
      </w:r>
      <w:r>
        <w:t xml:space="preserve">Béna, J., Carreras, O., Terrier, P. (2019). Attention division and the truth effect: A case of moderation by source credibility manipulation. Unpublished.</w:t>
      </w:r>
      <w:r>
        <w:t xml:space="preserve"> </w:t>
      </w:r>
      <w:r>
        <w:t xml:space="preserve">Béna, J., Carreras, O., Terrier, P. (2020). Does delay between exposure and truth judgement decrease the truth effect through a recollection impairment? A Remember/Know study”. Unpublished data</w:t>
      </w:r>
      <w:r>
        <w:t xml:space="preserve"> </w:t>
      </w:r>
      <w:r>
        <w:t xml:space="preserve">Boehm, L. E. (1994). The validity effect: A search for mediating variables. Personality and Social Psychology Bulletin, 20(3), 285–293.</w:t>
      </w:r>
      <w:r>
        <w:t xml:space="preserve"> </w:t>
      </w:r>
      <w:hyperlink r:id="rId69">
        <w:r>
          <w:rPr>
            <w:rStyle w:val="Hyperlink"/>
          </w:rPr>
          <w:t xml:space="preserve">https://doi.org/10.1177/0146167294203006</w:t>
        </w:r>
      </w:hyperlink>
      <w:r>
        <w:t xml:space="preserve"> </w:t>
      </w:r>
      <w:r>
        <w:t xml:space="preserve">Brashier, N. M., Eliseev, E. D., &amp; Marsh, E. J. (2020). An initial accuracy focus prevents illusory truth. Cognition, 194, 104054.</w:t>
      </w:r>
      <w:r>
        <w:t xml:space="preserve"> </w:t>
      </w:r>
      <w:hyperlink r:id="rId70">
        <w:r>
          <w:rPr>
            <w:rStyle w:val="Hyperlink"/>
          </w:rPr>
          <w:t xml:space="preserve">https://doi.org/10.1016/j.cognition.2019.104054</w:t>
        </w:r>
      </w:hyperlink>
      <w:r>
        <w:t xml:space="preserve"> </w:t>
      </w:r>
      <w:r>
        <w:t xml:space="preserve">Bürkner, P.-C. (2017). brms: An R package for Bayesian multilevel models using Stan. Journal of Statistical Software, 80(1), 1–28.</w:t>
      </w:r>
      <w:r>
        <w:t xml:space="preserve"> </w:t>
      </w:r>
      <w:hyperlink r:id="rId71">
        <w:r>
          <w:rPr>
            <w:rStyle w:val="Hyperlink"/>
          </w:rPr>
          <w:t xml:space="preserve">https://doi.org/10.18637/jss.v080.i01</w:t>
        </w:r>
      </w:hyperlink>
      <w:r>
        <w:t xml:space="preserve"> </w:t>
      </w:r>
      <w:r>
        <w:t xml:space="preserve">Bürkner, P.-C. (2018). Advanced Bayesian multilevel modeling with the R package brms. The R Journal, 10(1), 395–411.</w:t>
      </w:r>
      <w:r>
        <w:t xml:space="preserve"> </w:t>
      </w:r>
      <w:hyperlink r:id="rId72">
        <w:r>
          <w:rPr>
            <w:rStyle w:val="Hyperlink"/>
          </w:rPr>
          <w:t xml:space="preserve">https://doi.org/10.32614/RJ-2018-017</w:t>
        </w:r>
      </w:hyperlink>
      <w:r>
        <w:t xml:space="preserve"> </w:t>
      </w:r>
      <w:r>
        <w:t xml:space="preserve">Bürkner, P.-C. (2021). Bayesian item response modeling in R with brms and Stan. Journal of Statistical Software, 100(5), 1–54.</w:t>
      </w:r>
      <w:r>
        <w:t xml:space="preserve"> </w:t>
      </w:r>
      <w:hyperlink r:id="rId73">
        <w:r>
          <w:rPr>
            <w:rStyle w:val="Hyperlink"/>
          </w:rPr>
          <w:t xml:space="preserve">https://doi.org/10.18637/jss.v100.i05</w:t>
        </w:r>
      </w:hyperlink>
      <w:r>
        <w:t xml:space="preserve"> </w:t>
      </w:r>
      <w:r>
        <w:t xml:space="preserve">Calio, F., Nadarevic, L., &amp; Musch, J. (2020). How explicit warnings reduce the truth effect: A multinomial modeling approach. Acta Psychologica, 211, 103185.</w:t>
      </w:r>
      <w:r>
        <w:t xml:space="preserve"> </w:t>
      </w:r>
      <w:hyperlink r:id="rId74">
        <w:r>
          <w:rPr>
            <w:rStyle w:val="Hyperlink"/>
          </w:rPr>
          <w:t xml:space="preserve">https://doi.org/10.1016/j.actpsy.2020.103185</w:t>
        </w:r>
      </w:hyperlink>
      <w:r>
        <w:t xml:space="preserve"> </w:t>
      </w:r>
      <w:r>
        <w:t xml:space="preserve">Corneille, O., Mierop, A., &amp; Unkelbach, C. (2020). Repetition increases both the perceived truth and fakeness of information: An ecological account. Cognition, 205, 104470.</w:t>
      </w:r>
      <w:r>
        <w:t xml:space="preserve"> </w:t>
      </w:r>
      <w:hyperlink r:id="rId75">
        <w:r>
          <w:rPr>
            <w:rStyle w:val="Hyperlink"/>
          </w:rPr>
          <w:t xml:space="preserve">https://doi.org/10.1016/j.cognition.2020.104470</w:t>
        </w:r>
      </w:hyperlink>
      <w:r>
        <w:t xml:space="preserve"> </w:t>
      </w:r>
      <w:r>
        <w:t xml:space="preserve">Crüwell, S., Apthorp, D., Baker, B. J., Colling, L., Elson, M., Geiger, S. J., Lobentanzer, S., Monéger, J., Patterson, A., Schwarzkopf, D. S., et al. (2023). What’s in a badge? A computational reproducibility investigation of the open data badge policy in one issue of Psychological Science. Psychological Science, 34(4), 512–522.</w:t>
      </w:r>
      <w:r>
        <w:t xml:space="preserve"> </w:t>
      </w:r>
      <w:hyperlink r:id="rId76">
        <w:r>
          <w:rPr>
            <w:rStyle w:val="Hyperlink"/>
          </w:rPr>
          <w:t xml:space="preserve">https://doi.org/10.1177/09567976221140828</w:t>
        </w:r>
      </w:hyperlink>
      <w:r>
        <w:t xml:space="preserve"> </w:t>
      </w:r>
      <w:r>
        <w:t xml:space="preserve">Dechêne, A., Stahl, C., Hansen, J., &amp; Wänke, M. (2009). Mix me a list: Context moderates the truth effect and the mere-exposure effect. Journal of Experimental Social Psychology, 45(5), 1117–1122.</w:t>
      </w:r>
      <w:r>
        <w:t xml:space="preserve"> </w:t>
      </w:r>
      <w:hyperlink r:id="rId77">
        <w:r>
          <w:rPr>
            <w:rStyle w:val="Hyperlink"/>
          </w:rPr>
          <w:t xml:space="preserve">https://doi.org/10.1016/j.jesp.2009.06.019</w:t>
        </w:r>
      </w:hyperlink>
      <w:r>
        <w:t xml:space="preserve"> </w:t>
      </w:r>
      <w:r>
        <w:t xml:space="preserve">Dechêne, A., Stahl, C., Hansen, J., &amp; Wänke, M. (2010). The truth about the truth: A meta-analytic review of the truth effect. Personality and Social Psychology Review, 14(2), 238–257.</w:t>
      </w:r>
      <w:r>
        <w:t xml:space="preserve"> </w:t>
      </w:r>
      <w:hyperlink r:id="rId78">
        <w:r>
          <w:rPr>
            <w:rStyle w:val="Hyperlink"/>
          </w:rPr>
          <w:t xml:space="preserve">https://doi.org/10.1177/1088868309352251</w:t>
        </w:r>
      </w:hyperlink>
      <w:r>
        <w:t xml:space="preserve"> </w:t>
      </w:r>
      <w:r>
        <w:t xml:space="preserve">De Keersmaecker, J., Dunning, D., Pennycook, G., Rand, D. G., Sanchez, C., Unkelbach, C., &amp; Roets, A. (2020). Investigating the robustness of the illusory truth effect across individual differences in cognitive ability, need for cognitive closure, and cognitive style. Personality and Social Psychology Bulletin, 46(2), 204–215.</w:t>
      </w:r>
      <w:r>
        <w:t xml:space="preserve"> </w:t>
      </w:r>
      <w:hyperlink r:id="rId79">
        <w:r>
          <w:rPr>
            <w:rStyle w:val="Hyperlink"/>
          </w:rPr>
          <w:t xml:space="preserve">https://doi.org/10.1177/0146167219853844</w:t>
        </w:r>
      </w:hyperlink>
      <w:r>
        <w:t xml:space="preserve"> </w:t>
      </w:r>
      <w:r>
        <w:t xml:space="preserve">De keersmaecker, J., Unkelbach, C., &amp; Roets, A. (2024). Truth-by-repetition across languages.. Journal of Applied Research in Memory and Cognition. Advance online publication.</w:t>
      </w:r>
      <w:r>
        <w:t xml:space="preserve"> </w:t>
      </w:r>
      <w:hyperlink r:id="rId80">
        <w:r>
          <w:rPr>
            <w:rStyle w:val="Hyperlink"/>
          </w:rPr>
          <w:t xml:space="preserve">https://dx.doi.org/10.1037/</w:t>
        </w:r>
      </w:hyperlink>
      <w:r>
        <w:t xml:space="preserve"> </w:t>
      </w:r>
      <w:r>
        <w:t xml:space="preserve">mac0000175</w:t>
      </w:r>
      <w:r>
        <w:t xml:space="preserve"> </w:t>
      </w:r>
      <w:r>
        <w:t xml:space="preserve">De Keersmaecker, J., Wiernik, B. M., Roets, A., &amp; Unkelbach, C. (2025). Truth by repetition reliably differs between people over time.</w:t>
      </w:r>
      <w:r>
        <w:t xml:space="preserve"> </w:t>
      </w:r>
      <w:hyperlink r:id="rId81">
        <w:r>
          <w:rPr>
            <w:rStyle w:val="Hyperlink"/>
          </w:rPr>
          <w:t xml:space="preserve">https://doi.org/10.31234/osf.io/aeukr_v1</w:t>
        </w:r>
      </w:hyperlink>
      <w:r>
        <w:t xml:space="preserve"> </w:t>
      </w:r>
      <w:r>
        <w:t xml:space="preserve">Deutsche Forschungsgemeinschaft. (2025, 3. April). Förderprogramm „Informationsinfrastrukturen für Forschungsdaten“.</w:t>
      </w:r>
      <w:r>
        <w:t xml:space="preserve"> </w:t>
      </w:r>
      <w:hyperlink r:id="rId82">
        <w:r>
          <w:rPr>
            <w:rStyle w:val="Hyperlink"/>
          </w:rPr>
          <w:t xml:space="preserve">https://www.dfg.de/de/foerderung/foerdermoeglichkeiten/programme/infrastruktur/lis/lis-foerderangebote/forschungsdaten</w:t>
        </w:r>
      </w:hyperlink>
      <w:r>
        <w:t xml:space="preserve"> </w:t>
      </w:r>
      <w:r>
        <w:t xml:space="preserve">DiFonzo, N., Beckstead, J. W., Stupak, N., &amp; Walders, K. (2016). Validity judgments of rumors heard multiple times: The shape of the truth effect. Social Influence, 11(1), 22–39.</w:t>
      </w:r>
      <w:r>
        <w:t xml:space="preserve"> </w:t>
      </w:r>
      <w:hyperlink r:id="rId83">
        <w:r>
          <w:rPr>
            <w:rStyle w:val="Hyperlink"/>
          </w:rPr>
          <w:t xml:space="preserve">https://doi.org/10.1080/15534510.2015.1137224</w:t>
        </w:r>
      </w:hyperlink>
      <w:r>
        <w:t xml:space="preserve"> </w:t>
      </w:r>
      <w:r>
        <w:t xml:space="preserve">Ecker, U., Lewandowsky, S., &amp; Chadwick, M. (2020). Can corrections spread misinformation to new audiences? Testing for the elusive familiarity backfire effect.</w:t>
      </w:r>
      <w:r>
        <w:t xml:space="preserve"> </w:t>
      </w:r>
      <w:hyperlink r:id="rId84">
        <w:r>
          <w:rPr>
            <w:rStyle w:val="Hyperlink"/>
          </w:rPr>
          <w:t xml:space="preserve">https://doi.org/10.31234/osf.io/qrm69</w:t>
        </w:r>
      </w:hyperlink>
      <w:r>
        <w:t xml:space="preserve"> </w:t>
      </w:r>
      <w:r>
        <w:t xml:space="preserve">Fazio, L. K., Rand, D. G., &amp; Pennycook, G. (2019). Repetition increases perceived truth equally for plausible and implausible statements. Psychonomic Bulletin &amp; Review, 26(5), 1705-1710.</w:t>
      </w:r>
      <w:r>
        <w:t xml:space="preserve"> </w:t>
      </w:r>
      <w:hyperlink r:id="rId85">
        <w:r>
          <w:rPr>
            <w:rStyle w:val="Hyperlink"/>
          </w:rPr>
          <w:t xml:space="preserve">https://doi.org/10.3758/s13423-019-01651-4</w:t>
        </w:r>
      </w:hyperlink>
      <w:r>
        <w:t xml:space="preserve"> </w:t>
      </w:r>
      <w:r>
        <w:t xml:space="preserve">Foster, E. D., &amp; Deardorff, A. (2017). Open Science Framework (OSF). Journal of the Medical Library Association, 105(2).</w:t>
      </w:r>
      <w:r>
        <w:t xml:space="preserve"> </w:t>
      </w:r>
      <w:hyperlink r:id="rId86">
        <w:r>
          <w:rPr>
            <w:rStyle w:val="Hyperlink"/>
          </w:rPr>
          <w:t xml:space="preserve">https://doi.org/10.5195/jmla.2017.88</w:t>
        </w:r>
      </w:hyperlink>
      <w:r>
        <w:t xml:space="preserve"> </w:t>
      </w:r>
      <w:r>
        <w:t xml:space="preserve">Gorgolewski, K. J., Auer, T., Calhoun, V. D., Craddock, R. C., Das, S., Duff, E. P., Flandin, G., Ghosh, S. S., Glatard, T., Halchenko, Y. O., et al. (2016). The brain imaging data structure, a format for organizing and describing outputs of neuroimaging experiments. Scientific Data, 3(1), 1–9.</w:t>
      </w:r>
      <w:r>
        <w:t xml:space="preserve"> </w:t>
      </w:r>
      <w:hyperlink r:id="rId87">
        <w:r>
          <w:rPr>
            <w:rStyle w:val="Hyperlink"/>
          </w:rPr>
          <w:t xml:space="preserve">https://doi.org/10.1038/sdata.2016.44</w:t>
        </w:r>
      </w:hyperlink>
      <w:r>
        <w:t xml:space="preserve"> </w:t>
      </w:r>
      <w:r>
        <w:t xml:space="preserve">Haaf, J. M., Hoffstadt, M., &amp; Lesche, S. (2025). Attentional control data collection: A resource for efficient data reuse. Behavior Research Methods, 57(8), 208.</w:t>
      </w:r>
      <w:r>
        <w:t xml:space="preserve"> </w:t>
      </w:r>
      <w:hyperlink r:id="rId88">
        <w:r>
          <w:rPr>
            <w:rStyle w:val="Hyperlink"/>
          </w:rPr>
          <w:t xml:space="preserve">https://doi.org/10.3758/s13428-025-02717-z</w:t>
        </w:r>
      </w:hyperlink>
      <w:r>
        <w:t xml:space="preserve"> </w:t>
      </w:r>
      <w:r>
        <w:t xml:space="preserve">Hardwicke, T. E., Bohn, M., MacDonald, K., Hembacher, E., Nuijten, M. B., Peloquin, B. N., DeMayo, B. E., Long, B., Yoon, E. J., &amp; Frank, M. C. (2021). Analytic reproducibility in articles receiving open data badges at the journal Psychological Science: An observational study. Royal Society Open Science, 8(1), 201494.</w:t>
      </w:r>
      <w:r>
        <w:t xml:space="preserve"> </w:t>
      </w:r>
      <w:hyperlink r:id="rId89">
        <w:r>
          <w:rPr>
            <w:rStyle w:val="Hyperlink"/>
          </w:rPr>
          <w:t xml:space="preserve">https://doi.org/10.1098/rsos.201494</w:t>
        </w:r>
      </w:hyperlink>
      <w:r>
        <w:t xml:space="preserve"> </w:t>
      </w:r>
      <w:r>
        <w:t xml:space="preserve">Hasher, L., Goldstein, D., &amp; Toppino, T. (1977). Frequency and the conference of referential validity. Journal of Verbal Learning and Verbal Behavior, 16(1), 107–112.</w:t>
      </w:r>
      <w:r>
        <w:t xml:space="preserve"> </w:t>
      </w:r>
      <w:hyperlink r:id="rId90">
        <w:r>
          <w:rPr>
            <w:rStyle w:val="Hyperlink"/>
          </w:rPr>
          <w:t xml:space="preserve">https://doi.org/10.1016/S0022-5371(77)80012-1</w:t>
        </w:r>
      </w:hyperlink>
      <w:r>
        <w:t xml:space="preserve"> </w:t>
      </w:r>
      <w:r>
        <w:t xml:space="preserve">Hatzidaki, A., Santesteban, M., &amp; Navarrete, E. (2025). Illusory truth effect across languages and scripts. Psychonomic Bulletin &amp; Review, 32 (3), 1231–1239.</w:t>
      </w:r>
      <w:r>
        <w:t xml:space="preserve"> </w:t>
      </w:r>
      <w:hyperlink r:id="rId91">
        <w:r>
          <w:rPr>
            <w:rStyle w:val="Hyperlink"/>
          </w:rPr>
          <w:t xml:space="preserve">https://doi.org/10.3758/s13423-024-02596-z</w:t>
        </w:r>
      </w:hyperlink>
      <w:r>
        <w:t xml:space="preserve"> </w:t>
      </w:r>
      <w:r>
        <w:t xml:space="preserve">Henderson, E. L., Simons, D. J., &amp; Barr, D. J. (2021). The trajectory of truth: A longitudinal study of the illusory truth effect. Journal of Cognition, 4 (1), 29.</w:t>
      </w:r>
      <w:r>
        <w:t xml:space="preserve"> </w:t>
      </w:r>
      <w:hyperlink r:id="rId92">
        <w:r>
          <w:rPr>
            <w:rStyle w:val="Hyperlink"/>
          </w:rPr>
          <w:t xml:space="preserve">https://doi.org/10.5334/joc.161</w:t>
        </w:r>
      </w:hyperlink>
      <w:r>
        <w:t xml:space="preserve"> </w:t>
      </w:r>
      <w:r>
        <w:t xml:space="preserve">Henderson, E. L., Westwood, S. J., &amp; Simons, D. J. (2022). A reproducible systematic map of research on the illusory truth effect. Psychonomic Bulletin &amp; Review, 29(3), 1065–1088.</w:t>
      </w:r>
      <w:r>
        <w:t xml:space="preserve"> </w:t>
      </w:r>
      <w:hyperlink r:id="rId93">
        <w:r>
          <w:rPr>
            <w:rStyle w:val="Hyperlink"/>
          </w:rPr>
          <w:t xml:space="preserve">https://doi.org/10.3758/s13423-021-01995-w</w:t>
        </w:r>
      </w:hyperlink>
      <w:r>
        <w:t xml:space="preserve"> </w:t>
      </w:r>
      <w:r>
        <w:t xml:space="preserve">Hipp, R. D. (2020). SQLite (Version 3.31.1).</w:t>
      </w:r>
      <w:r>
        <w:t xml:space="preserve"> </w:t>
      </w:r>
      <w:r>
        <w:t xml:space="preserve">Ioannidis, J. P. (2005). Why most published research findings are false. PLoS Medicine, 2(8), e124.</w:t>
      </w:r>
      <w:r>
        <w:t xml:space="preserve"> </w:t>
      </w:r>
      <w:hyperlink r:id="rId94">
        <w:r>
          <w:rPr>
            <w:rStyle w:val="Hyperlink"/>
          </w:rPr>
          <w:t xml:space="preserve">https://doi.org/10.1371/journal.pmed.0020124</w:t>
        </w:r>
      </w:hyperlink>
      <w:r>
        <w:t xml:space="preserve"> </w:t>
      </w:r>
      <w:r>
        <w:t xml:space="preserve">Jalbert, M., Newman, E., &amp; Schwarz, N. (2020). Only half of what i’ll tell you is true: Expecting to encounter falsehoods reduces illusory truth. Journal of Applied Research in Memory and Cognition, 9(4), 602-613.</w:t>
      </w:r>
      <w:r>
        <w:t xml:space="preserve"> </w:t>
      </w:r>
      <w:hyperlink r:id="rId95">
        <w:r>
          <w:rPr>
            <w:rStyle w:val="Hyperlink"/>
          </w:rPr>
          <w:t xml:space="preserve">https://doi.org/10.1016/j.jarmac.2020.08.010</w:t>
        </w:r>
      </w:hyperlink>
      <w:r>
        <w:t xml:space="preserve"> </w:t>
      </w:r>
      <w:r>
        <w:t xml:space="preserve">Kim, C. (2002). The role of individual differences in general skepticism in the illusory truth effect [Doctoral dissertation, University of Cincinnati]. ProQuest.</w:t>
      </w:r>
      <w:r>
        <w:t xml:space="preserve"> </w:t>
      </w:r>
      <w:hyperlink r:id="rId96">
        <w:r>
          <w:rPr>
            <w:rStyle w:val="Hyperlink"/>
          </w:rPr>
          <w:t xml:space="preserve">https://search.proquest.com/docview/304789925</w:t>
        </w:r>
      </w:hyperlink>
      <w:r>
        <w:t xml:space="preserve"> </w:t>
      </w:r>
      <w:r>
        <w:t xml:space="preserve">Lacassagne, D., Béna, J., &amp; Corneille, O. (2022). Is Earth a perfect square? Repetition increases the perceived truth of highly implausible statements. Cognition, 223, 105052.</w:t>
      </w:r>
      <w:r>
        <w:t xml:space="preserve"> </w:t>
      </w:r>
      <w:hyperlink r:id="rId97">
        <w:r>
          <w:rPr>
            <w:rStyle w:val="Hyperlink"/>
          </w:rPr>
          <w:t xml:space="preserve">https://doi.org/10.1016/j.cognition.2022.105052</w:t>
        </w:r>
      </w:hyperlink>
      <w:r>
        <w:t xml:space="preserve"> </w:t>
      </w:r>
      <w:r>
        <w:t xml:space="preserve">Lesche, S. (2025). Acdcquery: Query the attentional control data collection.</w:t>
      </w:r>
      <w:r>
        <w:t xml:space="preserve"> </w:t>
      </w:r>
      <w:hyperlink r:id="rId98">
        <w:r>
          <w:rPr>
            <w:rStyle w:val="Hyperlink"/>
          </w:rPr>
          <w:t xml:space="preserve">https://github.com/SLesche/acdc-query</w:t>
        </w:r>
      </w:hyperlink>
      <w:r>
        <w:t xml:space="preserve"> </w:t>
      </w:r>
      <w:r>
        <w:t xml:space="preserve">Lonsdorf, T. B., &amp; Ehlers, M. R. (2025, April 5). curated data collection (the FEAR BASE). Retrieved from osf.io/rkp3a</w:t>
      </w:r>
      <w:r>
        <w:t xml:space="preserve"> </w:t>
      </w:r>
      <w:r>
        <w:t xml:space="preserve">Lorenzoni, A., Faccio, R., &amp; Navarrete, E. (2024). Does foreign-accented speech affect credibility? Evidence from the illusory-truth paradigm. Journal of Cognition, 7 (1), 26.</w:t>
      </w:r>
      <w:r>
        <w:t xml:space="preserve"> </w:t>
      </w:r>
      <w:hyperlink r:id="rId99">
        <w:r>
          <w:rPr>
            <w:rStyle w:val="Hyperlink"/>
          </w:rPr>
          <w:t xml:space="preserve">https://doi.org/10.5334/joc.353</w:t>
        </w:r>
      </w:hyperlink>
      <w:r>
        <w:t xml:space="preserve"> </w:t>
      </w:r>
      <w:r>
        <w:t xml:space="preserve">Munafò, M. R., Nosek, B. A., Bishop, D. V., Button, K. S., Chambers, C. D., Percie du Sert, N., Simonsohn, U., Wagenmakers, E.-J., Ware, J. J., &amp; Ioannidis, J. P. (2017). A manifesto for reproducible science. Nature Human Behaviour, 1(1), 0021.</w:t>
      </w:r>
      <w:r>
        <w:t xml:space="preserve"> </w:t>
      </w:r>
      <w:hyperlink r:id="rId100">
        <w:r>
          <w:rPr>
            <w:rStyle w:val="Hyperlink"/>
          </w:rPr>
          <w:t xml:space="preserve">https://doi.org/10.1038/s41562-016-0021</w:t>
        </w:r>
      </w:hyperlink>
      <w:r>
        <w:t xml:space="preserve"> </w:t>
      </w:r>
      <w:r>
        <w:t xml:space="preserve">Murray, S., Stanley, M., McPhetres, J., Pennycook, G., &amp; Seli, P. (2020).</w:t>
      </w:r>
      <w:r>
        <w:t xml:space="preserve"> </w:t>
      </w:r>
      <w:r>
        <w:t xml:space="preserve">“</w:t>
      </w:r>
      <w:r>
        <w:t xml:space="preserve">I’ve said it before and I will say it again</w:t>
      </w:r>
      <w:r>
        <w:t xml:space="preserve">”</w:t>
      </w:r>
      <w:r>
        <w:t xml:space="preserve">: Repeating statements made by Donald Trump increases perceived truthfulness for individuals across the political spectrum.</w:t>
      </w:r>
      <w:r>
        <w:t xml:space="preserve"> </w:t>
      </w:r>
      <w:hyperlink r:id="rId101">
        <w:r>
          <w:rPr>
            <w:rStyle w:val="Hyperlink"/>
          </w:rPr>
          <w:t xml:space="preserve">https://doi.org/10.31234/osf.io/9evzc</w:t>
        </w:r>
      </w:hyperlink>
      <w:r>
        <w:t xml:space="preserve"> </w:t>
      </w:r>
      <w:r>
        <w:t xml:space="preserve">Nadarevic, L. (2007). A failed replication of the truth effect. Unpublished raw data. doi: 10.17605/OSF.IO/FW2QE</w:t>
      </w:r>
      <w:r>
        <w:t xml:space="preserve"> </w:t>
      </w:r>
      <w:r>
        <w:t xml:space="preserve">Nadarevic, L. (2010). Die Wahrheitsillusion</w:t>
      </w:r>
      <w:r>
        <w:t xml:space="preserve"> </w:t>
      </w:r>
      <w:hyperlink w:anchor="the-illusory-truth-effect">
        <w:r>
          <w:rPr>
            <w:rStyle w:val="Hyperlink"/>
          </w:rPr>
          <w:t xml:space="preserve">The illusory truth effect</w:t>
        </w:r>
      </w:hyperlink>
      <w:r>
        <w:t xml:space="preserve">. Berlin: Verlag Dr. Köster.</w:t>
      </w:r>
      <w:r>
        <w:t xml:space="preserve"> </w:t>
      </w:r>
      <w:r>
        <w:t xml:space="preserve">Nadarevic, L. &amp; Rinnewitz, L. (2011). Judgment mode instructions do not moderate the truth effect. Unpublished raw data. doi: 10.17605/OSF.IO/3UAJ7</w:t>
      </w:r>
      <w:r>
        <w:t xml:space="preserve"> </w:t>
      </w:r>
      <w:r>
        <w:t xml:space="preserve">Nadarevic L., Meckler D., &amp; Schmidt, A. (2012). An investigation of the truth effect and different personality traits. Unpublished raw data. doi: 10.17605/OSF.IO/6WV4Z</w:t>
      </w:r>
      <w:r>
        <w:t xml:space="preserve"> </w:t>
      </w:r>
      <w:r>
        <w:t xml:space="preserve">Nadarevic, L., &amp; Erdfelder, E. (2014). Initial judgment task and delay of the final validity-rating task moderate the truth effect. Consciousness and cognition, 23, 74-84.</w:t>
      </w:r>
      <w:r>
        <w:t xml:space="preserve"> </w:t>
      </w:r>
      <w:hyperlink r:id="rId102">
        <w:r>
          <w:rPr>
            <w:rStyle w:val="Hyperlink"/>
          </w:rPr>
          <w:t xml:space="preserve">https://doi.org/10.1016/j.concog.2013.12.002</w:t>
        </w:r>
      </w:hyperlink>
      <w:r>
        <w:t xml:space="preserve"> </w:t>
      </w:r>
      <w:r>
        <w:t xml:space="preserve">Nadarevic, L., &amp; Aßfalg, A. (2017). Unveiling the truth: Warnings reduce the repetition-based truth effect. Psychological Research, 81, 814-826.</w:t>
      </w:r>
      <w:r>
        <w:t xml:space="preserve"> </w:t>
      </w:r>
      <w:hyperlink r:id="rId103">
        <w:r>
          <w:rPr>
            <w:rStyle w:val="Hyperlink"/>
          </w:rPr>
          <w:t xml:space="preserve">https://doi.org/10.1007/s00426-016-0777-y</w:t>
        </w:r>
      </w:hyperlink>
      <w:r>
        <w:t xml:space="preserve"> </w:t>
      </w:r>
      <w:r>
        <w:t xml:space="preserve">Nadarevic, L., Plier, S., Thielmann, I., &amp; Darancó, S. (2018). Foreign language reduces the longevity of the repetition-based truth effect. Acta psychologica, 191, 149-159.</w:t>
      </w:r>
      <w:r>
        <w:t xml:space="preserve"> </w:t>
      </w:r>
      <w:hyperlink r:id="rId104">
        <w:r>
          <w:rPr>
            <w:rStyle w:val="Hyperlink"/>
          </w:rPr>
          <w:t xml:space="preserve">https://doi.org/10.1016/j.actpsy.2018.08.019</w:t>
        </w:r>
      </w:hyperlink>
      <w:r>
        <w:t xml:space="preserve"> </w:t>
      </w:r>
      <w:r>
        <w:t xml:space="preserve">Nadarevic, L., Reber, R., Helmecke, A. J., &amp; Köse, D. (2020). Perceived truth of statements and simulated social media postings: an experimental investigation of source credibility, repeated exposure, and presentation format. Cognitive Research: Principles and Implications, 5(1), 1-16.</w:t>
      </w:r>
      <w:r>
        <w:t xml:space="preserve"> </w:t>
      </w:r>
      <w:hyperlink r:id="rId105">
        <w:r>
          <w:rPr>
            <w:rStyle w:val="Hyperlink"/>
          </w:rPr>
          <w:t xml:space="preserve">https://doi.org/10.1186/s41235-020-00251-4</w:t>
        </w:r>
      </w:hyperlink>
      <w:r>
        <w:t xml:space="preserve"> </w:t>
      </w:r>
      <w:r>
        <w:t xml:space="preserve">Nadarevic, L., Schnuerch, M., &amp; Stegemann, M. J. (2021). Judging fast and slow: The truth effect does not increase under time-pressure conditions. Judgment and Decision Making, 16(5), 1234-1266.</w:t>
      </w:r>
      <w:r>
        <w:t xml:space="preserve"> </w:t>
      </w:r>
      <w:hyperlink r:id="rId106">
        <w:r>
          <w:rPr>
            <w:rStyle w:val="Hyperlink"/>
          </w:rPr>
          <w:t xml:space="preserve">http://journal.sjdm.org/21/210111b/jdm210111b.pdf</w:t>
        </w:r>
      </w:hyperlink>
      <w:r>
        <w:t xml:space="preserve"> </w:t>
      </w:r>
      <w:r>
        <w:t xml:space="preserve">Nadarevic, L., &amp; Erdfelder, E. (2025). On the relationship between recognition judgments and truth judgments: Memory states moderate the recognition-based truth effect. Journal of Experimental Psychology: Learning, Memory, and Cognition.</w:t>
      </w:r>
      <w:r>
        <w:t xml:space="preserve"> </w:t>
      </w:r>
      <w:hyperlink r:id="rId107">
        <w:r>
          <w:rPr>
            <w:rStyle w:val="Hyperlink"/>
          </w:rPr>
          <w:t xml:space="preserve">https://doi.org/10.31234/osf.io/2vzpx_v2</w:t>
        </w:r>
      </w:hyperlink>
      <w:r>
        <w:t xml:space="preserve"> </w:t>
      </w:r>
      <w:r>
        <w:t xml:space="preserve">Newman, E. J., Jalbert, M. C., Schwarz, N., &amp; Ly, D. P. (2020). Truthiness, the illusory truth effect, and the role of need for cognition. Consciousness and Cognition, 78, 102866.</w:t>
      </w:r>
      <w:r>
        <w:t xml:space="preserve"> </w:t>
      </w:r>
      <w:hyperlink r:id="rId108">
        <w:r>
          <w:rPr>
            <w:rStyle w:val="Hyperlink"/>
          </w:rPr>
          <w:t xml:space="preserve">https://doi.org/10.1016/j.concog.2019.102866</w:t>
        </w:r>
      </w:hyperlink>
      <w:r>
        <w:t xml:space="preserve"> </w:t>
      </w:r>
      <w:r>
        <w:t xml:space="preserve">Nosek, B. A., Alter, G., Banks, G. C., Borsboom, D., Bowman, S. D., Breckler, S. J., Buck, S., Chambers, C. D., Chin, G., Christensen, G., et al. (2015). Promoting an open research culture. Science, 348(6242), 1422–1425.</w:t>
      </w:r>
      <w:r>
        <w:t xml:space="preserve"> </w:t>
      </w:r>
      <w:hyperlink r:id="rId109">
        <w:r>
          <w:rPr>
            <w:rStyle w:val="Hyperlink"/>
          </w:rPr>
          <w:t xml:space="preserve">https://doi.org/10.1126/science.aab2374</w:t>
        </w:r>
      </w:hyperlink>
      <w:r>
        <w:t xml:space="preserve"> </w:t>
      </w:r>
      <w:r>
        <w:t xml:space="preserve">Pennycook, G., Cannon, T. D., &amp; Rand, D. G. (2018). Prior exposure increases perceived accuracy of fake news. Journal of Experimental Psychology: General, 147(12), 1865.</w:t>
      </w:r>
      <w:r>
        <w:t xml:space="preserve"> </w:t>
      </w:r>
      <w:hyperlink r:id="rId110">
        <w:r>
          <w:rPr>
            <w:rStyle w:val="Hyperlink"/>
          </w:rPr>
          <w:t xml:space="preserve">https://doi.org/10.1037/xge0000465</w:t>
        </w:r>
      </w:hyperlink>
      <w:r>
        <w:t xml:space="preserve"> </w:t>
      </w:r>
      <w:r>
        <w:t xml:space="preserve">Poldrack, R. A., Markiewicz, C. J., Appelhoff, S., Ashar, Y. K., Auer, T., Baillet, S., Bansal, S., Beltrachini, L., Benar, C. G., Bertazzoli, G., et al. (2024). The past, present, and future of the brain imaging data structure (BIDS). Imaging Neuroscience, 2, 1–19.</w:t>
      </w:r>
      <w:r>
        <w:t xml:space="preserve"> </w:t>
      </w:r>
      <w:hyperlink r:id="rId111">
        <w:r>
          <w:rPr>
            <w:rStyle w:val="Hyperlink"/>
          </w:rPr>
          <w:t xml:space="preserve">https://doi.org/10.1162/imag_a_00103</w:t>
        </w:r>
      </w:hyperlink>
      <w:r>
        <w:t xml:space="preserve"> </w:t>
      </w:r>
      <w:r>
        <w:t xml:space="preserve">Psychometric Society. (2026, January 15). Call for Papers: Psychometrika Special Issue — Data Intensive Methods in Psychometrics. Retrieved [19.02.2026], from</w:t>
      </w:r>
      <w:r>
        <w:t xml:space="preserve"> </w:t>
      </w:r>
      <w:hyperlink r:id="rId112">
        <w:r>
          <w:rPr>
            <w:rStyle w:val="Hyperlink"/>
          </w:rPr>
          <w:t xml:space="preserve">https://www.psychometricsociety.org/post/call-special-issue-intensive-methods</w:t>
        </w:r>
      </w:hyperlink>
      <w:r>
        <w:t xml:space="preserve"> </w:t>
      </w:r>
      <w:r>
        <w:t xml:space="preserve">R Core Team. (2022). R: A language and environment for statistical computing. R Foundation for Statistical Computing.</w:t>
      </w:r>
      <w:r>
        <w:t xml:space="preserve"> </w:t>
      </w:r>
      <w:hyperlink r:id="rId113">
        <w:r>
          <w:rPr>
            <w:rStyle w:val="Hyperlink"/>
          </w:rPr>
          <w:t xml:space="preserve">https://www.R-project.org/</w:t>
        </w:r>
      </w:hyperlink>
      <w:r>
        <w:t xml:space="preserve"> </w:t>
      </w:r>
      <w:r>
        <w:t xml:space="preserve">Ratcliff, R., &amp; McKoon, G. (2008). The diffusion decision model: Theory and data for two-choice decision tasks. Neural Computation, 20(4), 873–922.</w:t>
      </w:r>
      <w:r>
        <w:t xml:space="preserve"> </w:t>
      </w:r>
      <w:hyperlink r:id="rId114">
        <w:r>
          <w:rPr>
            <w:rStyle w:val="Hyperlink"/>
          </w:rPr>
          <w:t xml:space="preserve">https://doi.org/10.1162/neco.2008.12-06-420</w:t>
        </w:r>
      </w:hyperlink>
      <w:r>
        <w:t xml:space="preserve"> </w:t>
      </w:r>
      <w:r>
        <w:t xml:space="preserve">Reber, R. &amp; Unkelbach, C. (2010). The epistemic status of processing fluency as source</w:t>
      </w:r>
      <w:r>
        <w:t xml:space="preserve"> </w:t>
      </w:r>
      <w:r>
        <w:t xml:space="preserve">for judgments of truth. Review of Philosophy and Psychology, 1, 563–581.</w:t>
      </w:r>
      <w:r>
        <w:t xml:space="preserve"> </w:t>
      </w:r>
      <w:hyperlink r:id="rId115">
        <w:r>
          <w:rPr>
            <w:rStyle w:val="Hyperlink"/>
          </w:rPr>
          <w:t xml:space="preserve">https://doi.org/10.1007/s13164-010-0039-7</w:t>
        </w:r>
      </w:hyperlink>
      <w:r>
        <w:t xml:space="preserve"> </w:t>
      </w:r>
      <w:r>
        <w:t xml:space="preserve">Schnuerch, M., Nadarevic, L., &amp; Rouder, J. N. (2021). The truth revisited: Bayesian analysis of individual differences in the truth effect. Psychonomic Bulletin &amp; Review, 28(3), 750–765.</w:t>
      </w:r>
      <w:r>
        <w:t xml:space="preserve"> </w:t>
      </w:r>
      <w:hyperlink r:id="rId116">
        <w:r>
          <w:rPr>
            <w:rStyle w:val="Hyperlink"/>
          </w:rPr>
          <w:t xml:space="preserve">https://doi.org/10.3758/s13423-020-01814-8</w:t>
        </w:r>
      </w:hyperlink>
      <w:r>
        <w:t xml:space="preserve"> </w:t>
      </w:r>
      <w:r>
        <w:t xml:space="preserve">Stan Development Team. (2024). RStan: The R interface to Stan.</w:t>
      </w:r>
      <w:r>
        <w:t xml:space="preserve"> </w:t>
      </w:r>
      <w:hyperlink r:id="rId117">
        <w:r>
          <w:rPr>
            <w:rStyle w:val="Hyperlink"/>
          </w:rPr>
          <w:t xml:space="preserve">https://mc-stan.org/</w:t>
        </w:r>
      </w:hyperlink>
      <w:r>
        <w:t xml:space="preserve"> </w:t>
      </w:r>
      <w:r>
        <w:t xml:space="preserve">Stump, A., Rummel, J., &amp; Voss, A. (2022). Is it all about the feeling? Affective and (meta-) cognitive mechanisms underlying the truth effect. Psychological Research, 86, 12–36.</w:t>
      </w:r>
      <w:r>
        <w:t xml:space="preserve"> </w:t>
      </w:r>
      <w:hyperlink r:id="rId118">
        <w:r>
          <w:rPr>
            <w:rStyle w:val="Hyperlink"/>
          </w:rPr>
          <w:t xml:space="preserve">https://doi.org/10.1007/s00426-020-01459-1</w:t>
        </w:r>
      </w:hyperlink>
      <w:r>
        <w:t xml:space="preserve"> </w:t>
      </w:r>
      <w:r>
        <w:t xml:space="preserve">Stump, A., Voss, A., &amp; Rummel, J. (2024). The illusory certainty: Information repetition and impressions of truth enhance subjective confidence in validity judgments independently of the factual truth. Psychological Research, 88(4), 1288–1297.</w:t>
      </w:r>
      <w:r>
        <w:t xml:space="preserve"> </w:t>
      </w:r>
      <w:hyperlink r:id="rId119">
        <w:r>
          <w:rPr>
            <w:rStyle w:val="Hyperlink"/>
          </w:rPr>
          <w:t xml:space="preserve">https://doi.org/10.1007/s00426-024-01956-7</w:t>
        </w:r>
      </w:hyperlink>
      <w:r>
        <w:t xml:space="preserve"> </w:t>
      </w:r>
      <w:r>
        <w:t xml:space="preserve">Sundar, A., Kardes, F. R., &amp; Wright, S. A. (2015). The influence of repetitive health messages and sensitivity to fluency on the truth effect in advertising. Journal of Advertising, 44(4), 375–387.</w:t>
      </w:r>
      <w:r>
        <w:t xml:space="preserve"> </w:t>
      </w:r>
      <w:hyperlink r:id="rId120">
        <w:r>
          <w:rPr>
            <w:rStyle w:val="Hyperlink"/>
          </w:rPr>
          <w:t xml:space="preserve">https://doi.org/10.1080/00913367.2015.1045154</w:t>
        </w:r>
      </w:hyperlink>
      <w:r>
        <w:t xml:space="preserve"> </w:t>
      </w:r>
      <w:r>
        <w:t xml:space="preserve">Unkelbach, C., &amp; Stahl, C. (2009). A multinomial modeling approach to dissociate different components of the truth effect. Consciousness and Cognition, 18(1), 22–38.</w:t>
      </w:r>
      <w:r>
        <w:t xml:space="preserve"> </w:t>
      </w:r>
      <w:hyperlink r:id="rId121">
        <w:r>
          <w:rPr>
            <w:rStyle w:val="Hyperlink"/>
          </w:rPr>
          <w:t xml:space="preserve">https://doi.org/10.1016/j.concog.2008.09.006</w:t>
        </w:r>
      </w:hyperlink>
      <w:r>
        <w:t xml:space="preserve"> </w:t>
      </w:r>
      <w:r>
        <w:t xml:space="preserve">Unkelbach, C., &amp; Greifeneder, R. (2018). Experiential fluency and declarative advice jointly inform judgments of truth. Journal of Experimental Social Psychology, 79, 78-86.</w:t>
      </w:r>
      <w:r>
        <w:t xml:space="preserve"> </w:t>
      </w:r>
      <w:hyperlink r:id="rId122">
        <w:r>
          <w:rPr>
            <w:rStyle w:val="Hyperlink"/>
          </w:rPr>
          <w:t xml:space="preserve">https://doi.org/10.1016/j.jesp.2018.06.010</w:t>
        </w:r>
      </w:hyperlink>
      <w:r>
        <w:t xml:space="preserve"> </w:t>
      </w:r>
      <w:r>
        <w:t xml:space="preserve">Vogel, T., Silva, R. R., Thomas, A., &amp; Wänke, M. (2020). Truth is in the mind, but beauty is in the eye: Fluency effects are moderated by a match between fluency source and judgment dimension. Journal of Experimental Psychology: General.</w:t>
      </w:r>
      <w:r>
        <w:t xml:space="preserve"> </w:t>
      </w:r>
      <w:hyperlink r:id="rId123">
        <w:r>
          <w:rPr>
            <w:rStyle w:val="Hyperlink"/>
          </w:rPr>
          <w:t xml:space="preserve">https://doi.org/10.1037/xge0000731</w:t>
        </w:r>
      </w:hyperlink>
      <w:r>
        <w:t xml:space="preserve"> </w:t>
      </w:r>
      <w:r>
        <w:t xml:space="preserve">Wickham, H., Averick, M., Bryan, J., Chang, W., McGowan, L. D., François, R., Grolemund, G., Hayes, A., Henry, L., Hester, J., Kuhn, M., Pedersen, T. L., Miller, E., Bache, S. M., Müller, K., Ooms, J., Robinson, D., Seidel, D. P., Spinu, V., … Yutani, H. (2019). Welcome to the tidyverse. Journal of Open Source Software, 4(43), 1686.</w:t>
      </w:r>
      <w:r>
        <w:t xml:space="preserve"> </w:t>
      </w:r>
      <w:hyperlink r:id="rId124">
        <w:r>
          <w:rPr>
            <w:rStyle w:val="Hyperlink"/>
          </w:rPr>
          <w:t xml:space="preserve">https://doi.org/10.21105/joss.01686</w:t>
        </w:r>
      </w:hyperlink>
      <w:r>
        <w:t xml:space="preserve"> </w:t>
      </w:r>
      <w:r>
        <w:t xml:space="preserve">Wilkinson, M. D., Dumontier, M., Aalbersberg, Ij. J., Appleton, G., Axton, M., Baak, A., Blomberg, N., Boiten, J.-W., da Silva Santos, L. B., Bourne, P. E., et al. (2016). The FAIR Guiding Principles for scientific data management and stewardship. Scientific Data, 3(1), 1–9.</w:t>
      </w:r>
      <w:r>
        <w:t xml:space="preserve"> </w:t>
      </w:r>
      <w:hyperlink r:id="rId125">
        <w:r>
          <w:rPr>
            <w:rStyle w:val="Hyperlink"/>
          </w:rPr>
          <w:t xml:space="preserve">https://doi.org/10.1038/sdata.2016.18</w:t>
        </w:r>
      </w:hyperlink>
      <w:r>
        <w:t xml:space="preserve"> </w:t>
      </w:r>
      <w:r>
        <w:t xml:space="preserve">Xie, Y. (2015). Dynamic documents with R and knitr (2nd ed.). Chapman; Hall/CRC.</w:t>
      </w:r>
      <w:r>
        <w:t xml:space="preserve"> </w:t>
      </w:r>
      <w:hyperlink r:id="rId126">
        <w:r>
          <w:rPr>
            <w:rStyle w:val="Hyperlink"/>
          </w:rPr>
          <w:t xml:space="preserve">https://yihui.org/knitr/</w:t>
        </w:r>
      </w:hyperlink>
      <w:r>
        <w:t xml:space="preserve"> </w:t>
      </w:r>
      <w:hyperlink r:id="rId127">
        <w:r>
          <w:rPr>
            <w:rStyle w:val="Hyperlink"/>
          </w:rPr>
          <w:t xml:space="preserve">https://doi.org/10.1201/b15166</w:t>
        </w:r>
      </w:hyperlink>
    </w:p>
    <w:bookmarkStart w:id="137" w:name="refs"/>
    <w:bookmarkStart w:id="128"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7">
        <w:r>
          <w:rPr>
            <w:rStyle w:val="Hyperlink"/>
          </w:rPr>
          <w:t xml:space="preserve">https://github.com/crsh/papaja</w:t>
        </w:r>
      </w:hyperlink>
    </w:p>
    <w:bookmarkEnd w:id="128"/>
    <w:bookmarkStart w:id="129"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71">
        <w:r>
          <w:rPr>
            <w:rStyle w:val="Hyperlink"/>
          </w:rPr>
          <w:t xml:space="preserve">https://doi.org/10.18637/jss.v080.i01</w:t>
        </w:r>
      </w:hyperlink>
    </w:p>
    <w:bookmarkEnd w:id="129"/>
    <w:bookmarkStart w:id="130"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72">
        <w:r>
          <w:rPr>
            <w:rStyle w:val="Hyperlink"/>
          </w:rPr>
          <w:t xml:space="preserve">https://doi.org/10.32614/RJ-2018-017</w:t>
        </w:r>
      </w:hyperlink>
    </w:p>
    <w:bookmarkEnd w:id="130"/>
    <w:bookmarkStart w:id="131"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73">
        <w:r>
          <w:rPr>
            <w:rStyle w:val="Hyperlink"/>
          </w:rPr>
          <w:t xml:space="preserve">https://doi.org/10.18637/jss.v100.i05</w:t>
        </w:r>
      </w:hyperlink>
    </w:p>
    <w:bookmarkEnd w:id="131"/>
    <w:bookmarkStart w:id="132"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98">
        <w:r>
          <w:rPr>
            <w:rStyle w:val="Hyperlink"/>
          </w:rPr>
          <w:t xml:space="preserve">https://github.com/SLesche/acdc-query</w:t>
        </w:r>
      </w:hyperlink>
    </w:p>
    <w:bookmarkEnd w:id="132"/>
    <w:bookmarkStart w:id="133"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113">
        <w:r>
          <w:rPr>
            <w:rStyle w:val="Hyperlink"/>
          </w:rPr>
          <w:t xml:space="preserve">https://www.R-project.org/</w:t>
        </w:r>
      </w:hyperlink>
    </w:p>
    <w:bookmarkEnd w:id="133"/>
    <w:bookmarkStart w:id="134"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117">
        <w:r>
          <w:rPr>
            <w:rStyle w:val="Hyperlink"/>
          </w:rPr>
          <w:t xml:space="preserve">https://mc-stan.org/</w:t>
        </w:r>
      </w:hyperlink>
    </w:p>
    <w:bookmarkEnd w:id="134"/>
    <w:bookmarkStart w:id="135"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124">
        <w:r>
          <w:rPr>
            <w:rStyle w:val="Hyperlink"/>
          </w:rPr>
          <w:t xml:space="preserve">https://doi.org/10.21105/joss.01686</w:t>
        </w:r>
      </w:hyperlink>
    </w:p>
    <w:bookmarkEnd w:id="135"/>
    <w:bookmarkStart w:id="136"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126">
        <w:r>
          <w:rPr>
            <w:rStyle w:val="Hyperlink"/>
          </w:rPr>
          <w:t xml:space="preserve">https://yihui.org/knitr/</w:t>
        </w:r>
      </w:hyperlink>
    </w:p>
    <w:bookmarkEnd w:id="136"/>
    <w:bookmarkEnd w:id="137"/>
    <w:bookmarkEnd w:id="13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1.2.2;</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hyperlink" Id="rId106" Target="http://journal.sjdm.org/21/210111b/jdm210111b.pdf" TargetMode="External" /><Relationship Type="http://schemas.openxmlformats.org/officeDocument/2006/relationships/hyperlink" Id="rId66" Target="https://doi.org/10.1002/bdm.3960020203" TargetMode="External" /><Relationship Type="http://schemas.openxmlformats.org/officeDocument/2006/relationships/hyperlink" Id="rId103" Target="https://doi.org/10.1007/s00426-016-0777-y" TargetMode="External" /><Relationship Type="http://schemas.openxmlformats.org/officeDocument/2006/relationships/hyperlink" Id="rId118" Target="https://doi.org/10.1007/s00426-020-01459-1" TargetMode="External" /><Relationship Type="http://schemas.openxmlformats.org/officeDocument/2006/relationships/hyperlink" Id="rId119" Target="https://doi.org/10.1007/s00426-024-01956-7" TargetMode="External" /><Relationship Type="http://schemas.openxmlformats.org/officeDocument/2006/relationships/hyperlink" Id="rId115" Target="https://doi.org/10.1007/s13164-010-0039-7" TargetMode="External" /><Relationship Type="http://schemas.openxmlformats.org/officeDocument/2006/relationships/hyperlink" Id="rId90" Target="https://doi.org/10.1016/S0022-5371(77)80012-1" TargetMode="External" /><Relationship Type="http://schemas.openxmlformats.org/officeDocument/2006/relationships/hyperlink" Id="rId104" Target="https://doi.org/10.1016/j.actpsy.2018.08.019" TargetMode="External" /><Relationship Type="http://schemas.openxmlformats.org/officeDocument/2006/relationships/hyperlink" Id="rId74" Target="https://doi.org/10.1016/j.actpsy.2020.103185" TargetMode="External" /><Relationship Type="http://schemas.openxmlformats.org/officeDocument/2006/relationships/hyperlink" Id="rId70" Target="https://doi.org/10.1016/j.cognition.2019.104054" TargetMode="External" /><Relationship Type="http://schemas.openxmlformats.org/officeDocument/2006/relationships/hyperlink" Id="rId75" Target="https://doi.org/10.1016/j.cognition.2020.104470" TargetMode="External" /><Relationship Type="http://schemas.openxmlformats.org/officeDocument/2006/relationships/hyperlink" Id="rId97" Target="https://doi.org/10.1016/j.cognition.2022.105052" TargetMode="External" /><Relationship Type="http://schemas.openxmlformats.org/officeDocument/2006/relationships/hyperlink" Id="rId121" Target="https://doi.org/10.1016/j.concog.2008.09.006" TargetMode="External" /><Relationship Type="http://schemas.openxmlformats.org/officeDocument/2006/relationships/hyperlink" Id="rId102" Target="https://doi.org/10.1016/j.concog.2013.12.002" TargetMode="External" /><Relationship Type="http://schemas.openxmlformats.org/officeDocument/2006/relationships/hyperlink" Id="rId108" Target="https://doi.org/10.1016/j.concog.2019.102866" TargetMode="External" /><Relationship Type="http://schemas.openxmlformats.org/officeDocument/2006/relationships/hyperlink" Id="rId95" Target="https://doi.org/10.1016/j.jarmac.2020.08.010" TargetMode="External" /><Relationship Type="http://schemas.openxmlformats.org/officeDocument/2006/relationships/hyperlink" Id="rId77" Target="https://doi.org/10.1016/j.jesp.2009.06.019" TargetMode="External" /><Relationship Type="http://schemas.openxmlformats.org/officeDocument/2006/relationships/hyperlink" Id="rId122" Target="https://doi.org/10.1016/j.jesp.2018.06.010" TargetMode="External" /><Relationship Type="http://schemas.openxmlformats.org/officeDocument/2006/relationships/hyperlink" Id="rId110" Target="https://doi.org/10.1037/xge0000465" TargetMode="External" /><Relationship Type="http://schemas.openxmlformats.org/officeDocument/2006/relationships/hyperlink" Id="rId123" Target="https://doi.org/10.1037/xge0000731" TargetMode="External" /><Relationship Type="http://schemas.openxmlformats.org/officeDocument/2006/relationships/hyperlink" Id="rId100" Target="https://doi.org/10.1038/s41562-016-0021" TargetMode="External" /><Relationship Type="http://schemas.openxmlformats.org/officeDocument/2006/relationships/hyperlink" Id="rId125" Target="https://doi.org/10.1038/sdata.2016.18" TargetMode="External" /><Relationship Type="http://schemas.openxmlformats.org/officeDocument/2006/relationships/hyperlink" Id="rId87" Target="https://doi.org/10.1038/sdata.2016.44" TargetMode="External" /><Relationship Type="http://schemas.openxmlformats.org/officeDocument/2006/relationships/hyperlink" Id="rId120" Target="https://doi.org/10.1080/00913367.2015.1045154" TargetMode="External" /><Relationship Type="http://schemas.openxmlformats.org/officeDocument/2006/relationships/hyperlink" Id="rId83" Target="https://doi.org/10.1080/15534510.2015.1137224" TargetMode="External" /><Relationship Type="http://schemas.openxmlformats.org/officeDocument/2006/relationships/hyperlink" Id="rId89" Target="https://doi.org/10.1098/rsos.201494" TargetMode="External" /><Relationship Type="http://schemas.openxmlformats.org/officeDocument/2006/relationships/hyperlink" Id="rId109" Target="https://doi.org/10.1126/science.aab2374" TargetMode="External" /><Relationship Type="http://schemas.openxmlformats.org/officeDocument/2006/relationships/hyperlink" Id="rId111" Target="https://doi.org/10.1162/imag_a_00103" TargetMode="External" /><Relationship Type="http://schemas.openxmlformats.org/officeDocument/2006/relationships/hyperlink" Id="rId114" Target="https://doi.org/10.1162/neco.2008.12-06-420" TargetMode="External" /><Relationship Type="http://schemas.openxmlformats.org/officeDocument/2006/relationships/hyperlink" Id="rId79" Target="https://doi.org/10.1177/0146167219853844" TargetMode="External" /><Relationship Type="http://schemas.openxmlformats.org/officeDocument/2006/relationships/hyperlink" Id="rId69" Target="https://doi.org/10.1177/0146167294203006" TargetMode="External" /><Relationship Type="http://schemas.openxmlformats.org/officeDocument/2006/relationships/hyperlink" Id="rId68" Target="https://doi.org/10.1177/09567976221078527" TargetMode="External" /><Relationship Type="http://schemas.openxmlformats.org/officeDocument/2006/relationships/hyperlink" Id="rId76" Target="https://doi.org/10.1177/09567976221140828" TargetMode="External" /><Relationship Type="http://schemas.openxmlformats.org/officeDocument/2006/relationships/hyperlink" Id="rId78" Target="https://doi.org/10.1177/1088868309352251" TargetMode="External" /><Relationship Type="http://schemas.openxmlformats.org/officeDocument/2006/relationships/hyperlink" Id="rId105" Target="https://doi.org/10.1186/s41235-020-00251-4" TargetMode="External" /><Relationship Type="http://schemas.openxmlformats.org/officeDocument/2006/relationships/hyperlink" Id="rId127" Target="https://doi.org/10.1201/b15166" TargetMode="External" /><Relationship Type="http://schemas.openxmlformats.org/officeDocument/2006/relationships/hyperlink" Id="rId94" Target="https://doi.org/10.1371/journal.pmed.0020124" TargetMode="External" /><Relationship Type="http://schemas.openxmlformats.org/officeDocument/2006/relationships/hyperlink" Id="rId71" Target="https://doi.org/10.18637/jss.v080.i01" TargetMode="External" /><Relationship Type="http://schemas.openxmlformats.org/officeDocument/2006/relationships/hyperlink" Id="rId73" Target="https://doi.org/10.18637/jss.v100.i05" TargetMode="External" /><Relationship Type="http://schemas.openxmlformats.org/officeDocument/2006/relationships/hyperlink" Id="rId124" Target="https://doi.org/10.21105/joss.01686" TargetMode="External" /><Relationship Type="http://schemas.openxmlformats.org/officeDocument/2006/relationships/hyperlink" Id="rId107" Target="https://doi.org/10.31234/osf.io/2vzpx_v2" TargetMode="External" /><Relationship Type="http://schemas.openxmlformats.org/officeDocument/2006/relationships/hyperlink" Id="rId101" Target="https://doi.org/10.31234/osf.io/9evzc" TargetMode="External" /><Relationship Type="http://schemas.openxmlformats.org/officeDocument/2006/relationships/hyperlink" Id="rId81" Target="https://doi.org/10.31234/osf.io/aeukr_v1" TargetMode="External" /><Relationship Type="http://schemas.openxmlformats.org/officeDocument/2006/relationships/hyperlink" Id="rId84" Target="https://doi.org/10.31234/osf.io/qrm69" TargetMode="External" /><Relationship Type="http://schemas.openxmlformats.org/officeDocument/2006/relationships/hyperlink" Id="rId72" Target="https://doi.org/10.32614/RJ-2018-017" TargetMode="External" /><Relationship Type="http://schemas.openxmlformats.org/officeDocument/2006/relationships/hyperlink" Id="rId85" Target="https://doi.org/10.3758/s13423-019-01651-4" TargetMode="External" /><Relationship Type="http://schemas.openxmlformats.org/officeDocument/2006/relationships/hyperlink" Id="rId116" Target="https://doi.org/10.3758/s13423-020-01814-8" TargetMode="External" /><Relationship Type="http://schemas.openxmlformats.org/officeDocument/2006/relationships/hyperlink" Id="rId93" Target="https://doi.org/10.3758/s13423-021-01995-w" TargetMode="External" /><Relationship Type="http://schemas.openxmlformats.org/officeDocument/2006/relationships/hyperlink" Id="rId91" Target="https://doi.org/10.3758/s13423-024-02596-z" TargetMode="External" /><Relationship Type="http://schemas.openxmlformats.org/officeDocument/2006/relationships/hyperlink" Id="rId88" Target="https://doi.org/10.3758/s13428-025-02717-z" TargetMode="External" /><Relationship Type="http://schemas.openxmlformats.org/officeDocument/2006/relationships/hyperlink" Id="rId86" Target="https://doi.org/10.5195/jmla.2017.88" TargetMode="External" /><Relationship Type="http://schemas.openxmlformats.org/officeDocument/2006/relationships/hyperlink" Id="rId92" Target="https://doi.org/10.5334/joc.161" TargetMode="External" /><Relationship Type="http://schemas.openxmlformats.org/officeDocument/2006/relationships/hyperlink" Id="rId99" Target="https://doi.org/10.5334/joc.353" TargetMode="External" /><Relationship Type="http://schemas.openxmlformats.org/officeDocument/2006/relationships/hyperlink" Id="rId80" Target="https://dx.doi.org/10.1037/" TargetMode="External" /><Relationship Type="http://schemas.openxmlformats.org/officeDocument/2006/relationships/hyperlink" Id="rId9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7" Target="https://github.com/crsh/papaja" TargetMode="External" /><Relationship Type="http://schemas.openxmlformats.org/officeDocument/2006/relationships/hyperlink" Id="rId117" Target="https://mc-stan.org/" TargetMode="External" /><Relationship Type="http://schemas.openxmlformats.org/officeDocument/2006/relationships/hyperlink" Id="rId96"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62"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13" Target="https://www.R-project.org/" TargetMode="External" /><Relationship Type="http://schemas.openxmlformats.org/officeDocument/2006/relationships/hyperlink" Id="rId82" Target="https://www.dfg.de/de/foerderung/foerdermoeglichkeiten/programme/infrastruktur/lis/lis-foerderangebote/forschungsdaten" TargetMode="External" /><Relationship Type="http://schemas.openxmlformats.org/officeDocument/2006/relationships/hyperlink" Id="rId112" Target="https://www.psychometricsociety.org/post/call-special-issue-intensive-methods" TargetMode="External" /><Relationship Type="http://schemas.openxmlformats.org/officeDocument/2006/relationships/hyperlink" Id="rId126"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106" Target="http://journal.sjdm.org/21/210111b/jdm210111b.pdf" TargetMode="External" /><Relationship Type="http://schemas.openxmlformats.org/officeDocument/2006/relationships/hyperlink" Id="rId66" Target="https://doi.org/10.1002/bdm.3960020203" TargetMode="External" /><Relationship Type="http://schemas.openxmlformats.org/officeDocument/2006/relationships/hyperlink" Id="rId103" Target="https://doi.org/10.1007/s00426-016-0777-y" TargetMode="External" /><Relationship Type="http://schemas.openxmlformats.org/officeDocument/2006/relationships/hyperlink" Id="rId118" Target="https://doi.org/10.1007/s00426-020-01459-1" TargetMode="External" /><Relationship Type="http://schemas.openxmlformats.org/officeDocument/2006/relationships/hyperlink" Id="rId119" Target="https://doi.org/10.1007/s00426-024-01956-7" TargetMode="External" /><Relationship Type="http://schemas.openxmlformats.org/officeDocument/2006/relationships/hyperlink" Id="rId115" Target="https://doi.org/10.1007/s13164-010-0039-7" TargetMode="External" /><Relationship Type="http://schemas.openxmlformats.org/officeDocument/2006/relationships/hyperlink" Id="rId90" Target="https://doi.org/10.1016/S0022-5371(77)80012-1" TargetMode="External" /><Relationship Type="http://schemas.openxmlformats.org/officeDocument/2006/relationships/hyperlink" Id="rId104" Target="https://doi.org/10.1016/j.actpsy.2018.08.019" TargetMode="External" /><Relationship Type="http://schemas.openxmlformats.org/officeDocument/2006/relationships/hyperlink" Id="rId74" Target="https://doi.org/10.1016/j.actpsy.2020.103185" TargetMode="External" /><Relationship Type="http://schemas.openxmlformats.org/officeDocument/2006/relationships/hyperlink" Id="rId70" Target="https://doi.org/10.1016/j.cognition.2019.104054" TargetMode="External" /><Relationship Type="http://schemas.openxmlformats.org/officeDocument/2006/relationships/hyperlink" Id="rId75" Target="https://doi.org/10.1016/j.cognition.2020.104470" TargetMode="External" /><Relationship Type="http://schemas.openxmlformats.org/officeDocument/2006/relationships/hyperlink" Id="rId97" Target="https://doi.org/10.1016/j.cognition.2022.105052" TargetMode="External" /><Relationship Type="http://schemas.openxmlformats.org/officeDocument/2006/relationships/hyperlink" Id="rId121" Target="https://doi.org/10.1016/j.concog.2008.09.006" TargetMode="External" /><Relationship Type="http://schemas.openxmlformats.org/officeDocument/2006/relationships/hyperlink" Id="rId102" Target="https://doi.org/10.1016/j.concog.2013.12.002" TargetMode="External" /><Relationship Type="http://schemas.openxmlformats.org/officeDocument/2006/relationships/hyperlink" Id="rId108" Target="https://doi.org/10.1016/j.concog.2019.102866" TargetMode="External" /><Relationship Type="http://schemas.openxmlformats.org/officeDocument/2006/relationships/hyperlink" Id="rId95" Target="https://doi.org/10.1016/j.jarmac.2020.08.010" TargetMode="External" /><Relationship Type="http://schemas.openxmlformats.org/officeDocument/2006/relationships/hyperlink" Id="rId77" Target="https://doi.org/10.1016/j.jesp.2009.06.019" TargetMode="External" /><Relationship Type="http://schemas.openxmlformats.org/officeDocument/2006/relationships/hyperlink" Id="rId122" Target="https://doi.org/10.1016/j.jesp.2018.06.010" TargetMode="External" /><Relationship Type="http://schemas.openxmlformats.org/officeDocument/2006/relationships/hyperlink" Id="rId110" Target="https://doi.org/10.1037/xge0000465" TargetMode="External" /><Relationship Type="http://schemas.openxmlformats.org/officeDocument/2006/relationships/hyperlink" Id="rId123" Target="https://doi.org/10.1037/xge0000731" TargetMode="External" /><Relationship Type="http://schemas.openxmlformats.org/officeDocument/2006/relationships/hyperlink" Id="rId100" Target="https://doi.org/10.1038/s41562-016-0021" TargetMode="External" /><Relationship Type="http://schemas.openxmlformats.org/officeDocument/2006/relationships/hyperlink" Id="rId125" Target="https://doi.org/10.1038/sdata.2016.18" TargetMode="External" /><Relationship Type="http://schemas.openxmlformats.org/officeDocument/2006/relationships/hyperlink" Id="rId87" Target="https://doi.org/10.1038/sdata.2016.44" TargetMode="External" /><Relationship Type="http://schemas.openxmlformats.org/officeDocument/2006/relationships/hyperlink" Id="rId120" Target="https://doi.org/10.1080/00913367.2015.1045154" TargetMode="External" /><Relationship Type="http://schemas.openxmlformats.org/officeDocument/2006/relationships/hyperlink" Id="rId83" Target="https://doi.org/10.1080/15534510.2015.1137224" TargetMode="External" /><Relationship Type="http://schemas.openxmlformats.org/officeDocument/2006/relationships/hyperlink" Id="rId89" Target="https://doi.org/10.1098/rsos.201494" TargetMode="External" /><Relationship Type="http://schemas.openxmlformats.org/officeDocument/2006/relationships/hyperlink" Id="rId109" Target="https://doi.org/10.1126/science.aab2374" TargetMode="External" /><Relationship Type="http://schemas.openxmlformats.org/officeDocument/2006/relationships/hyperlink" Id="rId111" Target="https://doi.org/10.1162/imag_a_00103" TargetMode="External" /><Relationship Type="http://schemas.openxmlformats.org/officeDocument/2006/relationships/hyperlink" Id="rId114" Target="https://doi.org/10.1162/neco.2008.12-06-420" TargetMode="External" /><Relationship Type="http://schemas.openxmlformats.org/officeDocument/2006/relationships/hyperlink" Id="rId79" Target="https://doi.org/10.1177/0146167219853844" TargetMode="External" /><Relationship Type="http://schemas.openxmlformats.org/officeDocument/2006/relationships/hyperlink" Id="rId69" Target="https://doi.org/10.1177/0146167294203006" TargetMode="External" /><Relationship Type="http://schemas.openxmlformats.org/officeDocument/2006/relationships/hyperlink" Id="rId68" Target="https://doi.org/10.1177/09567976221078527" TargetMode="External" /><Relationship Type="http://schemas.openxmlformats.org/officeDocument/2006/relationships/hyperlink" Id="rId76" Target="https://doi.org/10.1177/09567976221140828" TargetMode="External" /><Relationship Type="http://schemas.openxmlformats.org/officeDocument/2006/relationships/hyperlink" Id="rId78" Target="https://doi.org/10.1177/1088868309352251" TargetMode="External" /><Relationship Type="http://schemas.openxmlformats.org/officeDocument/2006/relationships/hyperlink" Id="rId105" Target="https://doi.org/10.1186/s41235-020-00251-4" TargetMode="External" /><Relationship Type="http://schemas.openxmlformats.org/officeDocument/2006/relationships/hyperlink" Id="rId127" Target="https://doi.org/10.1201/b15166" TargetMode="External" /><Relationship Type="http://schemas.openxmlformats.org/officeDocument/2006/relationships/hyperlink" Id="rId94" Target="https://doi.org/10.1371/journal.pmed.0020124" TargetMode="External" /><Relationship Type="http://schemas.openxmlformats.org/officeDocument/2006/relationships/hyperlink" Id="rId71" Target="https://doi.org/10.18637/jss.v080.i01" TargetMode="External" /><Relationship Type="http://schemas.openxmlformats.org/officeDocument/2006/relationships/hyperlink" Id="rId73" Target="https://doi.org/10.18637/jss.v100.i05" TargetMode="External" /><Relationship Type="http://schemas.openxmlformats.org/officeDocument/2006/relationships/hyperlink" Id="rId124" Target="https://doi.org/10.21105/joss.01686" TargetMode="External" /><Relationship Type="http://schemas.openxmlformats.org/officeDocument/2006/relationships/hyperlink" Id="rId107" Target="https://doi.org/10.31234/osf.io/2vzpx_v2" TargetMode="External" /><Relationship Type="http://schemas.openxmlformats.org/officeDocument/2006/relationships/hyperlink" Id="rId101" Target="https://doi.org/10.31234/osf.io/9evzc" TargetMode="External" /><Relationship Type="http://schemas.openxmlformats.org/officeDocument/2006/relationships/hyperlink" Id="rId81" Target="https://doi.org/10.31234/osf.io/aeukr_v1" TargetMode="External" /><Relationship Type="http://schemas.openxmlformats.org/officeDocument/2006/relationships/hyperlink" Id="rId84" Target="https://doi.org/10.31234/osf.io/qrm69" TargetMode="External" /><Relationship Type="http://schemas.openxmlformats.org/officeDocument/2006/relationships/hyperlink" Id="rId72" Target="https://doi.org/10.32614/RJ-2018-017" TargetMode="External" /><Relationship Type="http://schemas.openxmlformats.org/officeDocument/2006/relationships/hyperlink" Id="rId85" Target="https://doi.org/10.3758/s13423-019-01651-4" TargetMode="External" /><Relationship Type="http://schemas.openxmlformats.org/officeDocument/2006/relationships/hyperlink" Id="rId116" Target="https://doi.org/10.3758/s13423-020-01814-8" TargetMode="External" /><Relationship Type="http://schemas.openxmlformats.org/officeDocument/2006/relationships/hyperlink" Id="rId93" Target="https://doi.org/10.3758/s13423-021-01995-w" TargetMode="External" /><Relationship Type="http://schemas.openxmlformats.org/officeDocument/2006/relationships/hyperlink" Id="rId91" Target="https://doi.org/10.3758/s13423-024-02596-z" TargetMode="External" /><Relationship Type="http://schemas.openxmlformats.org/officeDocument/2006/relationships/hyperlink" Id="rId88" Target="https://doi.org/10.3758/s13428-025-02717-z" TargetMode="External" /><Relationship Type="http://schemas.openxmlformats.org/officeDocument/2006/relationships/hyperlink" Id="rId86" Target="https://doi.org/10.5195/jmla.2017.88" TargetMode="External" /><Relationship Type="http://schemas.openxmlformats.org/officeDocument/2006/relationships/hyperlink" Id="rId92" Target="https://doi.org/10.5334/joc.161" TargetMode="External" /><Relationship Type="http://schemas.openxmlformats.org/officeDocument/2006/relationships/hyperlink" Id="rId99" Target="https://doi.org/10.5334/joc.353" TargetMode="External" /><Relationship Type="http://schemas.openxmlformats.org/officeDocument/2006/relationships/hyperlink" Id="rId80" Target="https://dx.doi.org/10.1037/" TargetMode="External" /><Relationship Type="http://schemas.openxmlformats.org/officeDocument/2006/relationships/hyperlink" Id="rId9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7" Target="https://github.com/crsh/papaja" TargetMode="External" /><Relationship Type="http://schemas.openxmlformats.org/officeDocument/2006/relationships/hyperlink" Id="rId117" Target="https://mc-stan.org/" TargetMode="External" /><Relationship Type="http://schemas.openxmlformats.org/officeDocument/2006/relationships/hyperlink" Id="rId96"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62"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13" Target="https://www.R-project.org/" TargetMode="External" /><Relationship Type="http://schemas.openxmlformats.org/officeDocument/2006/relationships/hyperlink" Id="rId82" Target="https://www.dfg.de/de/foerderung/foerdermoeglichkeiten/programme/infrastruktur/lis/lis-foerderangebote/forschungsdaten" TargetMode="External" /><Relationship Type="http://schemas.openxmlformats.org/officeDocument/2006/relationships/hyperlink" Id="rId112" Target="https://www.psychometricsociety.org/post/call-special-issue-intensive-methods" TargetMode="External" /><Relationship Type="http://schemas.openxmlformats.org/officeDocument/2006/relationships/hyperlink" Id="rId126"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2026-02-19T11:44:58Z</dcterms:created>
  <dcterms:modified xsi:type="dcterms:W3CDTF">2026-02-19T11:44:58Z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ies>
</file>