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C3672">
        <w:rPr>
          <w:b/>
          <w:lang w:val="en-US"/>
        </w:rPr>
        <w:t>gentle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</w:t>
      </w:r>
      <w:r w:rsidR="00CE78C2">
        <w:rPr>
          <w:lang w:val="en-US"/>
        </w:rPr>
        <w:t xml:space="preserve"> that are specific to a body </w:t>
      </w:r>
      <w:r>
        <w:rPr>
          <w:lang w:val="en-US"/>
        </w:rPr>
        <w:t xml:space="preserve">supersede the ‘default’ rules listed </w:t>
      </w:r>
      <w:r w:rsidR="00E32865">
        <w:rPr>
          <w:lang w:val="en-US"/>
        </w:rPr>
        <w:t xml:space="preserve">directly </w:t>
      </w:r>
      <w:r w:rsidR="00CE78C2">
        <w:rPr>
          <w:lang w:val="en-US"/>
        </w:rPr>
        <w:t>below, and the rules that are specific to a character supersede both the default rules and the body specific rules.</w:t>
      </w:r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6C3672">
        <w:rPr>
          <w:i/>
          <w:lang w:val="en-US"/>
        </w:rPr>
        <w:t>gentle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CE78C2">
        <w:rPr>
          <w:lang w:val="en-US"/>
        </w:rPr>
        <w:t>is equal to or lower than the rank of the capturing piece.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6C3672">
        <w:rPr>
          <w:i/>
          <w:lang w:val="en-US"/>
        </w:rPr>
        <w:t>gentle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 (as long as there are</w:t>
      </w:r>
      <w:r w:rsidR="00766E7D">
        <w:rPr>
          <w:lang w:val="en-US"/>
        </w:rPr>
        <w:t xml:space="preserve"> no opposing piece standing in the way).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6C3672">
        <w:rPr>
          <w:lang w:val="en-US"/>
        </w:rPr>
        <w:t>Gentle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6C3672">
        <w:rPr>
          <w:lang w:val="en-US"/>
        </w:rPr>
        <w:t>gentle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1D1F66" w:rsidP="00640F1F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767ADE">
        <w:rPr>
          <w:lang w:val="en-US"/>
        </w:rPr>
        <w:t>Even a</w:t>
      </w:r>
      <w:r w:rsidR="00DA2438">
        <w:rPr>
          <w:lang w:val="en-US"/>
        </w:rPr>
        <w:t>s a non gentle piece, t</w:t>
      </w:r>
      <w:r w:rsidR="007400E6">
        <w:rPr>
          <w:lang w:val="en-US"/>
        </w:rPr>
        <w:t xml:space="preserve">he Strategist can reveal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>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C63887" w:rsidRDefault="00C63887" w:rsidP="00FE1B1C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1D1F66">
        <w:rPr>
          <w:lang w:val="en-US"/>
        </w:rPr>
        <w:t>ce, but does not move.</w:t>
      </w:r>
      <w:bookmarkStart w:id="0" w:name="_GoBack"/>
      <w:bookmarkEnd w:id="0"/>
    </w:p>
    <w:p w:rsidR="00597835" w:rsidRDefault="00C01FCC" w:rsidP="001D1F66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>s a non gentle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1D1F66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E78C2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1B1C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242</cp:revision>
  <cp:lastPrinted>2013-06-15T12:44:00Z</cp:lastPrinted>
  <dcterms:created xsi:type="dcterms:W3CDTF">2013-06-14T14:59:00Z</dcterms:created>
  <dcterms:modified xsi:type="dcterms:W3CDTF">2013-08-05T14:28:00Z</dcterms:modified>
</cp:coreProperties>
</file>