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A1A2E"/>
          <w:sz w:val="72"/>
          <w:szCs w:val="72"/>
        </w:rPr>
        <w:t xml:space="preserve">SMILE</w:t>
      </w:r>
    </w:p>
    <w:p>
      <w:pPr>
        <w:spacing w:after="100"/>
        <w:jc w:val="center"/>
      </w:pPr>
      <w:r>
        <w:rPr>
          <w:rFonts w:ascii="Arial" w:cs="Arial" w:eastAsia="Arial" w:hAnsi="Arial"/>
          <w:color w:val="6B7280"/>
          <w:sz w:val="28"/>
          <w:szCs w:val="28"/>
        </w:rPr>
        <w:t xml:space="preserve">Design System Brief &amp; Information Architecture</w:t>
      </w:r>
    </w:p>
    <w:p>
      <w:pPr>
        <w:spacing w:after="600"/>
        <w:jc w:val="center"/>
      </w:pPr>
      <w:r>
        <w:rPr>
          <w:rFonts w:ascii="Arial" w:cs="Arial" w:eastAsia="Arial" w:hAnsi="Arial"/>
          <w:color w:val="2E75B6"/>
          <w:sz w:val="24"/>
          <w:szCs w:val="24"/>
        </w:rPr>
        <w:t xml:space="preserve">SM Advisors</w:t>
      </w:r>
    </w:p>
    <w:p>
      <w:pPr>
        <w:pBdr>
          <w:bottom w:val="single" w:color="2E75B6" w:sz="6" w:space="1"/>
        </w:pBdr>
        <w:spacing w:after="200" w:before="200"/>
      </w:pPr>
    </w:p>
    <w:p>
      <w:pPr>
        <w:spacing w:after="100"/>
        <w:jc w:val="center"/>
      </w:pPr>
      <w:r>
        <w:rPr>
          <w:rFonts w:ascii="Arial" w:cs="Arial" w:eastAsia="Arial" w:hAnsi="Arial"/>
          <w:color w:val="6B7280"/>
          <w:sz w:val="20"/>
          <w:szCs w:val="20"/>
        </w:rPr>
        <w:t xml:space="preserve">Version 2.0  |  March 2026</w:t>
      </w:r>
    </w:p>
    <w:p>
      <w:pPr>
        <w:jc w:val="center"/>
      </w:pPr>
      <w:r>
        <w:rPr>
          <w:rFonts w:ascii="Arial" w:cs="Arial" w:eastAsia="Arial" w:hAnsi="Arial"/>
          <w:i/>
          <w:iCs/>
          <w:color w:val="6B7280"/>
          <w:sz w:val="20"/>
          <w:szCs w:val="20"/>
        </w:rPr>
        <w:t xml:space="preserve">This document is the governing design contract for all SMILE UI/UX decisions.</w:t>
      </w:r>
    </w:p>
    <w:p>
      <w:r>
        <w:br w:type="page"/>
      </w:r>
    </w:p>
    <w:p>
      <w:pPr>
        <w:pStyle w:val="Heading1"/>
      </w:pPr>
      <w:r>
        <w:rPr>
          <w:rFonts w:ascii="Arial" w:cs="Arial" w:eastAsia="Arial" w:hAnsi="Arial"/>
        </w:rPr>
        <w:t xml:space="preserve">1. Product Identity &amp; Design Philosophy</w:t>
      </w:r>
    </w:p>
    <w:p>
      <w:pPr>
        <w:spacing w:after="100"/>
      </w:pPr>
    </w:p>
    <w:p>
      <w:pPr>
        <w:pStyle w:val="Heading2"/>
      </w:pPr>
      <w:r>
        <w:rPr>
          <w:rFonts w:ascii="Arial" w:cs="Arial" w:eastAsia="Arial" w:hAnsi="Arial"/>
        </w:rPr>
        <w:t xml:space="preserve">What SMILE Is</w:t>
      </w:r>
    </w:p>
    <w:p>
      <w:pPr>
        <w:spacing w:after="120"/>
      </w:pPr>
      <w:r>
        <w:rPr>
          <w:rFonts w:ascii="Arial" w:cs="Arial" w:eastAsia="Arial" w:hAnsi="Arial"/>
          <w:sz w:val="22"/>
          <w:szCs w:val="22"/>
        </w:rPr>
        <w:t xml:space="preserve">SMILE is an AI enablement companion for organizations. It teaches people how to interact with AI, build with AI, evaluate AI work, and specialize—all through a personalized, adaptive experience that meets each user where they are.</w:t>
      </w:r>
    </w:p>
    <w:p>
      <w:pPr>
        <w:spacing w:after="120"/>
      </w:pPr>
      <w:r>
        <w:rPr>
          <w:rFonts w:ascii="Arial" w:cs="Arial" w:eastAsia="Arial" w:hAnsi="Arial"/>
          <w:sz w:val="22"/>
          <w:szCs w:val="22"/>
        </w:rPr>
        <w:t xml:space="preserve">It is not a learning management system. It is not a content library. It is not a dashboard full of features. It is a relationship between a user and an AI coach that evolves as the user grows.</w:t>
      </w:r>
    </w:p>
    <w:p>
      <w:pPr>
        <w:spacing w:after="100"/>
      </w:pPr>
    </w:p>
    <w:p>
      <w:pPr>
        <w:pStyle w:val="Heading2"/>
      </w:pPr>
      <w:r>
        <w:rPr>
          <w:rFonts w:ascii="Arial" w:cs="Arial" w:eastAsia="Arial" w:hAnsi="Arial"/>
        </w:rPr>
        <w:t xml:space="preserve">The Two Users</w:t>
      </w:r>
    </w:p>
    <w:p>
      <w:pPr>
        <w:spacing w:after="120"/>
      </w:pPr>
      <w:r>
        <w:rPr>
          <w:rFonts w:ascii="Arial" w:cs="Arial" w:eastAsia="Arial" w:hAnsi="Arial"/>
          <w:sz w:val="22"/>
          <w:szCs w:val="22"/>
        </w:rPr>
        <w:t xml:space="preserve">SMILE serves two distinct users with fundamentally different needs, and the design must treat them as first-class citizens from day 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Need</w:t>
            </w:r>
          </w:p>
        </w:tc>
        <w:tc>
          <w:tcPr>
            <w:tcW w:type="dxa" w:w="3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Failure Looks Like</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The Learner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 intuitive, low-friction experience that builds their AI skills progressively. They need to feel guided, not overwhelmed. They need to see their own growth.</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 portal full of features they don’t understand. A training course that feels like homework. An interface that requires a tour to navigate.</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The Buyer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Proof that SMILE is delivering measurable value to the organization. Not completion rates—business outcomes. They need to see ROI, risk reduction, capability growth, and actionable intelligence. They need this in a format they can take to a board.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 completion dashboard that shows 73% of employees finished Module 3. That tells leadership nothing about whether the investment is working. Traditional LMS metrics are vanity metrics for the buyer.</w:t>
            </w:r>
          </w:p>
        </w:tc>
      </w:tr>
    </w:tbl>
    <w:p>
      <w:pPr>
        <w:spacing w:after="60"/>
      </w:pPr>
    </w:p>
    <w:p>
      <w:pPr>
        <w:spacing w:after="120"/>
      </w:pPr>
      <w:r>
        <w:rPr>
          <w:rFonts w:ascii="Arial" w:cs="Arial" w:eastAsia="Arial" w:hAnsi="Arial"/>
          <w:sz w:val="22"/>
          <w:szCs w:val="22"/>
        </w:rPr>
        <w:t xml:space="preserve">Most enablement platforms optimize for the learner and treat the buyer as an afterthought—an admin panel with charts. SMILE must treat the buyer experience as a separate product surface with its own design language, its own information hierarchy, and its own value proposition. The buyer is the one writing the check. Their experience determines renewals, expansions, and referrals.</w:t>
      </w:r>
    </w:p>
    <w:p>
      <w:pPr>
        <w:spacing w:after="100"/>
      </w:pPr>
    </w:p>
    <w:p>
      <w:pPr>
        <w:pStyle w:val="Heading2"/>
      </w:pPr>
      <w:r>
        <w:rPr>
          <w:rFonts w:ascii="Arial" w:cs="Arial" w:eastAsia="Arial" w:hAnsi="Arial"/>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 in Practice</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Earn Complexity</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feature is visible until the user has context for why it matters. The interface expands as the user progresses. Day 1 should feel simple. Day 90 should feel powerful. Both should feel intentional.</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One Job Per Screen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view answers exactly one question. Home answers “What should I do next?” Training answers “How do I learn this?” The Leadership Portal answers “Is this investment working?” If a screen tries to answer multiple questions, it needs to be split.</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Restraint Over Impressiveness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Enterprise trust is built through restraint, not feature density. A VP of HR watching a first-time user should feel confident about adoption within 10 seconds. That means fewer elements, clearer hierarchy, and no reliance on tours or tooltips to explain the interface.</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Coach, Not Portal</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experience should feel like working with a guide, not navigating a portal. Andrea (the AI coach) is the connective tissue—she is proactive, context-aware, and adapts to each user’s unique situation. When in doubt about where something belongs, the answer is usually “Andrea surfaces it contextually” rather than “add another nav item.”</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Industry-Neutral Platform</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core UI contains zero industry-specific language. No “Bank Policies” in navigation, no hardcoded department lists. All industry context is injected through organization configuration at the data layer and rendered dynamically. A healthcare org and a banking org should see the same shell with different content.</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Value Is Visible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interaction in SMILE should generate a signal that contributes to the buyer’s understanding of ROI. The platform doesn’t just train people—it captures evidence that training is working. This data flows automatically from the learner experience into the leadership view without requiring anyone to manually report outcomes.</w:t>
            </w:r>
          </w:p>
        </w:tc>
      </w:tr>
    </w:tbl>
    <w:p>
      <w:pPr>
        <w:spacing w:after="100"/>
      </w:pPr>
    </w:p>
    <w:p>
      <w:pPr>
        <w:pStyle w:val="Heading2"/>
      </w:pPr>
      <w:r>
        <w:rPr>
          <w:rFonts w:ascii="Arial" w:cs="Arial" w:eastAsia="Arial" w:hAnsi="Arial"/>
        </w:rPr>
        <w:t xml:space="preserve">The Litmus Test</w:t>
      </w:r>
    </w:p>
    <w:p>
      <w:pPr>
        <w:spacing w:after="120"/>
      </w:pPr>
      <w:r>
        <w:rPr>
          <w:rFonts w:ascii="Arial" w:cs="Arial" w:eastAsia="Arial" w:hAnsi="Arial"/>
          <w:sz w:val="22"/>
          <w:szCs w:val="22"/>
        </w:rPr>
        <w:t xml:space="preserve">Before building or adding any element to a screen, ask:</w:t>
      </w:r>
    </w:p>
    <w:p>
      <w:pPr>
        <w:pStyle w:val="ListParagraph"/>
        <w:numPr>
          <w:ilvl w:val="0"/>
          <w:numId w:val="2"/>
        </w:numPr>
        <w:spacing w:after="60"/>
      </w:pPr>
      <w:r>
        <w:rPr>
          <w:rFonts w:ascii="Arial" w:cs="Arial" w:eastAsia="Arial" w:hAnsi="Arial"/>
          <w:sz w:val="20"/>
          <w:szCs w:val="20"/>
        </w:rPr>
        <w:t xml:space="preserve">Does a user at this stage of progression need this?</w:t>
      </w:r>
    </w:p>
    <w:p>
      <w:pPr>
        <w:pStyle w:val="ListParagraph"/>
        <w:numPr>
          <w:ilvl w:val="0"/>
          <w:numId w:val="2"/>
        </w:numPr>
        <w:spacing w:after="60"/>
      </w:pPr>
      <w:r>
        <w:rPr>
          <w:rFonts w:ascii="Arial" w:cs="Arial" w:eastAsia="Arial" w:hAnsi="Arial"/>
          <w:sz w:val="20"/>
          <w:szCs w:val="20"/>
        </w:rPr>
        <w:t xml:space="preserve">Can Andrea surface this contextually instead of it living in the UI permanently?</w:t>
      </w:r>
    </w:p>
    <w:p>
      <w:pPr>
        <w:pStyle w:val="ListParagraph"/>
        <w:numPr>
          <w:ilvl w:val="0"/>
          <w:numId w:val="2"/>
        </w:numPr>
        <w:spacing w:after="60"/>
      </w:pPr>
      <w:r>
        <w:rPr>
          <w:rFonts w:ascii="Arial" w:cs="Arial" w:eastAsia="Arial" w:hAnsi="Arial"/>
          <w:sz w:val="20"/>
          <w:szCs w:val="20"/>
        </w:rPr>
        <w:t xml:space="preserve">If I removed this, would the user be unable to complete their current task?</w:t>
      </w:r>
    </w:p>
    <w:p>
      <w:pPr>
        <w:pStyle w:val="ListParagraph"/>
        <w:numPr>
          <w:ilvl w:val="0"/>
          <w:numId w:val="2"/>
        </w:numPr>
        <w:spacing w:after="60"/>
      </w:pPr>
      <w:r>
        <w:rPr>
          <w:rFonts w:ascii="Arial" w:cs="Arial" w:eastAsia="Arial" w:hAnsi="Arial"/>
          <w:sz w:val="20"/>
          <w:szCs w:val="20"/>
        </w:rPr>
        <w:t xml:space="preserve">Does this generate a value signal for the buyer? If not, should it?</w:t>
      </w:r>
    </w:p>
    <w:p>
      <w:pPr>
        <w:spacing w:after="120"/>
      </w:pPr>
      <w:r>
        <w:rPr>
          <w:rFonts w:ascii="Arial" w:cs="Arial" w:eastAsia="Arial" w:hAnsi="Arial"/>
          <w:sz w:val="22"/>
          <w:szCs w:val="22"/>
        </w:rPr>
        <w:t xml:space="preserve">If the answer to #1 is no, hide it. If #2 is yes, let Andrea handle it. If #3 is no, it’s a candidate for removal or deferral. If #4 is no, reconsider whether it belongs in the product at all.</w:t>
      </w:r>
    </w:p>
    <w:p>
      <w:r>
        <w:br w:type="page"/>
      </w:r>
    </w:p>
    <w:p>
      <w:pPr>
        <w:pStyle w:val="Heading1"/>
      </w:pPr>
      <w:r>
        <w:rPr>
          <w:rFonts w:ascii="Arial" w:cs="Arial" w:eastAsia="Arial" w:hAnsi="Arial"/>
        </w:rPr>
        <w:t xml:space="preserve">2. Navigation Architecture</w:t>
      </w:r>
    </w:p>
    <w:p>
      <w:pPr>
        <w:spacing w:after="100"/>
      </w:pPr>
    </w:p>
    <w:p>
      <w:pPr>
        <w:pStyle w:val="Heading2"/>
      </w:pPr>
      <w:r>
        <w:rPr>
          <w:rFonts w:ascii="Arial" w:cs="Arial" w:eastAsia="Arial" w:hAnsi="Arial"/>
        </w:rPr>
        <w:t xml:space="preserve">The Shell Model</w:t>
      </w:r>
    </w:p>
    <w:p>
      <w:pPr>
        <w:spacing w:after="120"/>
      </w:pPr>
      <w:r>
        <w:rPr>
          <w:rFonts w:ascii="Arial" w:cs="Arial" w:eastAsia="Arial" w:hAnsi="Arial"/>
          <w:sz w:val="22"/>
          <w:szCs w:val="22"/>
        </w:rPr>
        <w:t xml:space="preserve">SMILE uses a persistent application shell. One shell wraps the entire experience. The user never “leaves” the app—the content area changes while the shell remains constant. This eliminates the fragmented feel of navigating between standalone pages.</w:t>
      </w:r>
    </w:p>
    <w:p>
      <w:pPr>
        <w:spacing w:after="80"/>
      </w:pPr>
    </w:p>
    <w:p>
      <w:pPr>
        <w:pStyle w:val="Heading3"/>
      </w:pPr>
      <w:r>
        <w:rPr>
          <w:rFonts w:ascii="Arial" w:cs="Arial" w:eastAsia="Arial" w:hAnsi="Arial"/>
        </w:rPr>
        <w:t xml:space="preserve">Shell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5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Nav Rail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Left edge</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Thin vertical bar (56–64px). Icons only at rest. Labels appear on hover. Expandable to full sidebar on click/toggle. Collapses to icon-only on mobile (bottom bar). Max 5 primary zones for learners. Leadership users see a separate nav configuration.</w:t>
            </w:r>
          </w:p>
        </w:tc>
      </w:tr>
      <w:tr>
        <w:tc>
          <w:tcPr>
            <w:tcW w:type="dxa" w:w="2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Top Bar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Top</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Contextual header. Shows: current zone name, breadcrumbs within a zone, session-relevant actions (e.g., module progress in training). Profile avatar + org name on right. No feature buttons—all navigation lives in the rail.</w:t>
            </w:r>
          </w:p>
        </w:tc>
      </w:tr>
      <w:tr>
        <w:tc>
          <w:tcPr>
            <w:tcW w:type="dxa" w:w="2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Content Area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Center</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Fills remaining space. Loads the active view. Smooth transitions between views (no full page reloads). Scrollable independently of the shell.</w:t>
            </w:r>
          </w:p>
        </w:tc>
      </w:tr>
      <w:tr>
        <w:tc>
          <w:tcPr>
            <w:tcW w:type="dxa" w:w="2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Andrea Dock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Bottom-right</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Persistent, proactive presence. Three states: Resting (avatar only), Attentive (subtle glow indicating Andrea has contextual input), Active (panel open with message). Available on every screen. Context-aware and profile-aware. See Section 3 for full proactive intelligence specification.</w:t>
            </w:r>
          </w:p>
        </w:tc>
      </w:tr>
    </w:tbl>
    <w:p>
      <w:pPr>
        <w:spacing w:after="150"/>
      </w:pPr>
    </w:p>
    <w:p>
      <w:pPr>
        <w:pStyle w:val="Heading2"/>
      </w:pPr>
      <w:r>
        <w:rPr>
          <w:rFonts w:ascii="Arial" w:cs="Arial" w:eastAsia="Arial" w:hAnsi="Arial"/>
        </w:rPr>
        <w:t xml:space="preserve">Learner Navigation Zones</w:t>
      </w:r>
    </w:p>
    <w:p>
      <w:pPr>
        <w:spacing w:after="120"/>
      </w:pPr>
      <w:r>
        <w:rPr>
          <w:rFonts w:ascii="Arial" w:cs="Arial" w:eastAsia="Arial" w:hAnsi="Arial"/>
          <w:sz w:val="22"/>
          <w:szCs w:val="22"/>
        </w:rPr>
        <w:t xml:space="preserve">The learner’s nav rail contains a maximum of 5 zones. Two zones are hidden for new users and unlock based on progression.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Contains</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Visibility</w:t>
            </w:r>
          </w:p>
        </w:tc>
      </w:tr>
      <w:tr>
        <w:tc>
          <w:tcPr>
            <w:tcW w:type="dxa" w:w="1400"/>
            <w:tcBorders>
              <w:top w:val="single" w:color="D1D5DB" w:sz="1"/>
              <w:left w:val="single" w:color="D1D5DB" w:sz="1"/>
              <w:bottom w:val="single" w:color="D1D5DB" w:sz="1"/>
              <w:right w:val="single" w:color="D1D5DB" w:sz="1"/>
            </w:tcBorders>
            <w:shd w:fill="EBF5FB" w:val="clear"/>
            <w:tcMar>
              <w:top w:type="dxa" w:w="80"/>
              <w:left w:type="dxa" w:w="120"/>
              <w:bottom w:type="dxa" w:w="80"/>
              <w:right w:type="dxa" w:w="120"/>
            </w:tcMar>
          </w:tcPr>
          <w:p>
            <w:r>
              <w:rPr>
                <w:rFonts w:ascii="Arial" w:cs="Arial" w:eastAsia="Arial" w:hAnsi="Arial"/>
                <w:sz w:val="20"/>
                <w:szCs w:val="20"/>
              </w:rPr>
              <w:t xml:space="preserve">Home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Answer: What should I do next?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Next action card, active session summary, Andrea’s contextual prompt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1400"/>
            <w:tcBorders>
              <w:top w:val="single" w:color="D1D5DB" w:sz="1"/>
              <w:left w:val="single" w:color="D1D5DB" w:sz="1"/>
              <w:bottom w:val="single" w:color="D1D5DB" w:sz="1"/>
              <w:right w:val="single" w:color="D1D5DB" w:sz="1"/>
            </w:tcBorders>
            <w:shd w:fill="EBF5FB" w:val="clear"/>
            <w:tcMar>
              <w:top w:type="dxa" w:w="80"/>
              <w:left w:type="dxa" w:w="120"/>
              <w:bottom w:type="dxa" w:w="80"/>
              <w:right w:type="dxa" w:w="120"/>
            </w:tcMar>
          </w:tcPr>
          <w:p>
            <w:r>
              <w:rPr>
                <w:rFonts w:ascii="Arial" w:cs="Arial" w:eastAsia="Arial" w:hAnsi="Arial"/>
                <w:sz w:val="20"/>
                <w:szCs w:val="20"/>
              </w:rPr>
              <w:t xml:space="preserve">Learn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Training workspace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tracks, module content, practice chat, Andrea coaching, capstones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sz w:val="20"/>
                <w:szCs w:val="20"/>
              </w:rPr>
              <w:t xml:space="preserve">Explore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Deepen and apply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Prompt library, elective paths, idea tracker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Unlocks after completing Session 1, Module 2 (CLEAR Framework)</w:t>
            </w:r>
          </w:p>
        </w:tc>
      </w:tr>
      <w:tr>
        <w:tc>
          <w:tcPr>
            <w:tcW w:type="dxa" w:w="1400"/>
            <w:tcBorders>
              <w:top w:val="single" w:color="D1D5DB" w:sz="1"/>
              <w:left w:val="single" w:color="D1D5DB" w:sz="1"/>
              <w:bottom w:val="single" w:color="D1D5DB" w:sz="1"/>
              <w:right w:val="single" w:color="D1D5DB" w:sz="1"/>
            </w:tcBorders>
            <w:shd w:fill="FEF9E7" w:val="clear"/>
            <w:tcMar>
              <w:top w:type="dxa" w:w="80"/>
              <w:left w:type="dxa" w:w="120"/>
              <w:bottom w:type="dxa" w:w="80"/>
              <w:right w:type="dxa" w:w="120"/>
            </w:tcMar>
          </w:tcPr>
          <w:p>
            <w:r>
              <w:rPr>
                <w:rFonts w:ascii="Arial" w:cs="Arial" w:eastAsia="Arial" w:hAnsi="Arial"/>
                <w:sz w:val="20"/>
                <w:szCs w:val="20"/>
              </w:rPr>
              <w:t xml:space="preserve">Community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Connect and share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Feed, discussions, shared wins/frustrations, events, live sessions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Unlocks after completing first practice exercise</w:t>
            </w:r>
          </w:p>
        </w:tc>
      </w:tr>
      <w:tr>
        <w:tc>
          <w:tcPr>
            <w:tcW w:type="dxa" w:w="1400"/>
            <w:tcBorders>
              <w:top w:val="single" w:color="D1D5DB" w:sz="1"/>
              <w:left w:val="single" w:color="D1D5DB" w:sz="1"/>
              <w:bottom w:val="single" w:color="D1D5DB" w:sz="1"/>
              <w:right w:val="single" w:color="D1D5DB" w:sz="1"/>
            </w:tcBorders>
            <w:shd w:fill="F5EEF8" w:val="clear"/>
            <w:tcMar>
              <w:top w:type="dxa" w:w="80"/>
              <w:left w:type="dxa" w:w="120"/>
              <w:bottom w:type="dxa" w:w="80"/>
              <w:right w:type="dxa" w:w="120"/>
            </w:tcMar>
          </w:tcPr>
          <w:p>
            <w:r>
              <w:rPr>
                <w:rFonts w:ascii="Arial" w:cs="Arial" w:eastAsia="Arial" w:hAnsi="Arial"/>
                <w:sz w:val="20"/>
                <w:szCs w:val="20"/>
              </w:rPr>
              <w:t xml:space="preserve">Profile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Personal config</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preferences, memories, journey/progress, certificates, account settings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Always visible</w:t>
            </w:r>
          </w:p>
        </w:tc>
      </w:tr>
    </w:tbl>
    <w:p>
      <w:pPr>
        <w:spacing w:after="120"/>
      </w:pPr>
    </w:p>
    <w:p>
      <w:pPr>
        <w:pStyle w:val="Heading2"/>
      </w:pPr>
      <w:r>
        <w:rPr>
          <w:rFonts w:ascii="Arial" w:cs="Arial" w:eastAsia="Arial" w:hAnsi="Arial"/>
        </w:rPr>
        <w:t xml:space="preserve">Leadership Navigation</w:t>
      </w:r>
    </w:p>
    <w:p>
      <w:pPr>
        <w:spacing w:after="120"/>
      </w:pPr>
      <w:r>
        <w:rPr>
          <w:rFonts w:ascii="Arial" w:cs="Arial" w:eastAsia="Arial" w:hAnsi="Arial"/>
          <w:sz w:val="22"/>
          <w:szCs w:val="22"/>
        </w:rPr>
        <w:t xml:space="preserve">Users with leadership roles (C-suite, VP, department heads) see a separate navigation configuration. They can toggle between the learner experience and the Leadership Portal. The Leadership Portal has its own nav zones—it is not a tab inside Admin. It is a distinct product surface.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5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Contains</w:t>
            </w:r>
          </w:p>
        </w:tc>
      </w:tr>
      <w:tr>
        <w:tc>
          <w:tcPr>
            <w:tcW w:type="dxa" w:w="1800"/>
            <w:tcBorders>
              <w:top w:val="single" w:color="D1D5DB" w:sz="1"/>
              <w:left w:val="single" w:color="D1D5DB" w:sz="1"/>
              <w:bottom w:val="single" w:color="D1D5DB" w:sz="1"/>
              <w:right w:val="single" w:color="D1D5DB" w:sz="1"/>
            </w:tcBorders>
            <w:shd w:fill="FDF2E9" w:val="clear"/>
            <w:tcMar>
              <w:top w:type="dxa" w:w="80"/>
              <w:left w:type="dxa" w:w="120"/>
              <w:bottom w:type="dxa" w:w="80"/>
              <w:right w:type="dxa" w:w="120"/>
            </w:tcMar>
          </w:tcPr>
          <w:p>
            <w:r>
              <w:rPr>
                <w:rFonts w:ascii="Arial" w:cs="Arial" w:eastAsia="Arial" w:hAnsi="Arial"/>
                <w:sz w:val="20"/>
                <w:szCs w:val="20"/>
              </w:rPr>
              <w:t xml:space="preserve">Value Overview</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Is this working?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ROI metrics, time-to-first-value, usage-to-outcome correlation, executive summary narrative. Board-ready. See Section 5B for full specification.</w:t>
            </w:r>
          </w:p>
        </w:tc>
      </w:tr>
      <w:tr>
        <w:tc>
          <w:tcPr>
            <w:tcW w:type="dxa" w:w="1800"/>
            <w:tcBorders>
              <w:top w:val="single" w:color="D1D5DB" w:sz="1"/>
              <w:left w:val="single" w:color="D1D5DB" w:sz="1"/>
              <w:bottom w:val="single" w:color="D1D5DB" w:sz="1"/>
              <w:right w:val="single" w:color="D1D5DB" w:sz="1"/>
            </w:tcBorders>
            <w:shd w:fill="FDF2E9" w:val="clear"/>
            <w:tcMar>
              <w:top w:type="dxa" w:w="80"/>
              <w:left w:type="dxa" w:w="120"/>
              <w:bottom w:type="dxa" w:w="80"/>
              <w:right w:type="dxa" w:w="120"/>
            </w:tcMar>
          </w:tcPr>
          <w:p>
            <w:r>
              <w:rPr>
                <w:rFonts w:ascii="Arial" w:cs="Arial" w:eastAsia="Arial" w:hAnsi="Arial"/>
                <w:sz w:val="20"/>
                <w:szCs w:val="20"/>
              </w:rPr>
              <w:t xml:space="preserve">People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Who’s growing?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Team/department adoption heatmaps, individual progression summaries, skill signal aggregation, at-risk users (stalled or disengaged).</w:t>
            </w:r>
          </w:p>
        </w:tc>
      </w:tr>
      <w:tr>
        <w:tc>
          <w:tcPr>
            <w:tcW w:type="dxa" w:w="1800"/>
            <w:tcBorders>
              <w:top w:val="single" w:color="D1D5DB" w:sz="1"/>
              <w:left w:val="single" w:color="D1D5DB" w:sz="1"/>
              <w:bottom w:val="single" w:color="D1D5DB" w:sz="1"/>
              <w:right w:val="single" w:color="D1D5DB" w:sz="1"/>
            </w:tcBorders>
            <w:shd w:fill="FDF2E9" w:val="clear"/>
            <w:tcMar>
              <w:top w:type="dxa" w:w="80"/>
              <w:left w:type="dxa" w:w="120"/>
              <w:bottom w:type="dxa" w:w="80"/>
              <w:right w:type="dxa" w:w="120"/>
            </w:tcMar>
          </w:tcPr>
          <w:p>
            <w:r>
              <w:rPr>
                <w:rFonts w:ascii="Arial" w:cs="Arial" w:eastAsia="Arial" w:hAnsi="Arial"/>
                <w:sz w:val="20"/>
                <w:szCs w:val="20"/>
              </w:rPr>
              <w:t xml:space="preserve">Intelligence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What are we learning?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Idea pipeline from community, top use cases identified by staff, friction/limitation patterns, policy compliance signals, risk indicators surfaced passively from training interactions.</w:t>
            </w:r>
          </w:p>
        </w:tc>
      </w:tr>
      <w:tr>
        <w:tc>
          <w:tcPr>
            <w:tcW w:type="dxa" w:w="1800"/>
            <w:tcBorders>
              <w:top w:val="single" w:color="D1D5DB" w:sz="1"/>
              <w:left w:val="single" w:color="D1D5DB" w:sz="1"/>
              <w:bottom w:val="single" w:color="D1D5DB" w:sz="1"/>
              <w:right w:val="single" w:color="D1D5DB" w:sz="1"/>
            </w:tcBorders>
            <w:shd w:fill="FDEDEC" w:val="clear"/>
            <w:tcMar>
              <w:top w:type="dxa" w:w="80"/>
              <w:left w:type="dxa" w:w="120"/>
              <w:bottom w:type="dxa" w:w="80"/>
              <w:right w:type="dxa" w:w="120"/>
            </w:tcMar>
          </w:tcPr>
          <w:p>
            <w:r>
              <w:rPr>
                <w:rFonts w:ascii="Arial" w:cs="Arial" w:eastAsia="Arial" w:hAnsi="Arial"/>
                <w:sz w:val="20"/>
                <w:szCs w:val="20"/>
              </w:rPr>
              <w:t xml:space="preserve">Admin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Manage the org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management, content config, departments, org resources, app settings. Operational—not analytical.</w:t>
            </w:r>
          </w:p>
        </w:tc>
      </w:tr>
    </w:tbl>
    <w:p>
      <w:pPr>
        <w:spacing w:after="100"/>
      </w:pPr>
    </w:p>
    <w:p>
      <w:pPr>
        <w:pStyle w:val="Heading2"/>
      </w:pPr>
      <w:r>
        <w:rPr>
          <w:rFonts w:ascii="Arial" w:cs="Arial" w:eastAsia="Arial" w:hAnsi="Arial"/>
        </w:rPr>
        <w:t xml:space="preserve">Mobile Navigation</w:t>
      </w:r>
    </w:p>
    <w:p>
      <w:pPr>
        <w:spacing w:after="120"/>
      </w:pPr>
      <w:r>
        <w:rPr>
          <w:rFonts w:ascii="Arial" w:cs="Arial" w:eastAsia="Arial" w:hAnsi="Arial"/>
          <w:sz w:val="22"/>
          <w:szCs w:val="22"/>
        </w:rPr>
        <w:t xml:space="preserve">On mobile (&lt; 768px), the nav rail transforms into a bottom tab bar showing the same zones as icons. The active zone is highlighted. Tapping a zone loads its default view in the content area above. Andrea’s dock shifts to a floating action button above the bottom bar.</w:t>
      </w:r>
    </w:p>
    <w:p>
      <w:pPr>
        <w:spacing w:after="120"/>
      </w:pPr>
      <w:r>
        <w:rPr>
          <w:rFonts w:ascii="Arial" w:cs="Arial" w:eastAsia="Arial" w:hAnsi="Arial"/>
          <w:sz w:val="22"/>
          <w:szCs w:val="22"/>
        </w:rPr>
        <w:t xml:space="preserve">The top bar simplifies: zone name only (no breadcrumbs on mobile), profile avatar accessible via the Profile zone in the bottom bar. No hamburger menus. No slide-out drawers. The bottom bar is the single navigation mechanism.</w:t>
      </w:r>
    </w:p>
    <w:p>
      <w:r>
        <w:br w:type="page"/>
      </w:r>
    </w:p>
    <w:p>
      <w:pPr>
        <w:pStyle w:val="Heading1"/>
      </w:pPr>
      <w:r>
        <w:rPr>
          <w:rFonts w:ascii="Arial" w:cs="Arial" w:eastAsia="Arial" w:hAnsi="Arial"/>
        </w:rPr>
        <w:t xml:space="preserve">3. Andrea — Proactive Intelligence System</w:t>
      </w:r>
    </w:p>
    <w:p>
      <w:pPr>
        <w:spacing w:after="100"/>
      </w:pPr>
    </w:p>
    <w:p>
      <w:pPr>
        <w:spacing w:after="120"/>
      </w:pPr>
      <w:r>
        <w:rPr>
          <w:rFonts w:ascii="Arial" w:cs="Arial" w:eastAsia="Arial" w:hAnsi="Arial"/>
          <w:sz w:val="22"/>
          <w:szCs w:val="22"/>
        </w:rPr>
        <w:t xml:space="preserve">Andrea is not a chatbot that waits to be opened. She is a proactive AI coach with a defined intelligence layer that determines when and how she engages. Her behavior is driven by the user’s profile, progression state, current activity, and real-time signals from their interactions.</w:t>
      </w:r>
    </w:p>
    <w:p>
      <w:pPr>
        <w:spacing w:after="80"/>
      </w:pPr>
    </w:p>
    <w:p>
      <w:pPr>
        <w:pStyle w:val="Heading2"/>
      </w:pPr>
      <w:r>
        <w:rPr>
          <w:rFonts w:ascii="Arial" w:cs="Arial" w:eastAsia="Arial" w:hAnsi="Arial"/>
        </w:rPr>
        <w:t xml:space="preserve">Dock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Resting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Avatar only. No indicator, no animation. The user knows Andrea is there but she is not demanding attention.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Default state. No proactive trigger conditions met.</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Attentive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Subtle glow or dot appears on the avatar. A brief, non-intrusive text preview slides up from the dock (2–3 words max, e.g., “I noticed something”) and then settles back to the dot.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 proactive trigger condition has been met (see trigger rules below). Andrea has something contextually relevant to offer based on the user’s unique profile and circumstance.</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Active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Panel open. Andrea’s proactive message is already loaded—not a generic greeting. The message is specific to the trigger that caused the Attentive state.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clicks the Attentive dock. Panel opens with the contextual message.</w:t>
            </w:r>
          </w:p>
        </w:tc>
      </w:tr>
    </w:tbl>
    <w:p>
      <w:pPr>
        <w:spacing w:after="100"/>
      </w:pPr>
    </w:p>
    <w:p>
      <w:pPr>
        <w:pStyle w:val="Heading2"/>
      </w:pPr>
      <w:r>
        <w:rPr>
          <w:rFonts w:ascii="Arial" w:cs="Arial" w:eastAsia="Arial" w:hAnsi="Arial"/>
        </w:rPr>
        <w:t xml:space="preserve">Proactive Trigger Rules</w:t>
      </w:r>
    </w:p>
    <w:p>
      <w:pPr>
        <w:spacing w:after="120"/>
      </w:pPr>
      <w:r>
        <w:rPr>
          <w:rFonts w:ascii="Arial" w:cs="Arial" w:eastAsia="Arial" w:hAnsi="Arial"/>
          <w:sz w:val="22"/>
          <w:szCs w:val="22"/>
        </w:rPr>
        <w:t xml:space="preserve">Andrea’s proactive triggers are driven by a rules engine that evaluates user state against defined conditions. Each trigger produces a specific, personalized message—never a generic prompt.</w:t>
      </w:r>
    </w:p>
    <w:p>
      <w:pPr>
        <w:spacing w:after="60"/>
      </w:pPr>
    </w:p>
    <w:p>
      <w:pPr>
        <w:pStyle w:val="ListParagraph"/>
        <w:numPr>
          <w:ilvl w:val="0"/>
          <w:numId w:val="3"/>
        </w:numPr>
        <w:spacing w:after="60"/>
      </w:pPr>
      <w:r>
        <w:rPr>
          <w:rFonts w:ascii="Arial" w:cs="Arial" w:eastAsia="Arial" w:hAnsi="Arial"/>
          <w:sz w:val="20"/>
          <w:szCs w:val="20"/>
        </w:rPr>
        <w:t xml:space="preserve">Stall detection: User has been on a module for 10+ minutes without starting practice or submitting. Andrea offers a hint or reframing specific to the module content and the user’s learning style.</w:t>
      </w:r>
    </w:p>
    <w:p>
      <w:pPr>
        <w:pStyle w:val="ListParagraph"/>
        <w:numPr>
          <w:ilvl w:val="0"/>
          <w:numId w:val="3"/>
        </w:numPr>
        <w:spacing w:after="60"/>
      </w:pPr>
      <w:r>
        <w:rPr>
          <w:rFonts w:ascii="Arial" w:cs="Arial" w:eastAsia="Arial" w:hAnsi="Arial"/>
          <w:sz w:val="20"/>
          <w:szCs w:val="20"/>
        </w:rPr>
        <w:t xml:space="preserve">Pattern recognition: User’s last 3 prompts share a structural weakness (e.g., missing context, no success criteria). Andrea names the pattern and offers a targeted technique.</w:t>
      </w:r>
    </w:p>
    <w:p>
      <w:pPr>
        <w:pStyle w:val="ListParagraph"/>
        <w:numPr>
          <w:ilvl w:val="0"/>
          <w:numId w:val="3"/>
        </w:numPr>
        <w:spacing w:after="60"/>
      </w:pPr>
      <w:r>
        <w:rPr>
          <w:rFonts w:ascii="Arial" w:cs="Arial" w:eastAsia="Arial" w:hAnsi="Arial"/>
          <w:sz w:val="20"/>
          <w:szCs w:val="20"/>
        </w:rPr>
        <w:t xml:space="preserve">Skill readiness: Skill signals indicate the user is consistently performing at a higher level than their current track. Andrea suggests a level adjustment or an elective path.</w:t>
      </w:r>
    </w:p>
    <w:p>
      <w:pPr>
        <w:pStyle w:val="ListParagraph"/>
        <w:numPr>
          <w:ilvl w:val="0"/>
          <w:numId w:val="3"/>
        </w:numPr>
        <w:spacing w:after="60"/>
      </w:pPr>
      <w:r>
        <w:rPr>
          <w:rFonts w:ascii="Arial" w:cs="Arial" w:eastAsia="Arial" w:hAnsi="Arial"/>
          <w:sz w:val="20"/>
          <w:szCs w:val="20"/>
        </w:rPr>
        <w:t xml:space="preserve">Feature unlock: A new feature just became available (e.g., Prompt Library after CLEAR Framework). Andrea introduces it in the context of work the user just did: “That prompt you just wrote? You can save it to your Prompt Library now.”</w:t>
      </w:r>
    </w:p>
    <w:p>
      <w:pPr>
        <w:pStyle w:val="ListParagraph"/>
        <w:numPr>
          <w:ilvl w:val="0"/>
          <w:numId w:val="3"/>
        </w:numPr>
        <w:spacing w:after="60"/>
      </w:pPr>
      <w:r>
        <w:rPr>
          <w:rFonts w:ascii="Arial" w:cs="Arial" w:eastAsia="Arial" w:hAnsi="Arial"/>
          <w:sz w:val="20"/>
          <w:szCs w:val="20"/>
        </w:rPr>
        <w:t xml:space="preserve">Community connection: Another user in the same org posted a win or question related to the module the current user is working on. Andrea surfaces it: “Someone on your team just shared how they used this in [department]. Want to see it?”</w:t>
      </w:r>
    </w:p>
    <w:p>
      <w:pPr>
        <w:pStyle w:val="ListParagraph"/>
        <w:numPr>
          <w:ilvl w:val="0"/>
          <w:numId w:val="3"/>
        </w:numPr>
        <w:spacing w:after="60"/>
      </w:pPr>
      <w:r>
        <w:rPr>
          <w:rFonts w:ascii="Arial" w:cs="Arial" w:eastAsia="Arial" w:hAnsi="Arial"/>
          <w:sz w:val="20"/>
          <w:szCs w:val="20"/>
        </w:rPr>
        <w:t xml:space="preserve">Return engagement: User logs in after 3+ days away. Andrea acknowledges the gap and provides a brief recap of where they left off, not just “Welcome back.”</w:t>
      </w:r>
    </w:p>
    <w:p>
      <w:pPr>
        <w:pStyle w:val="ListParagraph"/>
        <w:numPr>
          <w:ilvl w:val="0"/>
          <w:numId w:val="3"/>
        </w:numPr>
        <w:spacing w:after="60"/>
      </w:pPr>
      <w:r>
        <w:rPr>
          <w:rFonts w:ascii="Arial" w:cs="Arial" w:eastAsia="Arial" w:hAnsi="Arial"/>
          <w:sz w:val="20"/>
          <w:szCs w:val="20"/>
        </w:rPr>
        <w:t xml:space="preserve">Completion celebration: User finishes a session or capstone. Andrea marks the moment meaningfully—acknowledging specific growth, not a generic congratulation.</w:t>
      </w:r>
    </w:p>
    <w:p>
      <w:pPr>
        <w:pStyle w:val="ListParagraph"/>
        <w:numPr>
          <w:ilvl w:val="0"/>
          <w:numId w:val="3"/>
        </w:numPr>
        <w:spacing w:after="60"/>
      </w:pPr>
      <w:r>
        <w:rPr>
          <w:rFonts w:ascii="Arial" w:cs="Arial" w:eastAsia="Arial" w:hAnsi="Arial"/>
          <w:sz w:val="20"/>
          <w:szCs w:val="20"/>
        </w:rPr>
        <w:t xml:space="preserve">Value capture: User completes something that generates a value signal for the buyer (e.g., identifies a use case, builds a workflow, shares a win). Andrea reinforces this: “That use case you just identified? Your leadership team can now see the impact. Nice work.”</w:t>
      </w:r>
    </w:p>
    <w:p>
      <w:pPr>
        <w:spacing w:after="100"/>
      </w:pPr>
    </w:p>
    <w:p>
      <w:pPr>
        <w:pStyle w:val="Heading2"/>
      </w:pPr>
      <w:r>
        <w:rPr>
          <w:rFonts w:ascii="Arial" w:cs="Arial" w:eastAsia="Arial" w:hAnsi="Arial"/>
        </w:rPr>
        <w:t xml:space="preserve">Constraints</w:t>
      </w:r>
    </w:p>
    <w:p>
      <w:pPr>
        <w:pStyle w:val="ListParagraph"/>
        <w:numPr>
          <w:ilvl w:val="0"/>
          <w:numId w:val="4"/>
        </w:numPr>
        <w:spacing w:after="60"/>
      </w:pPr>
      <w:r>
        <w:rPr>
          <w:rFonts w:ascii="Arial" w:cs="Arial" w:eastAsia="Arial" w:hAnsi="Arial"/>
          <w:sz w:val="20"/>
          <w:szCs w:val="20"/>
        </w:rPr>
        <w:t xml:space="preserve">Maximum one proactive signal per session. Andrea does not pester. If multiple trigger conditions are met, she surfaces the highest-value one and queues the rest.</w:t>
      </w:r>
    </w:p>
    <w:p>
      <w:pPr>
        <w:pStyle w:val="ListParagraph"/>
        <w:numPr>
          <w:ilvl w:val="0"/>
          <w:numId w:val="4"/>
        </w:numPr>
        <w:spacing w:after="60"/>
      </w:pPr>
      <w:r>
        <w:rPr>
          <w:rFonts w:ascii="Arial" w:cs="Arial" w:eastAsia="Arial" w:hAnsi="Arial"/>
          <w:sz w:val="20"/>
          <w:szCs w:val="20"/>
        </w:rPr>
        <w:t xml:space="preserve">Never interrupts active work. If the user is mid-practice-chat (has sent a message in the last 60 seconds), Andrea waits until there is a natural pause.</w:t>
      </w:r>
    </w:p>
    <w:p>
      <w:pPr>
        <w:pStyle w:val="ListParagraph"/>
        <w:numPr>
          <w:ilvl w:val="0"/>
          <w:numId w:val="4"/>
        </w:numPr>
        <w:spacing w:after="60"/>
      </w:pPr>
      <w:r>
        <w:rPr>
          <w:rFonts w:ascii="Arial" w:cs="Arial" w:eastAsia="Arial" w:hAnsi="Arial"/>
          <w:sz w:val="20"/>
          <w:szCs w:val="20"/>
        </w:rPr>
        <w:t xml:space="preserve">Never repeats. If Andrea surfaced a trigger and the user dismissed it (closed the dock without engaging), that specific trigger does not fire again for the same context.</w:t>
      </w:r>
    </w:p>
    <w:p>
      <w:pPr>
        <w:pStyle w:val="ListParagraph"/>
        <w:numPr>
          <w:ilvl w:val="0"/>
          <w:numId w:val="4"/>
        </w:numPr>
        <w:spacing w:after="60"/>
      </w:pPr>
      <w:r>
        <w:rPr>
          <w:rFonts w:ascii="Arial" w:cs="Arial" w:eastAsia="Arial" w:hAnsi="Arial"/>
          <w:sz w:val="20"/>
          <w:szCs w:val="20"/>
        </w:rPr>
        <w:t xml:space="preserve">Profile-driven tone. Andrea’s proactive messages adapt to the user’s learning style and proficiency. A hands-on learner gets “Try this.” An explanation learner gets “Here’s why this matters.” A beginner gets encouragement. An advanced user gets a challenge.</w:t>
      </w:r>
    </w:p>
    <w:p>
      <w:pPr>
        <w:pStyle w:val="ListParagraph"/>
        <w:numPr>
          <w:ilvl w:val="0"/>
          <w:numId w:val="4"/>
        </w:numPr>
        <w:spacing w:after="60"/>
      </w:pPr>
      <w:r>
        <w:rPr>
          <w:rFonts w:ascii="Arial" w:cs="Arial" w:eastAsia="Arial" w:hAnsi="Arial"/>
          <w:sz w:val="20"/>
          <w:szCs w:val="20"/>
        </w:rPr>
        <w:t xml:space="preserve">Transparent. If the user asks Andrea why she surfaced something, she can explain the trigger honestly: “I noticed you’ve been on this module for a while without starting the practice, so I thought a different angle might help.”</w:t>
      </w:r>
    </w:p>
    <w:p>
      <w:pPr>
        <w:spacing w:after="100"/>
      </w:pPr>
    </w:p>
    <w:p>
      <w:pPr>
        <w:pStyle w:val="Heading2"/>
      </w:pPr>
      <w:r>
        <w:rPr>
          <w:rFonts w:ascii="Arial" w:cs="Arial" w:eastAsia="Arial" w:hAnsi="Arial"/>
        </w:rPr>
        <w:t xml:space="preserve">Andrea in the Leadership Portal</w:t>
      </w:r>
    </w:p>
    <w:p>
      <w:pPr>
        <w:spacing w:after="120"/>
      </w:pPr>
      <w:r>
        <w:rPr>
          <w:rFonts w:ascii="Arial" w:cs="Arial" w:eastAsia="Arial" w:hAnsi="Arial"/>
          <w:sz w:val="22"/>
          <w:szCs w:val="22"/>
        </w:rPr>
        <w:t xml:space="preserve">Andrea also operates in the Leadership Portal, but with a different persona. For leadership users, Andrea functions as an AI advisor, not a coach. Her proactive triggers in this context are:</w:t>
      </w:r>
    </w:p>
    <w:p>
      <w:pPr>
        <w:pStyle w:val="ListParagraph"/>
        <w:numPr>
          <w:ilvl w:val="0"/>
          <w:numId w:val="5"/>
        </w:numPr>
        <w:spacing w:after="60"/>
      </w:pPr>
      <w:r>
        <w:rPr>
          <w:rFonts w:ascii="Arial" w:cs="Arial" w:eastAsia="Arial" w:hAnsi="Arial"/>
          <w:sz w:val="20"/>
          <w:szCs w:val="20"/>
        </w:rPr>
        <w:t xml:space="preserve">Trend alerts: A department’s adoption metrics shifted significantly (positive or negative) in the last 7 days.</w:t>
      </w:r>
    </w:p>
    <w:p>
      <w:pPr>
        <w:pStyle w:val="ListParagraph"/>
        <w:numPr>
          <w:ilvl w:val="0"/>
          <w:numId w:val="5"/>
        </w:numPr>
        <w:spacing w:after="60"/>
      </w:pPr>
      <w:r>
        <w:rPr>
          <w:rFonts w:ascii="Arial" w:cs="Arial" w:eastAsia="Arial" w:hAnsi="Arial"/>
          <w:sz w:val="20"/>
          <w:szCs w:val="20"/>
        </w:rPr>
        <w:t xml:space="preserve">Idea pipeline: High-value use cases surfaced from the community that align with the org’s strategic priorities.</w:t>
      </w:r>
    </w:p>
    <w:p>
      <w:pPr>
        <w:pStyle w:val="ListParagraph"/>
        <w:numPr>
          <w:ilvl w:val="0"/>
          <w:numId w:val="5"/>
        </w:numPr>
        <w:spacing w:after="60"/>
      </w:pPr>
      <w:r>
        <w:rPr>
          <w:rFonts w:ascii="Arial" w:cs="Arial" w:eastAsia="Arial" w:hAnsi="Arial"/>
          <w:sz w:val="20"/>
          <w:szCs w:val="20"/>
        </w:rPr>
        <w:t xml:space="preserve">Risk signals: Compliance-related friction patterns detected across multiple users.</w:t>
      </w:r>
    </w:p>
    <w:p>
      <w:pPr>
        <w:pStyle w:val="ListParagraph"/>
        <w:numPr>
          <w:ilvl w:val="0"/>
          <w:numId w:val="5"/>
        </w:numPr>
        <w:spacing w:after="60"/>
      </w:pPr>
      <w:r>
        <w:rPr>
          <w:rFonts w:ascii="Arial" w:cs="Arial" w:eastAsia="Arial" w:hAnsi="Arial"/>
          <w:sz w:val="20"/>
          <w:szCs w:val="20"/>
        </w:rPr>
        <w:t xml:space="preserve">Narrative summaries: On-demand or periodic executive briefings that translate raw data into a narrative a C-suite can act on.</w:t>
      </w:r>
    </w:p>
    <w:p>
      <w:r>
        <w:br w:type="page"/>
      </w:r>
    </w:p>
    <w:p>
      <w:pPr>
        <w:pStyle w:val="Heading1"/>
      </w:pPr>
      <w:r>
        <w:rPr>
          <w:rFonts w:ascii="Arial" w:cs="Arial" w:eastAsia="Arial" w:hAnsi="Arial"/>
        </w:rPr>
        <w:t xml:space="preserve">4. Progressive Disclosure System</w:t>
      </w:r>
    </w:p>
    <w:p>
      <w:pPr>
        <w:spacing w:after="100"/>
      </w:pPr>
    </w:p>
    <w:p>
      <w:pPr>
        <w:spacing w:after="120"/>
      </w:pPr>
      <w:r>
        <w:rPr>
          <w:rFonts w:ascii="Arial" w:cs="Arial" w:eastAsia="Arial" w:hAnsi="Arial"/>
          <w:sz w:val="22"/>
          <w:szCs w:val="22"/>
        </w:rPr>
        <w:t xml:space="preserve">Progressive disclosure is not a UI pattern bolted on—it is a data-driven system. The user’s profile already tracks completion state, skill signals, and proficiency level. That data drives what is visible in navigation, what appears on the home view, what actions are available, and what Andrea surfaces.</w:t>
      </w:r>
    </w:p>
    <w:p>
      <w:pPr>
        <w:spacing w:after="80"/>
      </w:pPr>
    </w:p>
    <w:p>
      <w:pPr>
        <w:pStyle w:val="Heading2"/>
      </w:pPr>
      <w:r>
        <w:rPr>
          <w:rFonts w:ascii="Arial" w:cs="Arial" w:eastAsia="Arial" w:hAnsi="Arial"/>
        </w:rPr>
        <w:t xml:space="preserve">Feature Gate Rules</w:t>
      </w:r>
    </w:p>
    <w:p>
      <w:pPr>
        <w:spacing w:after="120"/>
      </w:pPr>
      <w:r>
        <w:rPr>
          <w:rFonts w:ascii="Arial" w:cs="Arial" w:eastAsia="Arial" w:hAnsi="Arial"/>
          <w:sz w:val="22"/>
          <w:szCs w:val="22"/>
        </w:rPr>
        <w:t xml:space="preserve">Every feature in SMILE has an unlock condition. If the condition is not met, the feature does not exist in the user’s interface. It is not grayed out. It is not locked with a tooltip. It simply is not there.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Unlock Condition</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Home view</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needs profiling data to personalize the experience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 zone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Core experience; always available once profiled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 zone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Settings and preferences available from day one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Prompt Library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1, Module 2 complete (CLEAR Framework)</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now understands what a good prompt is; saving prompts has context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Explore zone (nav rail)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1, Module 2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meaningful “deepen” content becomes relevant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 zone (nav rail)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practice exercise submitted</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has done real work with AI; now has context to engage with peers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Idea Tracker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1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has enough AI literacy to identify use cases worth tracking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Studio</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2, Module 2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architecture has been taught; building is now meaningful</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Workflow Studio</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3, Module 3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Workflow concepts have been taught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Elective Paths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3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Core training done; specialization is appropriate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Certificates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Any session capstone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Nothing to show until a session is fully completed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Journey visualization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1 complete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Meaningful progression data exists to visualize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 posting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practice exercise submitted</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has real experience to share; prevents empty engagement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Portal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role assigned by org admin</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Separate product surface for buyer; not progression-gated but role-gated</w:t>
            </w:r>
          </w:p>
        </w:tc>
      </w:tr>
    </w:tbl>
    <w:p>
      <w:pPr>
        <w:spacing w:after="100"/>
      </w:pPr>
    </w:p>
    <w:p>
      <w:pPr>
        <w:pStyle w:val="Heading2"/>
      </w:pPr>
      <w:r>
        <w:rPr>
          <w:rFonts w:ascii="Arial" w:cs="Arial" w:eastAsia="Arial" w:hAnsi="Arial"/>
        </w:rPr>
        <w:t xml:space="preserve">Unlock Experience</w:t>
      </w:r>
    </w:p>
    <w:p>
      <w:pPr>
        <w:spacing w:after="120"/>
      </w:pPr>
      <w:r>
        <w:rPr>
          <w:rFonts w:ascii="Arial" w:cs="Arial" w:eastAsia="Arial" w:hAnsi="Arial"/>
          <w:sz w:val="22"/>
          <w:szCs w:val="22"/>
        </w:rPr>
        <w:t xml:space="preserve">When a feature unlocks, the user receives a subtle, celebratory moment—not a modal, not a confetti animation. A new icon appears in the nav rail with a brief glow animation and a tooltip. Andrea also acknowledges it proactively (see Section 3, feature unlock trigger). This transforms the platform from “here’s everything, figure it out” to “you’re earning access to more powerful tools as you grow.”</w:t>
      </w:r>
    </w:p>
    <w:p>
      <w:r>
        <w:br w:type="page"/>
      </w:r>
    </w:p>
    <w:p>
      <w:pPr>
        <w:pStyle w:val="Heading1"/>
      </w:pPr>
      <w:r>
        <w:rPr>
          <w:rFonts w:ascii="Arial" w:cs="Arial" w:eastAsia="Arial" w:hAnsi="Arial"/>
        </w:rPr>
        <w:t xml:space="preserve">5. Page Composition Rules</w:t>
      </w:r>
    </w:p>
    <w:p>
      <w:pPr>
        <w:spacing w:after="100"/>
      </w:pPr>
    </w:p>
    <w:p>
      <w:pPr>
        <w:spacing w:after="120"/>
      </w:pPr>
      <w:r>
        <w:rPr>
          <w:rFonts w:ascii="Arial" w:cs="Arial" w:eastAsia="Arial" w:hAnsi="Arial"/>
          <w:sz w:val="22"/>
          <w:szCs w:val="22"/>
        </w:rPr>
        <w:t xml:space="preserve">These rules apply to every view in SMILE. They are not suggestions. If a view violates these constraints, it needs to be redesigned before it 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Max sections per view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If a view has more than 3 distinct content sections visible simultaneously, it needs to be split or use tabs to separate concerns.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Max primary CTAs per view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Every view has exactly one primary action. All other actions are secondary (outlined) or tertiary (text/ghost). If there are two things competing for the primary button, the view is trying to do two jobs.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Max simultaneous modals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Only one modal or overlay can be open at a time. No stacking.</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Max colors per view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Primary, accent, 1 semantic status color (green/amber/red as needed), plus neutrals. No view should use more than 4 non-neutral colors.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Typography scale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 sizes maximum in any view: heading (24px), subheading (18px), body (14px), caption (12px). No intermediate sizes.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Card usage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Cards are containers for a single concept. A card does not contain sub-cards. A card has at most 1 action. Cards in a grid are visually equal weight.</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Notification pattern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pattern. All notifications, suggestions, and contextual prompts use a single component: a subtle inline indicator that expands on interaction.</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Empty states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view must have a designed empty state. Each includes a clear explanation and, where applicable, a single action to get started.</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Loading states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Skeleton screens, never spinners. Content areas show placeholder shapes that match the expected layout.</w:t>
            </w:r>
          </w:p>
        </w:tc>
      </w:tr>
    </w:tbl>
    <w:p>
      <w:r>
        <w:br w:type="page"/>
      </w:r>
    </w:p>
    <w:p>
      <w:pPr>
        <w:pStyle w:val="Heading1"/>
      </w:pPr>
      <w:r>
        <w:rPr>
          <w:rFonts w:ascii="Arial" w:cs="Arial" w:eastAsia="Arial" w:hAnsi="Arial"/>
        </w:rPr>
        <w:t xml:space="preserve">6. View Specifications</w:t>
      </w:r>
    </w:p>
    <w:p>
      <w:pPr>
        <w:spacing w:after="100"/>
      </w:pPr>
    </w:p>
    <w:p>
      <w:pPr>
        <w:pStyle w:val="Heading2"/>
      </w:pPr>
      <w:r>
        <w:rPr>
          <w:rFonts w:ascii="Arial" w:cs="Arial" w:eastAsia="Arial" w:hAnsi="Arial"/>
        </w:rPr>
        <w:t xml:space="preserve">6A. Home View (Learner)</w:t>
      </w:r>
    </w:p>
    <w:p>
      <w:pPr>
        <w:spacing w:after="120"/>
      </w:pPr>
      <w:r>
        <w:rPr>
          <w:rFonts w:ascii="Arial" w:cs="Arial" w:eastAsia="Arial" w:hAnsi="Arial"/>
          <w:sz w:val="22"/>
          <w:szCs w:val="22"/>
        </w:rPr>
        <w:t xml:space="preserve">The home view has one job: answer “What should I do next?” Its content adapts entirely based on the user’s progression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State</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Home View Shows</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CTA</w:t>
            </w:r>
          </w:p>
        </w:tc>
      </w:tr>
      <w:tr>
        <w:tc>
          <w:tcPr>
            <w:tcW w:type="dxa" w:w="2200"/>
            <w:tcBorders>
              <w:top w:val="single" w:color="D1D5DB" w:sz="1"/>
              <w:left w:val="single" w:color="D1D5DB" w:sz="1"/>
              <w:bottom w:val="single" w:color="D1D5DB" w:sz="1"/>
              <w:right w:val="single" w:color="D1D5DB" w:sz="1"/>
            </w:tcBorders>
            <w:shd w:fill="D5F5E3" w:val="clear"/>
            <w:tcMar>
              <w:top w:type="dxa" w:w="80"/>
              <w:left w:type="dxa" w:w="120"/>
              <w:bottom w:type="dxa" w:w="80"/>
              <w:right w:type="dxa" w:w="120"/>
            </w:tcMar>
          </w:tcPr>
          <w:p>
            <w:r>
              <w:rPr>
                <w:rFonts w:ascii="Arial" w:cs="Arial" w:eastAsia="Arial" w:hAnsi="Arial"/>
                <w:sz w:val="20"/>
                <w:szCs w:val="20"/>
              </w:rPr>
              <w:t xml:space="preserve">Brand new</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Welcome message from Andrea, Session 1 card with description and estimated time, brief orientation paragraph (2–3 sentences, not a tour)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“Begin Session 1”</w:t>
            </w:r>
          </w:p>
        </w:tc>
      </w:tr>
      <w:tr>
        <w:tc>
          <w:tcPr>
            <w:tcW w:type="dxa" w:w="2200"/>
            <w:tcBorders>
              <w:top w:val="single" w:color="D1D5DB" w:sz="1"/>
              <w:left w:val="single" w:color="D1D5DB" w:sz="1"/>
              <w:bottom w:val="single" w:color="D1D5DB" w:sz="1"/>
              <w:right w:val="single" w:color="D1D5DB" w:sz="1"/>
            </w:tcBorders>
            <w:shd w:fill="D6EAF8" w:val="clear"/>
            <w:tcMar>
              <w:top w:type="dxa" w:w="80"/>
              <w:left w:type="dxa" w:w="120"/>
              <w:bottom w:type="dxa" w:w="80"/>
              <w:right w:type="dxa" w:w="120"/>
            </w:tcMar>
          </w:tcPr>
          <w:p>
            <w:r>
              <w:rPr>
                <w:rFonts w:ascii="Arial" w:cs="Arial" w:eastAsia="Arial" w:hAnsi="Arial"/>
                <w:sz w:val="20"/>
                <w:szCs w:val="20"/>
              </w:rPr>
              <w:t xml:space="preserve">Mid-session</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Current module card with title and progress, brief Andrea prompt (“Ready to pick up where you left off?”), session progress bar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“Continue”</w:t>
            </w:r>
          </w:p>
        </w:tc>
      </w:tr>
      <w:tr>
        <w:tc>
          <w:tcPr>
            <w:tcW w:type="dxa" w:w="2200"/>
            <w:tcBorders>
              <w:top w:val="single" w:color="D1D5DB" w:sz="1"/>
              <w:left w:val="single" w:color="D1D5DB" w:sz="1"/>
              <w:bottom w:val="single" w:color="D1D5DB" w:sz="1"/>
              <w:right w:val="single" w:color="D1D5DB" w:sz="1"/>
            </w:tcBorders>
            <w:shd w:fill="E8DAEF" w:val="clear"/>
            <w:tcMar>
              <w:top w:type="dxa" w:w="80"/>
              <w:left w:type="dxa" w:w="120"/>
              <w:bottom w:type="dxa" w:w="80"/>
              <w:right w:type="dxa" w:w="120"/>
            </w:tcMar>
          </w:tcPr>
          <w:p>
            <w:r>
              <w:rPr>
                <w:rFonts w:ascii="Arial" w:cs="Arial" w:eastAsia="Arial" w:hAnsi="Arial"/>
                <w:sz w:val="20"/>
                <w:szCs w:val="20"/>
              </w:rPr>
              <w:t xml:space="preserve">Between sessions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Completion celebration (compact), next session card, recent community highlight (one item, if unlocked)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“Start Session [N]”</w:t>
            </w:r>
          </w:p>
        </w:tc>
      </w:tr>
      <w:tr>
        <w:tc>
          <w:tcPr>
            <w:tcW w:type="dxa" w:w="2200"/>
            <w:tcBorders>
              <w:top w:val="single" w:color="D1D5DB" w:sz="1"/>
              <w:left w:val="single" w:color="D1D5DB" w:sz="1"/>
              <w:bottom w:val="single" w:color="D1D5DB" w:sz="1"/>
              <w:right w:val="single" w:color="D1D5DB" w:sz="1"/>
            </w:tcBorders>
            <w:shd w:fill="F9E79F" w:val="clear"/>
            <w:tcMar>
              <w:top w:type="dxa" w:w="80"/>
              <w:left w:type="dxa" w:w="120"/>
              <w:bottom w:type="dxa" w:w="80"/>
              <w:right w:type="dxa" w:w="120"/>
            </w:tcMar>
          </w:tcPr>
          <w:p>
            <w:r>
              <w:rPr>
                <w:rFonts w:ascii="Arial" w:cs="Arial" w:eastAsia="Arial" w:hAnsi="Arial"/>
                <w:sz w:val="20"/>
                <w:szCs w:val="20"/>
              </w:rPr>
              <w:t xml:space="preserve">All complete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Achievement summary, elective paths available, community feed preview, Andrea’s suggestion for next growth area</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“Explore Electives” or “Visit Community”</w:t>
            </w:r>
          </w:p>
        </w:tc>
      </w:tr>
    </w:tbl>
    <w:p>
      <w:pPr>
        <w:spacing w:after="80"/>
      </w:pPr>
    </w:p>
    <w:p>
      <w:pPr>
        <w:spacing w:after="120"/>
      </w:pPr>
      <w:r>
        <w:rPr>
          <w:rFonts w:ascii="Arial" w:cs="Arial" w:eastAsia="Arial" w:hAnsi="Arial"/>
          <w:b/>
          <w:bCs/>
          <w:sz w:val="22"/>
          <w:szCs w:val="22"/>
        </w:rPr>
        <w:t xml:space="preserve">What is NOT on the home view: </w:t>
      </w:r>
      <w:r>
        <w:rPr>
          <w:rFonts w:ascii="Arial" w:cs="Arial" w:eastAsia="Arial" w:hAnsi="Arial"/>
          <w:sz w:val="22"/>
          <w:szCs w:val="22"/>
        </w:rPr>
        <w:t xml:space="preserve">events calendar, agents list, live session thumbnails, org policies, brainstorm panel, skill badges, profile summary card, prompt library shortcuts, certificate links. All of these live in their respective zones.</w:t>
      </w:r>
    </w:p>
    <w:p>
      <w:pPr>
        <w:spacing w:after="150"/>
      </w:pPr>
    </w:p>
    <w:p>
      <w:pPr>
        <w:pStyle w:val="Heading2"/>
      </w:pPr>
      <w:r>
        <w:rPr>
          <w:rFonts w:ascii="Arial" w:cs="Arial" w:eastAsia="Arial" w:hAnsi="Arial"/>
        </w:rPr>
        <w:t xml:space="preserve">6B. Leadership Portal</w:t>
      </w:r>
    </w:p>
    <w:p>
      <w:pPr>
        <w:spacing w:after="120"/>
      </w:pPr>
      <w:r>
        <w:rPr>
          <w:rFonts w:ascii="Arial" w:cs="Arial" w:eastAsia="Arial" w:hAnsi="Arial"/>
          <w:sz w:val="22"/>
          <w:szCs w:val="22"/>
        </w:rPr>
        <w:t xml:space="preserve">The Leadership Portal is a separate product surface for organizational buyers. It is not an admin panel with charts—it is a board-ready intelligence tool that answers three questions: “Is this investment working?”, “Where is the value?”, and “What should we do next?”</w:t>
      </w:r>
    </w:p>
    <w:p>
      <w:pPr>
        <w:spacing w:after="60"/>
      </w:pPr>
    </w:p>
    <w:p>
      <w:pPr>
        <w:spacing w:after="120"/>
      </w:pPr>
      <w:r>
        <w:rPr>
          <w:rFonts w:ascii="Arial" w:cs="Arial" w:eastAsia="Arial" w:hAnsi="Arial"/>
          <w:sz w:val="22"/>
          <w:szCs w:val="22"/>
        </w:rPr>
        <w:t xml:space="preserve">The design language is distinct from the learner experience. Think Datadog, Amplitude, or a premium analytics product: metric-forward, narrative-driven, clean. No training-related UI patterns (progress bars, module lists, practice chats) appear here. This is an executive tool.</w:t>
      </w:r>
    </w:p>
    <w:p>
      <w:pPr>
        <w:spacing w:after="80"/>
      </w:pPr>
    </w:p>
    <w:p>
      <w:pPr>
        <w:pStyle w:val="Heading3"/>
      </w:pPr>
      <w:r>
        <w:rPr>
          <w:rFonts w:ascii="Arial" w:cs="Arial" w:eastAsia="Arial" w:hAnsi="Arial"/>
        </w:rPr>
        <w:t xml:space="preserve">Value Overview (Default Landing)</w:t>
      </w:r>
    </w:p>
    <w:p>
      <w:pPr>
        <w:spacing w:after="120"/>
      </w:pPr>
      <w:r>
        <w:rPr>
          <w:rFonts w:ascii="Arial" w:cs="Arial" w:eastAsia="Arial" w:hAnsi="Arial"/>
          <w:sz w:val="22"/>
          <w:szCs w:val="22"/>
        </w:rPr>
        <w:t xml:space="preserve">The first thing a leadership user sees when entering the portal. Three sections maximum:</w:t>
      </w:r>
    </w:p>
    <w:p>
      <w:pPr>
        <w:pStyle w:val="ListParagraph"/>
        <w:numPr>
          <w:ilvl w:val="0"/>
          <w:numId w:val="6"/>
        </w:numPr>
        <w:spacing w:after="60"/>
      </w:pPr>
      <w:r>
        <w:rPr>
          <w:rFonts w:ascii="Arial" w:cs="Arial" w:eastAsia="Arial" w:hAnsi="Arial"/>
          <w:sz w:val="20"/>
          <w:szCs w:val="20"/>
        </w:rPr>
        <w:t xml:space="preserve">Executive Summary: An AI-generated narrative (2–3 paragraphs) that synthesizes the current state of AI enablement across the org. Written in the language of business impact, not training metrics. Example: “47 employees have completed foundational training. Early adopters in commercial lending have identified 12 use cases, 3 of which are estimated to save 15+ hours/week collectively. Compliance awareness scores are 92% across all participants.” This narrative updates weekly and can be exported as a PDF for board distribution.</w:t>
      </w:r>
    </w:p>
    <w:p>
      <w:pPr>
        <w:pStyle w:val="ListParagraph"/>
        <w:numPr>
          <w:ilvl w:val="0"/>
          <w:numId w:val="6"/>
        </w:numPr>
        <w:spacing w:after="60"/>
      </w:pPr>
      <w:r>
        <w:rPr>
          <w:rFonts w:ascii="Arial" w:cs="Arial" w:eastAsia="Arial" w:hAnsi="Arial"/>
          <w:sz w:val="20"/>
          <w:szCs w:val="20"/>
        </w:rPr>
        <w:t xml:space="preserve">Key Metrics (4 max): Time-to-first-value (median days from onboarding to first productive AI interaction), active engagement rate (% of enrolled users who interacted in last 7 days), use case pipeline (total ideas identified, categorized by status), and a configurable org-specific metric (the org chooses what matters most to them: cost savings, time saved, risk reduction, etc.).</w:t>
      </w:r>
    </w:p>
    <w:p>
      <w:pPr>
        <w:pStyle w:val="ListParagraph"/>
        <w:numPr>
          <w:ilvl w:val="0"/>
          <w:numId w:val="6"/>
        </w:numPr>
        <w:spacing w:after="60"/>
      </w:pPr>
      <w:r>
        <w:rPr>
          <w:rFonts w:ascii="Arial" w:cs="Arial" w:eastAsia="Arial" w:hAnsi="Arial"/>
          <w:sz w:val="20"/>
          <w:szCs w:val="20"/>
        </w:rPr>
        <w:t xml:space="preserve">Trend Indicator: A simple directional signal—is the overall program trending positive, flat, or declining? Based on a composite of engagement, progression, and value capture signals over 30 days.</w:t>
      </w:r>
    </w:p>
    <w:p>
      <w:pPr>
        <w:spacing w:after="80"/>
      </w:pPr>
    </w:p>
    <w:p>
      <w:pPr>
        <w:pStyle w:val="Heading3"/>
      </w:pPr>
      <w:r>
        <w:rPr>
          <w:rFonts w:ascii="Arial" w:cs="Arial" w:eastAsia="Arial" w:hAnsi="Arial"/>
        </w:rPr>
        <w:t xml:space="preserve">People View</w:t>
      </w:r>
    </w:p>
    <w:p>
      <w:pPr>
        <w:pStyle w:val="ListParagraph"/>
        <w:numPr>
          <w:ilvl w:val="0"/>
          <w:numId w:val="7"/>
        </w:numPr>
        <w:spacing w:after="60"/>
      </w:pPr>
      <w:r>
        <w:rPr>
          <w:rFonts w:ascii="Arial" w:cs="Arial" w:eastAsia="Arial" w:hAnsi="Arial"/>
          <w:sz w:val="20"/>
          <w:szCs w:val="20"/>
        </w:rPr>
        <w:t xml:space="preserve">Department/team heatmap: Which teams are adopting, which are stalled, which are leading. Color-coded, click to drill down.</w:t>
      </w:r>
    </w:p>
    <w:p>
      <w:pPr>
        <w:pStyle w:val="ListParagraph"/>
        <w:numPr>
          <w:ilvl w:val="0"/>
          <w:numId w:val="7"/>
        </w:numPr>
        <w:spacing w:after="60"/>
      </w:pPr>
      <w:r>
        <w:rPr>
          <w:rFonts w:ascii="Arial" w:cs="Arial" w:eastAsia="Arial" w:hAnsi="Arial"/>
          <w:sz w:val="20"/>
          <w:szCs w:val="20"/>
        </w:rPr>
        <w:t xml:space="preserve">Individual progression summaries: Not module-by-module detail—skill signal aggregation. “This person has developed proficiency in context setting, iteration, and compliance. They’re emerging in agent design.”</w:t>
      </w:r>
    </w:p>
    <w:p>
      <w:pPr>
        <w:pStyle w:val="ListParagraph"/>
        <w:numPr>
          <w:ilvl w:val="0"/>
          <w:numId w:val="7"/>
        </w:numPr>
        <w:spacing w:after="60"/>
      </w:pPr>
      <w:r>
        <w:rPr>
          <w:rFonts w:ascii="Arial" w:cs="Arial" w:eastAsia="Arial" w:hAnsi="Arial"/>
          <w:sz w:val="20"/>
          <w:szCs w:val="20"/>
        </w:rPr>
        <w:t xml:space="preserve">At-risk indicators: Users who onboarded but stalled, users who completed training but show no post-training engagement, teams with low participation. These are surfaced as actionable items, not just red flags.</w:t>
      </w:r>
    </w:p>
    <w:p>
      <w:pPr>
        <w:spacing w:after="80"/>
      </w:pPr>
    </w:p>
    <w:p>
      <w:pPr>
        <w:pStyle w:val="Heading3"/>
      </w:pPr>
      <w:r>
        <w:rPr>
          <w:rFonts w:ascii="Arial" w:cs="Arial" w:eastAsia="Arial" w:hAnsi="Arial"/>
        </w:rPr>
        <w:t xml:space="preserve">Intelligence View</w:t>
      </w:r>
    </w:p>
    <w:p>
      <w:pPr>
        <w:spacing w:after="120"/>
      </w:pPr>
      <w:r>
        <w:rPr>
          <w:rFonts w:ascii="Arial" w:cs="Arial" w:eastAsia="Arial" w:hAnsi="Arial"/>
          <w:sz w:val="22"/>
          <w:szCs w:val="22"/>
        </w:rPr>
        <w:t xml:space="preserve">This is where SMILE differentiates from every LMS on the market. The Intelligence view surfaces organizational knowledge that was generated as a byproduct of the enablement process:</w:t>
      </w:r>
    </w:p>
    <w:p>
      <w:pPr>
        <w:pStyle w:val="ListParagraph"/>
        <w:numPr>
          <w:ilvl w:val="0"/>
          <w:numId w:val="8"/>
        </w:numPr>
        <w:spacing w:after="60"/>
      </w:pPr>
      <w:r>
        <w:rPr>
          <w:rFonts w:ascii="Arial" w:cs="Arial" w:eastAsia="Arial" w:hAnsi="Arial"/>
          <w:sz w:val="20"/>
          <w:szCs w:val="20"/>
        </w:rPr>
        <w:t xml:space="preserve">Idea Pipeline: Use cases identified by staff during training and community activity, categorized by department, estimated impact, and status (identified, under evaluation, piloted, deployed). Leadership can promote ideas, assign owners, or flag for strategic review.</w:t>
      </w:r>
    </w:p>
    <w:p>
      <w:pPr>
        <w:pStyle w:val="ListParagraph"/>
        <w:numPr>
          <w:ilvl w:val="0"/>
          <w:numId w:val="8"/>
        </w:numPr>
        <w:spacing w:after="60"/>
      </w:pPr>
      <w:r>
        <w:rPr>
          <w:rFonts w:ascii="Arial" w:cs="Arial" w:eastAsia="Arial" w:hAnsi="Arial"/>
          <w:sz w:val="20"/>
          <w:szCs w:val="20"/>
        </w:rPr>
        <w:t xml:space="preserve">Friction Patterns: Common limitations, tool failures, or workflow blockers reported by users. Aggregated and ranked by frequency and severity. This tells leadership where AI adoption is hitting walls—and often reveals process or policy issues, not just tool issues.</w:t>
      </w:r>
    </w:p>
    <w:p>
      <w:pPr>
        <w:pStyle w:val="ListParagraph"/>
        <w:numPr>
          <w:ilvl w:val="0"/>
          <w:numId w:val="8"/>
        </w:numPr>
        <w:spacing w:after="60"/>
      </w:pPr>
      <w:r>
        <w:rPr>
          <w:rFonts w:ascii="Arial" w:cs="Arial" w:eastAsia="Arial" w:hAnsi="Arial"/>
          <w:sz w:val="20"/>
          <w:szCs w:val="20"/>
        </w:rPr>
        <w:t xml:space="preserve">Policy &amp; Compliance Signals: Data captured passively during training about how users interact with compliance-related content. Do they pass gate modules on first try? Do they struggle with data security scenarios? This feeds into risk management without requiring a separate audit process.</w:t>
      </w:r>
    </w:p>
    <w:p>
      <w:pPr>
        <w:pStyle w:val="ListParagraph"/>
        <w:numPr>
          <w:ilvl w:val="0"/>
          <w:numId w:val="8"/>
        </w:numPr>
        <w:spacing w:after="60"/>
      </w:pPr>
      <w:r>
        <w:rPr>
          <w:rFonts w:ascii="Arial" w:cs="Arial" w:eastAsia="Arial" w:hAnsi="Arial"/>
          <w:sz w:val="20"/>
          <w:szCs w:val="20"/>
        </w:rPr>
        <w:t xml:space="preserve">Community Intelligence: Top discussions, most-shared wins, emerging best practices. Curated by relevance, not just recency. Andrea (in advisor mode) can summarize trends for leadership on demand.</w:t>
      </w:r>
    </w:p>
    <w:p>
      <w:pPr>
        <w:spacing w:after="80"/>
      </w:pPr>
    </w:p>
    <w:p>
      <w:pPr>
        <w:pStyle w:val="Heading3"/>
      </w:pPr>
      <w:r>
        <w:rPr>
          <w:rFonts w:ascii="Arial" w:cs="Arial" w:eastAsia="Arial" w:hAnsi="Arial"/>
        </w:rPr>
        <w:t xml:space="preserve">Design Constraints for Leadership Portal</w:t>
      </w:r>
    </w:p>
    <w:p>
      <w:pPr>
        <w:pStyle w:val="ListParagraph"/>
        <w:numPr>
          <w:ilvl w:val="0"/>
          <w:numId w:val="9"/>
        </w:numPr>
        <w:spacing w:after="60"/>
      </w:pPr>
      <w:r>
        <w:rPr>
          <w:rFonts w:ascii="Arial" w:cs="Arial" w:eastAsia="Arial" w:hAnsi="Arial"/>
          <w:sz w:val="20"/>
          <w:szCs w:val="20"/>
        </w:rPr>
        <w:t xml:space="preserve">No training UI patterns. No progress bars, no module lists, no practice chats. This is an analytics and intelligence surface.</w:t>
      </w:r>
    </w:p>
    <w:p>
      <w:pPr>
        <w:pStyle w:val="ListParagraph"/>
        <w:numPr>
          <w:ilvl w:val="0"/>
          <w:numId w:val="9"/>
        </w:numPr>
        <w:spacing w:after="60"/>
      </w:pPr>
      <w:r>
        <w:rPr>
          <w:rFonts w:ascii="Arial" w:cs="Arial" w:eastAsia="Arial" w:hAnsi="Arial"/>
          <w:sz w:val="20"/>
          <w:szCs w:val="20"/>
        </w:rPr>
        <w:t xml:space="preserve">Export-first. Every view must be exportable as a clean PDF or slide-ready format. Leadership users take this data to board meetings and strategy sessions.</w:t>
      </w:r>
    </w:p>
    <w:p>
      <w:pPr>
        <w:pStyle w:val="ListParagraph"/>
        <w:numPr>
          <w:ilvl w:val="0"/>
          <w:numId w:val="9"/>
        </w:numPr>
        <w:spacing w:after="60"/>
      </w:pPr>
      <w:r>
        <w:rPr>
          <w:rFonts w:ascii="Arial" w:cs="Arial" w:eastAsia="Arial" w:hAnsi="Arial"/>
          <w:sz w:val="20"/>
          <w:szCs w:val="20"/>
        </w:rPr>
        <w:t xml:space="preserve">Narrative over numbers. Raw metrics are always accompanied by an AI-generated contextual interpretation. A number without context is noise.</w:t>
      </w:r>
    </w:p>
    <w:p>
      <w:pPr>
        <w:pStyle w:val="ListParagraph"/>
        <w:numPr>
          <w:ilvl w:val="0"/>
          <w:numId w:val="9"/>
        </w:numPr>
        <w:spacing w:after="60"/>
      </w:pPr>
      <w:r>
        <w:rPr>
          <w:rFonts w:ascii="Arial" w:cs="Arial" w:eastAsia="Arial" w:hAnsi="Arial"/>
          <w:sz w:val="20"/>
          <w:szCs w:val="20"/>
        </w:rPr>
        <w:t xml:space="preserve">Configurable by org. Each organization can define which metrics matter most to them. SMILE provides the framework; the org provides the priorities.</w:t>
      </w:r>
    </w:p>
    <w:p>
      <w:pPr>
        <w:pStyle w:val="ListParagraph"/>
        <w:numPr>
          <w:ilvl w:val="0"/>
          <w:numId w:val="9"/>
        </w:numPr>
        <w:spacing w:after="60"/>
      </w:pPr>
      <w:r>
        <w:rPr>
          <w:rFonts w:ascii="Arial" w:cs="Arial" w:eastAsia="Arial" w:hAnsi="Arial"/>
          <w:sz w:val="20"/>
          <w:szCs w:val="20"/>
        </w:rPr>
        <w:t xml:space="preserve">Andrea as advisor. In the Leadership Portal, Andrea shifts from coach to advisor. She answers questions about the data, generates briefings, and proactively surfaces trend alerts (see Section 3).</w:t>
      </w:r>
    </w:p>
    <w:p>
      <w:pPr>
        <w:spacing w:after="150"/>
      </w:pPr>
    </w:p>
    <w:p>
      <w:pPr>
        <w:pStyle w:val="Heading2"/>
      </w:pPr>
      <w:r>
        <w:rPr>
          <w:rFonts w:ascii="Arial" w:cs="Arial" w:eastAsia="Arial" w:hAnsi="Arial"/>
        </w:rPr>
        <w:t xml:space="preserve">6C. Learn View (Training Workspace)</w:t>
      </w:r>
    </w:p>
    <w:p>
      <w:pPr>
        <w:spacing w:after="120"/>
      </w:pPr>
      <w:r>
        <w:rPr>
          <w:rFonts w:ascii="Arial" w:cs="Arial" w:eastAsia="Arial" w:hAnsi="Arial"/>
          <w:sz w:val="22"/>
          <w:szCs w:val="22"/>
        </w:rPr>
        <w:t xml:space="preserve">The Learn view operates in two modes with an explicit toggle.</w:t>
      </w:r>
    </w:p>
    <w:p>
      <w:pPr>
        <w:spacing w:after="80"/>
      </w:pPr>
    </w:p>
    <w:p>
      <w:pPr>
        <w:pStyle w:val="Heading3"/>
      </w:pPr>
      <w:r>
        <w:rPr>
          <w:rFonts w:ascii="Arial" w:cs="Arial" w:eastAsia="Arial" w:hAnsi="Arial"/>
        </w:rPr>
        <w:t xml:space="preserve">Learn Mode</w:t>
      </w:r>
    </w:p>
    <w:p>
      <w:pPr>
        <w:pStyle w:val="ListParagraph"/>
        <w:numPr>
          <w:ilvl w:val="0"/>
          <w:numId w:val="10"/>
        </w:numPr>
        <w:spacing w:after="60"/>
      </w:pPr>
      <w:r>
        <w:rPr>
          <w:rFonts w:ascii="Arial" w:cs="Arial" w:eastAsia="Arial" w:hAnsi="Arial"/>
          <w:sz w:val="20"/>
          <w:szCs w:val="20"/>
        </w:rPr>
        <w:t xml:space="preserve">Content area (left, 65% width): Module content rendered as a well-typeset article. Scrollable. No modals.</w:t>
      </w:r>
    </w:p>
    <w:p>
      <w:pPr>
        <w:pStyle w:val="ListParagraph"/>
        <w:numPr>
          <w:ilvl w:val="0"/>
          <w:numId w:val="10"/>
        </w:numPr>
        <w:spacing w:after="60"/>
      </w:pPr>
      <w:r>
        <w:rPr>
          <w:rFonts w:ascii="Arial" w:cs="Arial" w:eastAsia="Arial" w:hAnsi="Arial"/>
          <w:sz w:val="20"/>
          <w:szCs w:val="20"/>
        </w:rPr>
        <w:t xml:space="preserve">Andrea panel (right, 35% width): Contextual coaching. Knows which module the user is viewing. Offers guidance, hints, and connections to previous learning.</w:t>
      </w:r>
    </w:p>
    <w:p>
      <w:pPr>
        <w:pStyle w:val="ListParagraph"/>
        <w:numPr>
          <w:ilvl w:val="0"/>
          <w:numId w:val="10"/>
        </w:numPr>
        <w:spacing w:after="60"/>
      </w:pPr>
      <w:r>
        <w:rPr>
          <w:rFonts w:ascii="Arial" w:cs="Arial" w:eastAsia="Arial" w:hAnsi="Arial"/>
          <w:sz w:val="20"/>
          <w:szCs w:val="20"/>
        </w:rPr>
        <w:t xml:space="preserve">Module progress strip (top): Compact step indicator showing all modules in the current session as dots/pills. Current module highlighted. Clickable to navigate. Replaces the full sidebar.</w:t>
      </w:r>
    </w:p>
    <w:p>
      <w:pPr>
        <w:spacing w:after="80"/>
      </w:pPr>
    </w:p>
    <w:p>
      <w:pPr>
        <w:pStyle w:val="Heading3"/>
      </w:pPr>
      <w:r>
        <w:rPr>
          <w:rFonts w:ascii="Arial" w:cs="Arial" w:eastAsia="Arial" w:hAnsi="Arial"/>
        </w:rPr>
        <w:t xml:space="preserve">Practice Mode</w:t>
      </w:r>
    </w:p>
    <w:p>
      <w:pPr>
        <w:pStyle w:val="ListParagraph"/>
        <w:numPr>
          <w:ilvl w:val="0"/>
          <w:numId w:val="11"/>
        </w:numPr>
        <w:spacing w:after="60"/>
      </w:pPr>
      <w:r>
        <w:rPr>
          <w:rFonts w:ascii="Arial" w:cs="Arial" w:eastAsia="Arial" w:hAnsi="Arial"/>
          <w:sz w:val="20"/>
          <w:szCs w:val="20"/>
        </w:rPr>
        <w:t xml:space="preserve">Chat interface takes full width. The user is practicing with AI, and the practice conversation is the primary focus.</w:t>
      </w:r>
    </w:p>
    <w:p>
      <w:pPr>
        <w:pStyle w:val="ListParagraph"/>
        <w:numPr>
          <w:ilvl w:val="0"/>
          <w:numId w:val="11"/>
        </w:numPr>
        <w:spacing w:after="60"/>
      </w:pPr>
      <w:r>
        <w:rPr>
          <w:rFonts w:ascii="Arial" w:cs="Arial" w:eastAsia="Arial" w:hAnsi="Arial"/>
          <w:sz w:val="20"/>
          <w:szCs w:val="20"/>
        </w:rPr>
        <w:t xml:space="preserve">Andrea shifts to inline coaching—her feedback and suggestions appear as clearly-delineated messages within the conversation flow, not in a separate panel. Visually distinct from user and AI messages (different background color, “Andrea” label).</w:t>
      </w:r>
    </w:p>
    <w:p>
      <w:pPr>
        <w:pStyle w:val="ListParagraph"/>
        <w:numPr>
          <w:ilvl w:val="0"/>
          <w:numId w:val="11"/>
        </w:numPr>
        <w:spacing w:after="60"/>
      </w:pPr>
      <w:r>
        <w:rPr>
          <w:rFonts w:ascii="Arial" w:cs="Arial" w:eastAsia="Arial" w:hAnsi="Arial"/>
          <w:sz w:val="20"/>
          <w:szCs w:val="20"/>
        </w:rPr>
        <w:t xml:space="preserve">Task context is a collapsible header at the top: scenario description, success criteria. Collapses after the user sends their first message to maximize chat space.</w:t>
      </w:r>
    </w:p>
    <w:p>
      <w:pPr>
        <w:spacing w:after="80"/>
      </w:pPr>
    </w:p>
    <w:p>
      <w:pPr>
        <w:pStyle w:val="Heading3"/>
      </w:pPr>
      <w:r>
        <w:rPr>
          <w:rFonts w:ascii="Arial" w:cs="Arial" w:eastAsia="Arial" w:hAnsi="Arial"/>
        </w:rPr>
        <w:t xml:space="preserve">Andrea’s Coaching Behavior (Both Modes)</w:t>
      </w:r>
    </w:p>
    <w:p>
      <w:pPr>
        <w:pStyle w:val="ListParagraph"/>
        <w:numPr>
          <w:ilvl w:val="0"/>
          <w:numId w:val="12"/>
        </w:numPr>
        <w:spacing w:after="60"/>
      </w:pPr>
      <w:r>
        <w:rPr>
          <w:rFonts w:ascii="Arial" w:cs="Arial" w:eastAsia="Arial" w:hAnsi="Arial"/>
          <w:sz w:val="20"/>
          <w:szCs w:val="20"/>
        </w:rPr>
        <w:t xml:space="preserve">One suggestion type at a time. If Andrea has a memory suggestion, a prompt save suggestion, and a feedback scorecard, she surfaces the most relevant one. The others wait.</w:t>
      </w:r>
    </w:p>
    <w:p>
      <w:pPr>
        <w:pStyle w:val="ListParagraph"/>
        <w:numPr>
          <w:ilvl w:val="0"/>
          <w:numId w:val="12"/>
        </w:numPr>
        <w:spacing w:after="60"/>
      </w:pPr>
      <w:r>
        <w:rPr>
          <w:rFonts w:ascii="Arial" w:cs="Arial" w:eastAsia="Arial" w:hAnsi="Arial"/>
          <w:sz w:val="20"/>
          <w:szCs w:val="20"/>
        </w:rPr>
        <w:t xml:space="preserve">Suggestions use a single, consistent component: a subtle inline card with one action.</w:t>
      </w:r>
    </w:p>
    <w:p>
      <w:pPr>
        <w:pStyle w:val="ListParagraph"/>
        <w:numPr>
          <w:ilvl w:val="0"/>
          <w:numId w:val="12"/>
        </w:numPr>
        <w:spacing w:after="60"/>
      </w:pPr>
      <w:r>
        <w:rPr>
          <w:rFonts w:ascii="Arial" w:cs="Arial" w:eastAsia="Arial" w:hAnsi="Arial"/>
          <w:sz w:val="20"/>
          <w:szCs w:val="20"/>
        </w:rPr>
        <w:t xml:space="preserve">Structured feedback (scorecards) appear only when the user submits for review, not on every message.</w:t>
      </w:r>
    </w:p>
    <w:p>
      <w:pPr>
        <w:pStyle w:val="ListParagraph"/>
        <w:numPr>
          <w:ilvl w:val="0"/>
          <w:numId w:val="12"/>
        </w:numPr>
        <w:spacing w:after="60"/>
      </w:pPr>
      <w:r>
        <w:rPr>
          <w:rFonts w:ascii="Arial" w:cs="Arial" w:eastAsia="Arial" w:hAnsi="Arial"/>
          <w:sz w:val="20"/>
          <w:szCs w:val="20"/>
        </w:rPr>
        <w:t xml:space="preserve">Quick actions (“Review my work,” “Show example,” “Get hint”) remain—these are the best UX pattern in the current app and should be preserved.</w:t>
      </w:r>
    </w:p>
    <w:p>
      <w:pPr>
        <w:spacing w:after="150"/>
      </w:pPr>
    </w:p>
    <w:p>
      <w:pPr>
        <w:pStyle w:val="Heading2"/>
      </w:pPr>
      <w:r>
        <w:rPr>
          <w:rFonts w:ascii="Arial" w:cs="Arial" w:eastAsia="Arial" w:hAnsi="Arial"/>
        </w:rPr>
        <w:t xml:space="preserve">6D. Explore View</w:t>
      </w:r>
    </w:p>
    <w:p>
      <w:pPr>
        <w:spacing w:after="120"/>
      </w:pPr>
      <w:r>
        <w:rPr>
          <w:rFonts w:ascii="Arial" w:cs="Arial" w:eastAsia="Arial" w:hAnsi="Arial"/>
          <w:sz w:val="22"/>
          <w:szCs w:val="22"/>
        </w:rPr>
        <w:t xml:space="preserve">A single view with tabs:</w:t>
      </w:r>
    </w:p>
    <w:p>
      <w:pPr>
        <w:pStyle w:val="ListParagraph"/>
        <w:numPr>
          <w:ilvl w:val="0"/>
          <w:numId w:val="13"/>
        </w:numPr>
        <w:spacing w:after="60"/>
      </w:pPr>
      <w:r>
        <w:rPr>
          <w:rFonts w:ascii="Arial" w:cs="Arial" w:eastAsia="Arial" w:hAnsi="Arial"/>
          <w:sz w:val="20"/>
          <w:szCs w:val="20"/>
        </w:rPr>
        <w:t xml:space="preserve">Prompt Library: Saved prompts with search, categories, and favorites. Cards, not a table.</w:t>
      </w:r>
    </w:p>
    <w:p>
      <w:pPr>
        <w:pStyle w:val="ListParagraph"/>
        <w:numPr>
          <w:ilvl w:val="0"/>
          <w:numId w:val="13"/>
        </w:numPr>
        <w:spacing w:after="60"/>
      </w:pPr>
      <w:r>
        <w:rPr>
          <w:rFonts w:ascii="Arial" w:cs="Arial" w:eastAsia="Arial" w:hAnsi="Arial"/>
          <w:sz w:val="20"/>
          <w:szCs w:val="20"/>
        </w:rPr>
        <w:t xml:space="preserve">Elective Paths: Available elective tracks with prerequisites shown. Cards with progress indicators.</w:t>
      </w:r>
    </w:p>
    <w:p>
      <w:pPr>
        <w:pStyle w:val="ListParagraph"/>
        <w:numPr>
          <w:ilvl w:val="0"/>
          <w:numId w:val="13"/>
        </w:numPr>
        <w:spacing w:after="60"/>
      </w:pPr>
      <w:r>
        <w:rPr>
          <w:rFonts w:ascii="Arial" w:cs="Arial" w:eastAsia="Arial" w:hAnsi="Arial"/>
          <w:sz w:val="20"/>
          <w:szCs w:val="20"/>
        </w:rPr>
        <w:t xml:space="preserve">Idea Tracker: Personal use-case ideas with status tracking. Simple list with status chips.</w:t>
      </w:r>
    </w:p>
    <w:p>
      <w:pPr>
        <w:spacing w:after="150"/>
      </w:pPr>
    </w:p>
    <w:p>
      <w:pPr>
        <w:pStyle w:val="Heading2"/>
      </w:pPr>
      <w:r>
        <w:rPr>
          <w:rFonts w:ascii="Arial" w:cs="Arial" w:eastAsia="Arial" w:hAnsi="Arial"/>
        </w:rPr>
        <w:t xml:space="preserve">6E. Community View</w:t>
      </w:r>
    </w:p>
    <w:p>
      <w:pPr>
        <w:spacing w:after="120"/>
      </w:pPr>
      <w:r>
        <w:rPr>
          <w:rFonts w:ascii="Arial" w:cs="Arial" w:eastAsia="Arial" w:hAnsi="Arial"/>
          <w:sz w:val="22"/>
          <w:szCs w:val="22"/>
        </w:rPr>
        <w:t xml:space="preserve">Single view with tabs:</w:t>
      </w:r>
    </w:p>
    <w:p>
      <w:pPr>
        <w:pStyle w:val="ListParagraph"/>
        <w:numPr>
          <w:ilvl w:val="0"/>
          <w:numId w:val="14"/>
        </w:numPr>
        <w:spacing w:after="60"/>
      </w:pPr>
      <w:r>
        <w:rPr>
          <w:rFonts w:ascii="Arial" w:cs="Arial" w:eastAsia="Arial" w:hAnsi="Arial"/>
          <w:sz w:val="20"/>
          <w:szCs w:val="20"/>
        </w:rPr>
        <w:t xml:space="preserve">Feed: Chronological stream of shared wins, frustrations, ideas, and discussions. One-click sharing with quick-tag buttons (Win, Frustration, Idea, Question).</w:t>
      </w:r>
    </w:p>
    <w:p>
      <w:pPr>
        <w:pStyle w:val="ListParagraph"/>
        <w:numPr>
          <w:ilvl w:val="0"/>
          <w:numId w:val="14"/>
        </w:numPr>
        <w:spacing w:after="60"/>
      </w:pPr>
      <w:r>
        <w:rPr>
          <w:rFonts w:ascii="Arial" w:cs="Arial" w:eastAsia="Arial" w:hAnsi="Arial"/>
          <w:sz w:val="20"/>
          <w:szCs w:val="20"/>
        </w:rPr>
        <w:t xml:space="preserve">Events: Upcoming live sessions, webinars, and training events. Simple chronological list with join/RSVP actions. No calendar widget.</w:t>
      </w:r>
    </w:p>
    <w:p>
      <w:pPr>
        <w:pStyle w:val="ListParagraph"/>
        <w:numPr>
          <w:ilvl w:val="0"/>
          <w:numId w:val="14"/>
        </w:numPr>
        <w:spacing w:after="60"/>
      </w:pPr>
      <w:r>
        <w:rPr>
          <w:rFonts w:ascii="Arial" w:cs="Arial" w:eastAsia="Arial" w:hAnsi="Arial"/>
          <w:sz w:val="20"/>
          <w:szCs w:val="20"/>
        </w:rPr>
        <w:t xml:space="preserve">Org Resources: Policies, guidelines, and reference materials specific to the user’s organization. Searchable list. Replaces “Bank Policies” as a top-level nav item.</w:t>
      </w:r>
    </w:p>
    <w:p>
      <w:pPr>
        <w:spacing w:after="150"/>
      </w:pPr>
    </w:p>
    <w:p>
      <w:pPr>
        <w:pStyle w:val="Heading2"/>
      </w:pPr>
      <w:r>
        <w:rPr>
          <w:rFonts w:ascii="Arial" w:cs="Arial" w:eastAsia="Arial" w:hAnsi="Arial"/>
        </w:rPr>
        <w:t xml:space="preserve">6F. Profile View</w:t>
      </w:r>
    </w:p>
    <w:p>
      <w:pPr>
        <w:spacing w:after="120"/>
      </w:pPr>
      <w:r>
        <w:rPr>
          <w:rFonts w:ascii="Arial" w:cs="Arial" w:eastAsia="Arial" w:hAnsi="Arial"/>
          <w:sz w:val="22"/>
          <w:szCs w:val="22"/>
        </w:rPr>
        <w:t xml:space="preserve">Single view with tabs:</w:t>
      </w:r>
    </w:p>
    <w:p>
      <w:pPr>
        <w:pStyle w:val="ListParagraph"/>
        <w:numPr>
          <w:ilvl w:val="0"/>
          <w:numId w:val="15"/>
        </w:numPr>
        <w:spacing w:after="60"/>
      </w:pPr>
      <w:r>
        <w:rPr>
          <w:rFonts w:ascii="Arial" w:cs="Arial" w:eastAsia="Arial" w:hAnsi="Arial"/>
          <w:sz w:val="20"/>
          <w:szCs w:val="20"/>
        </w:rPr>
        <w:t xml:space="preserve">AI Preferences: Tone, verbosity, format, custom instructions for Andrea.</w:t>
      </w:r>
    </w:p>
    <w:p>
      <w:pPr>
        <w:pStyle w:val="ListParagraph"/>
        <w:numPr>
          <w:ilvl w:val="0"/>
          <w:numId w:val="15"/>
        </w:numPr>
        <w:spacing w:after="60"/>
      </w:pPr>
      <w:r>
        <w:rPr>
          <w:rFonts w:ascii="Arial" w:cs="Arial" w:eastAsia="Arial" w:hAnsi="Arial"/>
          <w:sz w:val="20"/>
          <w:szCs w:val="20"/>
        </w:rPr>
        <w:t xml:space="preserve">Memories: What Andrea remembers about the user. Pinnable, deletable.</w:t>
      </w:r>
    </w:p>
    <w:p>
      <w:pPr>
        <w:pStyle w:val="ListParagraph"/>
        <w:numPr>
          <w:ilvl w:val="0"/>
          <w:numId w:val="15"/>
        </w:numPr>
        <w:spacing w:after="60"/>
      </w:pPr>
      <w:r>
        <w:rPr>
          <w:rFonts w:ascii="Arial" w:cs="Arial" w:eastAsia="Arial" w:hAnsi="Arial"/>
          <w:sz w:val="20"/>
          <w:szCs w:val="20"/>
        </w:rPr>
        <w:t xml:space="preserve">My Journey: Skill signals, progress timeline, prompt evolution.</w:t>
      </w:r>
    </w:p>
    <w:p>
      <w:pPr>
        <w:pStyle w:val="ListParagraph"/>
        <w:numPr>
          <w:ilvl w:val="0"/>
          <w:numId w:val="15"/>
        </w:numPr>
        <w:spacing w:after="60"/>
      </w:pPr>
      <w:r>
        <w:rPr>
          <w:rFonts w:ascii="Arial" w:cs="Arial" w:eastAsia="Arial" w:hAnsi="Arial"/>
          <w:sz w:val="20"/>
          <w:szCs w:val="20"/>
        </w:rPr>
        <w:t xml:space="preserve">Certificates: Earned certificates for completed sessions.</w:t>
      </w:r>
    </w:p>
    <w:p>
      <w:pPr>
        <w:pStyle w:val="ListParagraph"/>
        <w:numPr>
          <w:ilvl w:val="0"/>
          <w:numId w:val="15"/>
        </w:numPr>
        <w:spacing w:after="60"/>
      </w:pPr>
      <w:r>
        <w:rPr>
          <w:rFonts w:ascii="Arial" w:cs="Arial" w:eastAsia="Arial" w:hAnsi="Arial"/>
          <w:sz w:val="20"/>
          <w:szCs w:val="20"/>
        </w:rPr>
        <w:t xml:space="preserve">Account: Name, email, org, role, retake onboarding, feedback.</w:t>
      </w:r>
    </w:p>
    <w:p>
      <w:r>
        <w:br w:type="page"/>
      </w:r>
    </w:p>
    <w:p>
      <w:pPr>
        <w:pStyle w:val="Heading1"/>
      </w:pPr>
      <w:r>
        <w:rPr>
          <w:rFonts w:ascii="Arial" w:cs="Arial" w:eastAsia="Arial" w:hAnsi="Arial"/>
        </w:rPr>
        <w:t xml:space="preserve">7. Information Architecture Map</w:t>
      </w:r>
    </w:p>
    <w:p>
      <w:pPr>
        <w:spacing w:after="100"/>
      </w:pPr>
    </w:p>
    <w:p>
      <w:pPr>
        <w:spacing w:after="120"/>
      </w:pPr>
      <w:r>
        <w:rPr>
          <w:rFonts w:ascii="Arial" w:cs="Arial" w:eastAsia="Arial" w:hAnsi="Arial"/>
          <w:sz w:val="22"/>
          <w:szCs w:val="22"/>
        </w:rPr>
        <w:t xml:space="preserve">Every feature in SMILE mapped to its zone, unlock stage, and priority tier.</w:t>
      </w:r>
    </w:p>
    <w:p>
      <w:pPr>
        <w:spacing w:after="80"/>
      </w:pPr>
    </w:p>
    <w:p>
      <w:pPr>
        <w:pStyle w:val="Heading2"/>
      </w:pPr>
      <w:r>
        <w:rPr>
          <w:rFonts w:ascii="Arial" w:cs="Arial" w:eastAsia="Arial" w:hAnsi="Arial"/>
        </w:rPr>
        <w:t xml:space="preserve">Priority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Essential to the primary user journey. Without this, SMILE does not deliver its core value. Build first.</w:t>
            </w:r>
          </w:p>
        </w:tc>
      </w:tr>
      <w:tr>
        <w:tc>
          <w:tcPr>
            <w:tcW w:type="dxa" w:w="20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Enhances the experience meaningfully but the product functions without it. Build second.</w:t>
            </w:r>
          </w:p>
        </w:tc>
      </w:tr>
      <w:tr>
        <w:tc>
          <w:tcPr>
            <w:tcW w:type="dxa" w:w="2000"/>
            <w:tcBorders>
              <w:top w:val="single" w:color="D1D5DB" w:sz="1"/>
              <w:left w:val="single" w:color="D1D5DB" w:sz="1"/>
              <w:bottom w:val="single" w:color="D1D5DB" w:sz="1"/>
              <w:right w:val="single" w:color="D1D5DB" w:sz="1"/>
            </w:tcBorders>
            <w:shd w:fill="F2D7D5" w:val="clear"/>
            <w:tcMar>
              <w:top w:type="dxa" w:w="80"/>
              <w:left w:type="dxa" w:w="120"/>
              <w:bottom w:type="dxa" w:w="80"/>
              <w:right w:type="dxa" w:w="120"/>
            </w:tcMar>
          </w:tcPr>
          <w:p>
            <w:r>
              <w:rPr>
                <w:rFonts w:ascii="Arial" w:cs="Arial" w:eastAsia="Arial" w:hAnsi="Arial"/>
                <w:sz w:val="20"/>
                <w:szCs w:val="20"/>
              </w:rPr>
              <w:t xml:space="preserve">Contextual</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Nice-to-have that adds polish. Andrea can surface contextually rather than needing dedicated UI. Build last or defer.</w:t>
            </w:r>
          </w:p>
        </w:tc>
      </w:tr>
    </w:tbl>
    <w:p>
      <w:pPr>
        <w:spacing w:after="120"/>
      </w:pPr>
    </w:p>
    <w:p>
      <w:pPr>
        <w:pStyle w:val="Heading2"/>
      </w:pPr>
      <w:r>
        <w:rPr>
          <w:rFonts w:ascii="Arial" w:cs="Arial" w:eastAsia="Arial" w:hAnsi="Arial"/>
        </w:rPr>
        <w:t xml:space="preserve">Full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3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Unlock</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 / Intake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Pre-auth</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Rework from form to interaction. Infer proficiency from micro-task.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Home View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Adaptive single-purpose view. One CTA.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Tracks (1–4)</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Sequential learning with gate modules.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Module Content Delivery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Adaptive to learning style. Learn mode layout.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Practice Chat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Practice mode with inline Andrea coaching.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Andrea Coaching (Reactive)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 + Global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Context-aware, single-suggestion pattern.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Andrea Proactive Intelligence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Trigger-based proactive engagement. See Section 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Gate Modules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Compliance checkpoints before progression.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Capstones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 session</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Integrative final exercise per session.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Portal — Value Overview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ROI metrics, exec summary, trend indicator. Board-ready.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Portal — People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Adoption heatmaps, skill aggregation, at-risk users.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Portal — Intelligence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Idea pipeline, friction patterns, compliance signals.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Andrea as Advisor (Leadership)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Trend alerts, narrative summaries, on-demand briefings.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Prompt Library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Explore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S1-M2 complete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Save, search, categorize, favorite prompts.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 Feed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practice done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Share wins, frustrations, ideas. One-click posting.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Idea Tracker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Explore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S1 complete</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Personal use-case tracking. Feeds Leadership Intelligence.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Elective Paths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Explore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S3 complete</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Specialization deep-dives.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Events / Live Sessions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practice done</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Upcoming events list with RSVP.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Org Resources (Policies)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 practice done</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Org-specific reference materials.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Preferences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Tone, verbosity, format for Andrea.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Memories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Post-onboarding</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Andrea’s persistent memory.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Studio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S2-M2 complete</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Build and test custom agents.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Workflow Studio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S3-M3 complete</w:t>
            </w:r>
          </w:p>
        </w:tc>
        <w:tc>
          <w:tcPr>
            <w:tcW w:type="dxa" w:w="1200"/>
            <w:tcBorders>
              <w:top w:val="single" w:color="D1D5DB" w:sz="1"/>
              <w:left w:val="single" w:color="D1D5DB" w:sz="1"/>
              <w:bottom w:val="single" w:color="D1D5DB" w:sz="1"/>
              <w:right w:val="single" w:color="D1D5DB" w:sz="1"/>
            </w:tcBorders>
            <w:shd w:fill="FCF3CF" w:val="clear"/>
            <w:tcMar>
              <w:top w:type="dxa" w:w="80"/>
              <w:left w:type="dxa" w:w="120"/>
              <w:bottom w:type="dxa" w:w="80"/>
              <w:right w:type="dxa" w:w="120"/>
            </w:tcMar>
          </w:tcPr>
          <w:p>
            <w:r>
              <w:rPr>
                <w:rFonts w:ascii="Arial" w:cs="Arial" w:eastAsia="Arial" w:hAnsi="Arial"/>
                <w:sz w:val="20"/>
                <w:szCs w:val="20"/>
              </w:rPr>
              <w:t xml:space="preserve">Secondary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Build AI workflows.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Journey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S1 complete</w:t>
            </w:r>
          </w:p>
        </w:tc>
        <w:tc>
          <w:tcPr>
            <w:tcW w:type="dxa" w:w="1200"/>
            <w:tcBorders>
              <w:top w:val="single" w:color="D1D5DB" w:sz="1"/>
              <w:left w:val="single" w:color="D1D5DB" w:sz="1"/>
              <w:bottom w:val="single" w:color="D1D5DB" w:sz="1"/>
              <w:right w:val="single" w:color="D1D5DB" w:sz="1"/>
            </w:tcBorders>
            <w:shd w:fill="F2D7D5" w:val="clear"/>
            <w:tcMar>
              <w:top w:type="dxa" w:w="80"/>
              <w:left w:type="dxa" w:w="120"/>
              <w:bottom w:type="dxa" w:w="80"/>
              <w:right w:type="dxa" w:w="120"/>
            </w:tcMar>
          </w:tcPr>
          <w:p>
            <w:r>
              <w:rPr>
                <w:rFonts w:ascii="Arial" w:cs="Arial" w:eastAsia="Arial" w:hAnsi="Arial"/>
                <w:sz w:val="20"/>
                <w:szCs w:val="20"/>
              </w:rPr>
              <w:t xml:space="preserve">Contextual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Progress timeline and skill visualization.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Certificates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Capstone complete</w:t>
            </w:r>
          </w:p>
        </w:tc>
        <w:tc>
          <w:tcPr>
            <w:tcW w:type="dxa" w:w="1200"/>
            <w:tcBorders>
              <w:top w:val="single" w:color="D1D5DB" w:sz="1"/>
              <w:left w:val="single" w:color="D1D5DB" w:sz="1"/>
              <w:bottom w:val="single" w:color="D1D5DB" w:sz="1"/>
              <w:right w:val="single" w:color="D1D5DB" w:sz="1"/>
            </w:tcBorders>
            <w:shd w:fill="F2D7D5" w:val="clear"/>
            <w:tcMar>
              <w:top w:type="dxa" w:w="80"/>
              <w:left w:type="dxa" w:w="120"/>
              <w:bottom w:type="dxa" w:w="80"/>
              <w:right w:type="dxa" w:w="120"/>
            </w:tcMar>
          </w:tcPr>
          <w:p>
            <w:r>
              <w:rPr>
                <w:rFonts w:ascii="Arial" w:cs="Arial" w:eastAsia="Arial" w:hAnsi="Arial"/>
                <w:sz w:val="20"/>
                <w:szCs w:val="20"/>
              </w:rPr>
              <w:t xml:space="preserve">Contextual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Earned completion certificates.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Spaced Repetition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S1 complete</w:t>
            </w:r>
          </w:p>
        </w:tc>
        <w:tc>
          <w:tcPr>
            <w:tcW w:type="dxa" w:w="1200"/>
            <w:tcBorders>
              <w:top w:val="single" w:color="D1D5DB" w:sz="1"/>
              <w:left w:val="single" w:color="D1D5DB" w:sz="1"/>
              <w:bottom w:val="single" w:color="D1D5DB" w:sz="1"/>
              <w:right w:val="single" w:color="D1D5DB" w:sz="1"/>
            </w:tcBorders>
            <w:shd w:fill="F2D7D5" w:val="clear"/>
            <w:tcMar>
              <w:top w:type="dxa" w:w="80"/>
              <w:left w:type="dxa" w:w="120"/>
              <w:bottom w:type="dxa" w:w="80"/>
              <w:right w:type="dxa" w:w="120"/>
            </w:tcMar>
          </w:tcPr>
          <w:p>
            <w:r>
              <w:rPr>
                <w:rFonts w:ascii="Arial" w:cs="Arial" w:eastAsia="Arial" w:hAnsi="Arial"/>
                <w:sz w:val="20"/>
                <w:szCs w:val="20"/>
              </w:rPr>
              <w:t xml:space="preserve">Contextual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Andrea injects retrieval questions; no dedicated UI.</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Brainstorm Panel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Removed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D1D5DB" w:sz="1"/>
              <w:left w:val="single" w:color="D1D5DB" w:sz="1"/>
              <w:bottom w:val="single" w:color="D1D5DB" w:sz="1"/>
              <w:right w:val="single" w:color="D1D5DB" w:sz="1"/>
            </w:tcBorders>
            <w:shd w:fill="F2D7D5" w:val="clear"/>
            <w:tcMar>
              <w:top w:type="dxa" w:w="80"/>
              <w:left w:type="dxa" w:w="120"/>
              <w:bottom w:type="dxa" w:w="80"/>
              <w:right w:type="dxa" w:w="120"/>
            </w:tcMar>
          </w:tcPr>
          <w:p>
            <w:r>
              <w:rPr>
                <w:rFonts w:ascii="Arial" w:cs="Arial" w:eastAsia="Arial" w:hAnsi="Arial"/>
                <w:sz w:val="20"/>
                <w:szCs w:val="20"/>
              </w:rPr>
              <w:t xml:space="preserve">Cut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Absorbed into Andrea proactive + Idea Tracker.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 User Management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Deactivate, change roles, view history.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 Content &amp; Config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Departments, org resources, app settings.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Super Admin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Super-admin role</w:t>
            </w:r>
          </w:p>
        </w:tc>
        <w:tc>
          <w:tcPr>
            <w:tcW w:type="dxa" w:w="1200"/>
            <w:tcBorders>
              <w:top w:val="single" w:color="D1D5DB" w:sz="1"/>
              <w:left w:val="single" w:color="D1D5DB" w:sz="1"/>
              <w:bottom w:val="single" w:color="D1D5DB" w:sz="1"/>
              <w:right w:val="single" w:color="D1D5DB" w:sz="1"/>
            </w:tcBorders>
            <w:shd w:fill="D4EFDF"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18"/>
                <w:szCs w:val="18"/>
              </w:rPr>
              <w:t xml:space="preserve">Multi-org management and platform KPIs.</w:t>
            </w:r>
          </w:p>
        </w:tc>
      </w:tr>
    </w:tbl>
    <w:p>
      <w:r>
        <w:br w:type="page"/>
      </w:r>
    </w:p>
    <w:p>
      <w:pPr>
        <w:pStyle w:val="Heading1"/>
      </w:pPr>
      <w:r>
        <w:rPr>
          <w:rFonts w:ascii="Arial" w:cs="Arial" w:eastAsia="Arial" w:hAnsi="Arial"/>
        </w:rPr>
        <w:t xml:space="preserve">8. Onboarding Redesign</w:t>
      </w:r>
    </w:p>
    <w:p>
      <w:pPr>
        <w:spacing w:after="100"/>
      </w:pPr>
    </w:p>
    <w:p>
      <w:pPr>
        <w:spacing w:after="120"/>
      </w:pPr>
      <w:r>
        <w:rPr>
          <w:rFonts w:ascii="Arial" w:cs="Arial" w:eastAsia="Arial" w:hAnsi="Arial"/>
          <w:sz w:val="22"/>
          <w:szCs w:val="22"/>
        </w:rPr>
        <w:t xml:space="preserve">The current onboarding is a form. The redesigned onboarding should feel like the user is already using the product.</w:t>
      </w:r>
    </w:p>
    <w:p>
      <w:pPr>
        <w:spacing w:after="80"/>
      </w:pPr>
    </w:p>
    <w:p>
      <w:pPr>
        <w:pStyle w:val="Heading2"/>
      </w:pPr>
      <w:r>
        <w:rPr>
          <w:rFonts w:ascii="Arial" w:cs="Arial" w:eastAsia="Arial" w:hAnsi="Arial"/>
        </w:rPr>
        <w:t xml:space="preserve">Principles</w:t>
      </w:r>
    </w:p>
    <w:p>
      <w:pPr>
        <w:pStyle w:val="ListParagraph"/>
        <w:numPr>
          <w:ilvl w:val="0"/>
          <w:numId w:val="16"/>
        </w:numPr>
        <w:spacing w:after="60"/>
      </w:pPr>
      <w:r>
        <w:rPr>
          <w:rFonts w:ascii="Arial" w:cs="Arial" w:eastAsia="Arial" w:hAnsi="Arial"/>
          <w:sz w:val="20"/>
          <w:szCs w:val="20"/>
        </w:rPr>
        <w:t xml:space="preserve">Infer over ask. If you can determine something from user behavior, don’t make them self-report it.</w:t>
      </w:r>
    </w:p>
    <w:p>
      <w:pPr>
        <w:pStyle w:val="ListParagraph"/>
        <w:numPr>
          <w:ilvl w:val="0"/>
          <w:numId w:val="16"/>
        </w:numPr>
        <w:spacing w:after="60"/>
      </w:pPr>
      <w:r>
        <w:rPr>
          <w:rFonts w:ascii="Arial" w:cs="Arial" w:eastAsia="Arial" w:hAnsi="Arial"/>
          <w:sz w:val="20"/>
          <w:szCs w:val="20"/>
        </w:rPr>
        <w:t xml:space="preserve">One question per screen. No scrollable question banks.</w:t>
      </w:r>
    </w:p>
    <w:p>
      <w:pPr>
        <w:pStyle w:val="ListParagraph"/>
        <w:numPr>
          <w:ilvl w:val="0"/>
          <w:numId w:val="16"/>
        </w:numPr>
        <w:spacing w:after="60"/>
      </w:pPr>
      <w:r>
        <w:rPr>
          <w:rFonts w:ascii="Arial" w:cs="Arial" w:eastAsia="Arial" w:hAnsi="Arial"/>
          <w:sz w:val="20"/>
          <w:szCs w:val="20"/>
        </w:rPr>
        <w:t xml:space="preserve">Show value immediately. Each step should teach the user something or give them something.</w:t>
      </w:r>
    </w:p>
    <w:p>
      <w:pPr>
        <w:pStyle w:val="ListParagraph"/>
        <w:numPr>
          <w:ilvl w:val="0"/>
          <w:numId w:val="16"/>
        </w:numPr>
        <w:spacing w:after="60"/>
      </w:pPr>
      <w:r>
        <w:rPr>
          <w:rFonts w:ascii="Arial" w:cs="Arial" w:eastAsia="Arial" w:hAnsi="Arial"/>
          <w:sz w:val="20"/>
          <w:szCs w:val="20"/>
        </w:rPr>
        <w:t xml:space="preserve">Complete in under 3 minutes.</w:t>
      </w:r>
    </w:p>
    <w:p>
      <w:pPr>
        <w:spacing w:after="80"/>
      </w:pPr>
    </w:p>
    <w:p>
      <w:pPr>
        <w:pStyle w:val="Heading2"/>
      </w:pPr>
      <w:r>
        <w:rPr>
          <w:rFonts w:ascii="Arial" w:cs="Arial" w:eastAsia="Arial" w:hAnsi="Arial"/>
        </w:rPr>
        <w:t xml:space="preserve">Proposed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2560"/>
      </w:tblGrid>
      <w:tr>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Sees</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Captured</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“What should we call you?” + name input, org auto-detected from signup</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Establishes identity. Warm, personal. Shows org branding if enterprise.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display_name, organization_id confirmed</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“What do you do?” + role selection (industry-specific options, max 8 visible)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Org config determines which role list appears. Short list, not a scrollable bank.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job_role, department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“Try this.” A single AI interaction task tailored to their role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writes a prompt. System scores it silently to infer proficiency, orientation, and comfort level. Replaces the slider AND several intake questions.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ai_proficiency_level (inferred), intake_orientation (inferred)</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Andrea responds to their prompt and asks: “How would you like me to teach you?” with 4 style options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picks learning style in the context of having just seen Andrea work. The choice is informed, not abstract.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learning_style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“You’re ready.” Transition screen showing personalized path</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Single CTA: “Let’s go.” Transitions directly into the Home view.</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onboarding_completed = true</w:t>
            </w:r>
          </w:p>
        </w:tc>
      </w:tr>
    </w:tbl>
    <w:p>
      <w:pPr>
        <w:spacing w:after="80"/>
      </w:pPr>
    </w:p>
    <w:p>
      <w:pPr>
        <w:spacing w:after="120"/>
      </w:pPr>
      <w:r>
        <w:rPr>
          <w:rFonts w:ascii="Arial" w:cs="Arial" w:eastAsia="Arial" w:hAnsi="Arial"/>
          <w:b/>
          <w:bCs/>
          <w:sz w:val="22"/>
          <w:szCs w:val="22"/>
        </w:rPr>
        <w:t xml:space="preserve">What’s removed: </w:t>
      </w:r>
      <w:r>
        <w:rPr>
          <w:rFonts w:ascii="Arial" w:cs="Arial" w:eastAsia="Arial" w:hAnsi="Arial"/>
          <w:sz w:val="22"/>
          <w:szCs w:val="22"/>
        </w:rPr>
        <w:t xml:space="preserve">Interest picker, self-assessed proficiency slider, scrollable 7-question assessment bank, separate general vs. technical learning style questions.</w:t>
      </w:r>
    </w:p>
    <w:p>
      <w:r>
        <w:br w:type="page"/>
      </w:r>
    </w:p>
    <w:p>
      <w:pPr>
        <w:pStyle w:val="Heading1"/>
      </w:pPr>
      <w:r>
        <w:rPr>
          <w:rFonts w:ascii="Arial" w:cs="Arial" w:eastAsia="Arial" w:hAnsi="Arial"/>
        </w:rPr>
        <w:t xml:space="preserve">9. Schema Refactoring Notes</w:t>
      </w:r>
    </w:p>
    <w:p>
      <w:pPr>
        <w:spacing w:after="100"/>
      </w:pPr>
    </w:p>
    <w:p>
      <w:pPr>
        <w:pStyle w:val="Heading2"/>
      </w:pPr>
      <w:r>
        <w:rPr>
          <w:rFonts w:ascii="Arial" w:cs="Arial" w:eastAsia="Arial" w:hAnsi="Arial"/>
        </w:rPr>
        <w:t xml:space="preserve">Training Progress Normalization</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Per-session columns (session_1_progress, session_2_progress, etc.). Breaks when adding sessions or custom tracks.</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A session_progress table: user_id, session_id, completed, progress_data (JSONB), timestamps. One row per user per session. Zero schema changes for new sessions.</w:t>
      </w:r>
    </w:p>
    <w:p>
      <w:pPr>
        <w:spacing w:after="100"/>
      </w:pPr>
    </w:p>
    <w:p>
      <w:pPr>
        <w:pStyle w:val="Heading2"/>
      </w:pPr>
      <w:r>
        <w:rPr>
          <w:rFonts w:ascii="Arial" w:cs="Arial" w:eastAsia="Arial" w:hAnsi="Arial"/>
        </w:rPr>
        <w:t xml:space="preserve">Feature Gates Table</w:t>
      </w:r>
    </w:p>
    <w:p>
      <w:pPr>
        <w:spacing w:after="120"/>
      </w:pPr>
      <w:r>
        <w:rPr>
          <w:rFonts w:ascii="Arial" w:cs="Arial" w:eastAsia="Arial" w:hAnsi="Arial"/>
          <w:sz w:val="22"/>
          <w:szCs w:val="22"/>
        </w:rPr>
        <w:t xml:space="preserve">New table to drive progressive disclosure. Columns: feature_key, unlock_condition (JSONB), zone, priority. Front-end queries on login and caches. Feature visibility determined server-side.</w:t>
      </w:r>
    </w:p>
    <w:p>
      <w:pPr>
        <w:spacing w:after="100"/>
      </w:pPr>
    </w:p>
    <w:p>
      <w:pPr>
        <w:pStyle w:val="Heading2"/>
      </w:pPr>
      <w:r>
        <w:rPr>
          <w:rFonts w:ascii="Arial" w:cs="Arial" w:eastAsia="Arial" w:hAnsi="Arial"/>
        </w:rPr>
        <w:t xml:space="preserve">Intake Data Consolidation</w:t>
      </w:r>
    </w:p>
    <w:p>
      <w:pPr>
        <w:spacing w:after="120"/>
      </w:pPr>
      <w:r>
        <w:rPr>
          <w:rFonts w:ascii="Arial" w:cs="Arial" w:eastAsia="Arial" w:hAnsi="Arial"/>
          <w:sz w:val="22"/>
          <w:szCs w:val="22"/>
        </w:rPr>
        <w:t xml:space="preserve">Consolidate overlapping fields. Profile holds derived values (learning_style, proficiency_level, role_key). Single intake_data JSONB column stores raw responses for audit/retake. Remove redundant separate columns.</w:t>
      </w:r>
    </w:p>
    <w:p>
      <w:pPr>
        <w:spacing w:after="100"/>
      </w:pPr>
    </w:p>
    <w:p>
      <w:pPr>
        <w:pStyle w:val="Heading2"/>
      </w:pPr>
      <w:r>
        <w:rPr>
          <w:rFonts w:ascii="Arial" w:cs="Arial" w:eastAsia="Arial" w:hAnsi="Arial"/>
        </w:rPr>
        <w:t xml:space="preserve">Value Signal Capture</w:t>
      </w:r>
    </w:p>
    <w:p>
      <w:pPr>
        <w:spacing w:after="120"/>
      </w:pPr>
      <w:r>
        <w:rPr>
          <w:rFonts w:ascii="Arial" w:cs="Arial" w:eastAsia="Arial" w:hAnsi="Arial"/>
          <w:sz w:val="22"/>
          <w:szCs w:val="22"/>
        </w:rPr>
        <w:t xml:space="preserve">New table: value_signals. Columns: user_id, org_id, signal_type (use_case_identified, workflow_built, time_saved_estimate, skill_applied, community_contribution), signal_data (JSONB), created_at. This table feeds the Leadership Portal. Every meaningful learner action writes a row. The Leadership Portal reads aggregations of this table—it never queries training progress directly.</w:t>
      </w:r>
    </w:p>
    <w:p>
      <w:pPr>
        <w:spacing w:after="100"/>
      </w:pPr>
    </w:p>
    <w:p>
      <w:pPr>
        <w:pStyle w:val="Heading2"/>
      </w:pPr>
      <w:r>
        <w:rPr>
          <w:rFonts w:ascii="Arial" w:cs="Arial" w:eastAsia="Arial" w:hAnsi="Arial"/>
        </w:rPr>
        <w:t xml:space="preserve">Andrea Trigger State</w:t>
      </w:r>
    </w:p>
    <w:p>
      <w:pPr>
        <w:spacing w:after="120"/>
      </w:pPr>
      <w:r>
        <w:rPr>
          <w:rFonts w:ascii="Arial" w:cs="Arial" w:eastAsia="Arial" w:hAnsi="Arial"/>
          <w:sz w:val="22"/>
          <w:szCs w:val="22"/>
        </w:rPr>
        <w:t xml:space="preserve">New table: andrea_trigger_log. Columns: user_id, trigger_type, trigger_context (JSONB), surfaced_at, engaged (boolean), dismissed (boolean). Tracks which proactive triggers have fired so Andrea doesn’t repeat herself and so trigger effectiveness can be measured over time.</w:t>
      </w:r>
    </w:p>
    <w:p>
      <w:r>
        <w:br w:type="page"/>
      </w:r>
    </w:p>
    <w:p>
      <w:pPr>
        <w:pStyle w:val="Heading1"/>
      </w:pPr>
      <w:r>
        <w:rPr>
          <w:rFonts w:ascii="Arial" w:cs="Arial" w:eastAsia="Arial" w:hAnsi="Arial"/>
        </w:rPr>
        <w:t xml:space="preserve">10. Build Sequence</w:t>
      </w:r>
    </w:p>
    <w:p>
      <w:pPr>
        <w:spacing w:after="100"/>
      </w:pPr>
    </w:p>
    <w:p>
      <w:pPr>
        <w:spacing w:after="120"/>
      </w:pPr>
      <w:r>
        <w:rPr>
          <w:rFonts w:ascii="Arial" w:cs="Arial" w:eastAsia="Arial" w:hAnsi="Arial"/>
          <w:sz w:val="22"/>
          <w:szCs w:val="22"/>
        </w:rPr>
        <w:t xml:space="preserve">Ordered by dependency and user journey. Each phase produces a usable product increment. The Leadership Portal is on the critical path—not deferred.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760"/>
        <w:gridCol w:w="2200"/>
      </w:tblGrid>
      <w:tr>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Design system components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(nav rail, top bar, content area, Andrea dock), layout primitives, type scale, color tokens, card component, notification component, empty/loading states.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This document (approved)</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5-step redesigned flow. Micro-task scoring. Proficiency inference. Schema: intake data consolidation.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0</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Home + Learn (core)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Adaptive home view (4 states). Training workspace (learn + practice modes). Module progress strip. Andrea coaching (single-suggestion pattern). Gate modules.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Progressive disclosure + Andrea proactive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Feature gates table + server-side evaluation. Nav rail dynamic rendering. Unlock animations. Andrea trigger rules engine. Andrea trigger log table. Proactive dock states.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Leadership Portal</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Value Overview (exec summary, key metrics, trend). People view (heatmaps, skill aggregation, at-risk). Intelligence view (idea pipeline, friction, compliance). Andrea as advisor. Value signals table + schema. Export-to-PDF. Separate nav configuration for leadership role.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 (can parallel Phase 3)</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Explore zone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Prompt library, idea tracker, elective paths. All tabbed in single 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Community zone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Feed with one-click posting. Events list. Org resources. All tabbed.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Profile zone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preferences. Memories. Journey. Certificates. Account. All tabbed.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management, content config, departments, org resources. Operational only—analytics live in Leadership Portal. Schema: training progress normalization.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Studios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Studio (Session 2). Workflow Studio (Session 3). Gated by progressive disclosure.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Accessibility + polish</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WCAG 2.1 AA audit. Keyboard navigation. Screen reader testing. Focus management. Responsive edge cases.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All phases</w:t>
            </w:r>
          </w:p>
        </w:tc>
      </w:tr>
    </w:tbl>
    <w:p>
      <w:pPr>
        <w:spacing w:after="100"/>
      </w:pPr>
    </w:p>
    <w:p>
      <w:pPr>
        <w:pStyle w:val="Heading2"/>
      </w:pPr>
      <w:r>
        <w:rPr>
          <w:rFonts w:ascii="Arial" w:cs="Arial" w:eastAsia="Arial" w:hAnsi="Arial"/>
        </w:rPr>
        <w:t xml:space="preserve">Critical Path</w:t>
      </w:r>
    </w:p>
    <w:p>
      <w:pPr>
        <w:spacing w:after="120"/>
      </w:pPr>
      <w:r>
        <w:rPr>
          <w:rFonts w:ascii="Arial" w:cs="Arial" w:eastAsia="Arial" w:hAnsi="Arial"/>
          <w:sz w:val="22"/>
          <w:szCs w:val="22"/>
        </w:rPr>
        <w:t xml:space="preserve">Phases 0 through 4 are the critical path. Once those ship, SMILE is a complete product for both users: learners have onboarding, adaptive training, proactive coaching, and progressive disclosure. Buyers have a dedicated portal showing ROI, adoption intelligence, and actionable insights.</w:t>
      </w:r>
    </w:p>
    <w:p>
      <w:pPr>
        <w:spacing w:after="60"/>
      </w:pPr>
    </w:p>
    <w:p>
      <w:pPr>
        <w:spacing w:after="120"/>
      </w:pPr>
      <w:r>
        <w:rPr>
          <w:rFonts w:ascii="Arial" w:cs="Arial" w:eastAsia="Arial" w:hAnsi="Arial"/>
          <w:b/>
          <w:bCs/>
          <w:sz w:val="22"/>
          <w:szCs w:val="22"/>
        </w:rPr>
        <w:t xml:space="preserve">Phases 4, 5, 6, and 7 can run in parallel</w:t>
      </w:r>
      <w:r>
        <w:rPr>
          <w:rFonts w:ascii="Arial" w:cs="Arial" w:eastAsia="Arial" w:hAnsi="Arial"/>
          <w:sz w:val="22"/>
          <w:szCs w:val="22"/>
        </w:rPr>
        <w:t xml:space="preserve"> once their dependencies are met. Phase 4 (Leadership Portal) depends only on Phase 2 and can run alongside Phase 3. Phases 5–7 depend on Phase 3 (progressive disclosure). Phase 8 (Admin) depends only on Phase 2.</w:t>
      </w:r>
    </w:p>
    <w:p>
      <w:r>
        <w:br w:type="page"/>
      </w:r>
    </w:p>
    <w:p>
      <w:pPr>
        <w:pStyle w:val="Heading1"/>
      </w:pPr>
      <w:r>
        <w:rPr>
          <w:rFonts w:ascii="Arial" w:cs="Arial" w:eastAsia="Arial" w:hAnsi="Arial"/>
        </w:rPr>
        <w:t xml:space="preserve">11. What’s Cut and Why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Cut</w:t>
            </w:r>
          </w:p>
        </w:tc>
        <w:tc>
          <w:tcPr>
            <w:tcW w:type="dxa" w:w="4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c>
          <w:tcPr>
            <w:tcW w:type="dxa" w:w="2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Replacement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Dashboard as hub page</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Violates “one job per screen.” Tries to show everything. Creates cognitive overload.</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Adaptive Home view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Help Tour system</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If the interface requires a tour, the interface is the problem.</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Progressive disclosure + intuitive layout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Brainstorm Panel</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Unclear purpose. No relationship to adjacent content.</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Andrea proactive + Idea Tracker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Interest Picker (onboarding)</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 options, pick 3. Low signal relative to friction cost.</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None needed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Proficiency Slider (0–5)</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Self-assessment is unreliable. Behavioral inference is more accurate.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Micro-task scoring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7-question scrollable assessment</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Violates one-question-per-screen rule.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Micro-task + single learning style question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Multiple suggestion overlay types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 different card patterns in Andrea’s panel. Notification fatigue.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Single notification component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module sidebar</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Permanent screen real estate for a 2-second interaction.</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Compact progress strip</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Calendar widget (events)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 complexity for 2–3 events. Doesn’t justify visual weight.</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Simple event list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Bank Policies as top-level nav</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Industry-specific language in platform navigation.</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Org Resources in Community zone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Feedback button (floating, red)</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Destructive styling on persistent element creates anxiety.</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Feedback in Profile, neutral styling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Analytics buried in Admin</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Buyer’s value view mixed with operational admin. Different users, different needs.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Dedicated Leadership Portal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Completion-rate dashboards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Vanity metrics. “73% completed Module 3” tells leadership nothing about ROI.</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Value signals, outcome narratives, intelligence views</w:t>
            </w:r>
          </w:p>
        </w:tc>
      </w:tr>
    </w:tbl>
    <w:p>
      <w:pPr>
        <w:spacing w:after="200"/>
      </w:pPr>
    </w:p>
    <w:p>
      <w:pPr>
        <w:pBdr>
          <w:bottom w:val="single" w:color="2E75B6" w:sz="6" w:space="1"/>
        </w:pBdr>
        <w:spacing w:after="200" w:before="200"/>
      </w:pPr>
    </w:p>
    <w:p>
      <w:pPr>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6B7280"/>
        <w:sz w:val="16"/>
        <w:szCs w:val="16"/>
      </w:rPr>
      <w:t xml:space="preserve">SMILE Design System Brief</w:t>
    </w:r>
    <w:r>
      <w:rPr>
        <w:rFonts w:ascii="Arial" w:cs="Arial" w:eastAsia="Arial" w:hAnsi="Arial"/>
      </w:rPr>
      <w:t xml:space="preserve">	</w:t>
    </w:r>
    <w:r>
      <w:rPr>
        <w:rFonts w:ascii="Arial" w:cs="Arial" w:eastAsia="Arial" w:hAnsi="Arial"/>
        <w:color w:val="6B7280"/>
        <w:sz w:val="16"/>
        <w:szCs w:val="16"/>
      </w:rPr>
      <w:t xml:space="preserve">SM Advisors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2026-03-02T18:04:34.532Z</dcterms:created>
  <dcterms:modified xsi:type="dcterms:W3CDTF">2026-03-02T18:04:34.533Z</dcterms:modified>
</cp:coreProperties>
</file>

<file path=docProps/custom.xml><?xml version="1.0" encoding="utf-8"?>
<Properties xmlns="http://schemas.openxmlformats.org/officeDocument/2006/custom-properties" xmlns:vt="http://schemas.openxmlformats.org/officeDocument/2006/docPropsVTypes"/>
</file>