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400"/>
        <w:jc w:val="center"/>
      </w:pPr>
      <w:r>
        <w:rPr>
          <w:rFonts w:ascii="Arial" w:cs="Arial" w:eastAsia="Arial" w:hAnsi="Arial"/>
          <w:b/>
          <w:bCs/>
          <w:sz w:val="56"/>
          <w:szCs w:val="56"/>
        </w:rPr>
        <w:t xml:space="preserve">Decatur County Bank</w:t>
      </w:r>
    </w:p>
    <w:p>
      <w:pPr>
        <w:spacing w:after="600"/>
        <w:jc w:val="center"/>
      </w:pPr>
      <w:r>
        <w:rPr>
          <w:rFonts w:ascii="Arial" w:cs="Arial" w:eastAsia="Arial" w:hAnsi="Arial"/>
          <w:color w:val="B8860B"/>
          <w:sz w:val="40"/>
          <w:szCs w:val="40"/>
        </w:rPr>
        <w:t xml:space="preserve">AI Strategic Plan</w:t>
      </w:r>
    </w:p>
    <w:p>
      <w:pPr>
        <w:spacing w:after="200"/>
        <w:jc w:val="center"/>
      </w:pPr>
      <w:r>
        <w:rPr>
          <w:color w:val="666666"/>
          <w:sz w:val="24"/>
          <w:szCs w:val="24"/>
        </w:rPr>
        <w:t xml:space="preserve">March 4, 2026</w:t>
      </w:r>
    </w:p>
    <w:p>
      <w:pPr>
        <w:jc w:val="center"/>
      </w:pPr>
      <w:r>
        <w:rPr>
          <w:color w:val="999999"/>
          <w:sz w:val="20"/>
          <w:szCs w:val="20"/>
        </w:rPr>
        <w:t xml:space="preserve">Prepared by AI Strategic Planner</w:t>
      </w:r>
    </w:p>
    <w:p>
      <w:pPr>
        <w:pageBreakBefore/>
      </w:pPr>
    </w:p>
    <w:p>
      <w:pPr>
        <w:pStyle w:val="Heading1"/>
        <w:spacing w:after="200" w:before="400"/>
      </w:pPr>
      <w:r>
        <w:rPr>
          <w:rFonts w:ascii="Arial" w:cs="Arial" w:eastAsia="Arial" w:hAnsi="Arial"/>
          <w:b/>
          <w:bCs/>
          <w:sz w:val="36"/>
          <w:szCs w:val="36"/>
        </w:rPr>
        <w:t xml:space="preserve">AI Strategic Plan</w:t>
      </w:r>
    </w:p>
    <w:p>
      <w:pPr>
        <w:pStyle w:val="Heading2"/>
        <w:spacing w:after="150" w:before="300"/>
      </w:pPr>
      <w:r>
        <w:rPr>
          <w:rFonts w:ascii="Arial" w:cs="Arial" w:eastAsia="Arial" w:hAnsi="Arial"/>
          <w:b/>
          <w:bCs/>
          <w:sz w:val="30"/>
          <w:szCs w:val="30"/>
        </w:rPr>
        <w:t xml:space="preserve">Decatur County Bank</w:t>
      </w:r>
    </w:p>
    <w:p>
      <w:pPr>
        <w:pStyle w:val="Heading3"/>
        <w:spacing w:after="100" w:before="200"/>
      </w:pPr>
      <w:r>
        <w:rPr>
          <w:rFonts w:ascii="Arial" w:cs="Arial" w:eastAsia="Arial" w:hAnsi="Arial"/>
          <w:b/>
          <w:bCs/>
          <w:sz w:val="26"/>
          <w:szCs w:val="26"/>
        </w:rPr>
        <w:t xml:space="preserve">West Tennessee Division</w:t>
      </w:r>
    </w:p>
    <w:p>
      <w:pPr>
        <w:spacing w:after="100"/>
      </w:pPr>
      <w:r>
        <w:rPr>
          <w:b w:val="false"/>
          <w:bCs w:val="false"/>
          <w:sz w:val="22"/>
          <w:szCs w:val="22"/>
        </w:rPr>
        <w:t xml:space="preserve">*Prepared for: Kirk Goehring, EVP, CCO &amp; Division President | Implementation Lead: Garrett Moore*</w:t>
      </w:r>
    </w:p>
    <w:p>
      <w:pPr>
        <w:spacing w:after="100"/>
      </w:pPr>
      <w:r>
        <w:rPr>
          <w:b w:val="false"/>
          <w:bCs w:val="false"/>
          <w:sz w:val="22"/>
          <w:szCs w:val="22"/>
        </w:rPr>
        <w:t xml:space="preserve">*Plan Version: 1.0 | Confidential — For Internal Use Only*</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I. Executive Summary</w:t>
      </w:r>
    </w:p>
    <w:p>
      <w:pPr>
        <w:spacing w:after="100"/>
      </w:pPr>
    </w:p>
    <w:p>
      <w:pPr>
        <w:pStyle w:val="Heading2"/>
        <w:spacing w:after="150" w:before="300"/>
      </w:pPr>
      <w:r>
        <w:rPr>
          <w:rFonts w:ascii="Arial" w:cs="Arial" w:eastAsia="Arial" w:hAnsi="Arial"/>
          <w:b/>
          <w:bCs/>
          <w:sz w:val="30"/>
          <w:szCs w:val="30"/>
        </w:rPr>
        <w:t xml:space="preserve">Who Decatur County Bank Is</w:t>
      </w:r>
    </w:p>
    <w:p>
      <w:pPr>
        <w:spacing w:after="100"/>
      </w:pPr>
    </w:p>
    <w:p>
      <w:pPr>
        <w:spacing w:after="100"/>
      </w:pPr>
      <w:r>
        <w:rPr>
          <w:b w:val="false"/>
          <w:bCs w:val="false"/>
          <w:sz w:val="22"/>
          <w:szCs w:val="22"/>
        </w:rPr>
        <w:t xml:space="preserve">Decatur County Bank (DCB) is a state-chartered community bank serving West Tennessee across five markets — Jackson, Brownsville, Germantown, Decaturville, and Parsons. With 51–200 employees and seven departments, DCB operates with the efficiency demands of a small institution while carrying the full regulatory weight of a federally supervised bank. Its two-year corporate strategy is direct and well-grounded: </w:t>
      </w:r>
      <w:r>
        <w:rPr>
          <w:b/>
          <w:bCs/>
          <w:sz w:val="22"/>
          <w:szCs w:val="22"/>
        </w:rPr>
        <w:t xml:space="preserve">become more efficient and more profitable while growing safely and soundly.</w:t>
      </w:r>
      <w:r>
        <w:rPr>
          <w:b w:val="false"/>
          <w:bCs w:val="false"/>
          <w:sz w:val="22"/>
          <w:szCs w:val="22"/>
        </w:rPr>
        <w:t xml:space="preserve"> Every recommendation in this plan is subordinate to those two priorities.</w:t>
      </w:r>
    </w:p>
    <w:p>
      <w:pPr>
        <w:spacing w:after="100"/>
      </w:pPr>
    </w:p>
    <w:p>
      <w:pPr>
        <w:pStyle w:val="Heading2"/>
        <w:spacing w:after="150" w:before="300"/>
      </w:pPr>
      <w:r>
        <w:rPr>
          <w:rFonts w:ascii="Arial" w:cs="Arial" w:eastAsia="Arial" w:hAnsi="Arial"/>
          <w:b/>
          <w:bCs/>
          <w:sz w:val="30"/>
          <w:szCs w:val="30"/>
        </w:rPr>
        <w:t xml:space="preserve">Current AI Posture</w:t>
      </w:r>
    </w:p>
    <w:p>
      <w:pPr>
        <w:spacing w:after="100"/>
      </w:pPr>
    </w:p>
    <w:p>
      <w:pPr>
        <w:spacing w:after="100"/>
      </w:pPr>
      <w:r>
        <w:rPr>
          <w:b w:val="false"/>
          <w:bCs w:val="false"/>
          <w:sz w:val="22"/>
          <w:szCs w:val="22"/>
        </w:rPr>
        <w:t xml:space="preserve">DCB is an </w:t>
      </w:r>
      <w:r>
        <w:rPr>
          <w:b/>
          <w:bCs/>
          <w:sz w:val="22"/>
          <w:szCs w:val="22"/>
        </w:rPr>
        <w:t xml:space="preserve">early experimenter</w:t>
      </w:r>
      <w:r>
        <w:rPr>
          <w:b w:val="false"/>
          <w:bCs w:val="false"/>
          <w:sz w:val="22"/>
          <w:szCs w:val="22"/>
        </w:rPr>
        <w:t xml:space="preserve"> — ahead of many peer institutions, but not yet operationally committed to AI. Leadership holds Copilot licenses for select staff and has explored Claude's capabilities. The Compliance department uses one AI-powered tool. AI use is informal, individual-driven, and not yet systematized. That is the starting point — not a weakness, but an accurate baseline.</w:t>
      </w:r>
    </w:p>
    <w:p>
      <w:pPr>
        <w:spacing w:after="100"/>
      </w:pPr>
    </w:p>
    <w:p>
      <w:pPr>
        <w:pStyle w:val="Heading2"/>
        <w:spacing w:after="150" w:before="300"/>
      </w:pPr>
      <w:r>
        <w:rPr>
          <w:rFonts w:ascii="Arial" w:cs="Arial" w:eastAsia="Arial" w:hAnsi="Arial"/>
          <w:b/>
          <w:bCs/>
          <w:sz w:val="30"/>
          <w:szCs w:val="30"/>
        </w:rPr>
        <w:t xml:space="preserve">Risk Appetite</w:t>
      </w:r>
    </w:p>
    <w:p>
      <w:pPr>
        <w:spacing w:after="100"/>
      </w:pPr>
    </w:p>
    <w:p>
      <w:pPr>
        <w:spacing w:after="100"/>
      </w:pPr>
      <w:r>
        <w:rPr>
          <w:b w:val="false"/>
          <w:bCs w:val="false"/>
          <w:sz w:val="22"/>
          <w:szCs w:val="22"/>
        </w:rPr>
        <w:t xml:space="preserve">Risk tolerance is </w:t>
      </w:r>
      <w:r>
        <w:rPr>
          <w:b/>
          <w:bCs/>
          <w:sz w:val="22"/>
          <w:szCs w:val="22"/>
        </w:rPr>
        <w:t xml:space="preserve">low and appropriate for a regulated depository institution.</w:t>
      </w:r>
      <w:r>
        <w:rPr>
          <w:b w:val="false"/>
          <w:bCs w:val="false"/>
          <w:sz w:val="22"/>
          <w:szCs w:val="22"/>
        </w:rPr>
        <w:t xml:space="preserve"> Leadership's primary concerns — client data exposure, regulatory scrutiny of a poorly designed program, and staff resistance — are exactly the right concerns to name at the outset. This plan is architected around those risks, not despite them.</w:t>
      </w:r>
    </w:p>
    <w:p>
      <w:pPr>
        <w:spacing w:after="100"/>
      </w:pPr>
    </w:p>
    <w:p>
      <w:pPr>
        <w:pStyle w:val="Heading2"/>
        <w:spacing w:after="150" w:before="300"/>
      </w:pPr>
      <w:r>
        <w:rPr>
          <w:rFonts w:ascii="Arial" w:cs="Arial" w:eastAsia="Arial" w:hAnsi="Arial"/>
          <w:b/>
          <w:bCs/>
          <w:sz w:val="30"/>
          <w:szCs w:val="30"/>
        </w:rPr>
        <w:t xml:space="preserve">Strategic Recommendation</w:t>
      </w:r>
    </w:p>
    <w:p>
      <w:pPr>
        <w:spacing w:after="100"/>
      </w:pPr>
    </w:p>
    <w:p>
      <w:pPr>
        <w:spacing w:after="100"/>
      </w:pPr>
      <w:r>
        <w:rPr>
          <w:b w:val="false"/>
          <w:bCs w:val="false"/>
          <w:sz w:val="22"/>
          <w:szCs w:val="22"/>
        </w:rPr>
        <w:t xml:space="preserve">DCB should execute a </w:t>
      </w:r>
      <w:r>
        <w:rPr>
          <w:b/>
          <w:bCs/>
          <w:sz w:val="22"/>
          <w:szCs w:val="22"/>
        </w:rPr>
        <w:t xml:space="preserve">disciplined, three-phase AI adoption program</w:t>
      </w:r>
      <w:r>
        <w:rPr>
          <w:b w:val="false"/>
          <w:bCs w:val="false"/>
          <w:sz w:val="22"/>
          <w:szCs w:val="22"/>
        </w:rPr>
        <w:t xml:space="preserve"> centered on building organizational muscle memory first, protecting client data throughout, and generating measurable ROI before scaling. The plan avoids the most common community bank AI failure mode: purchasing solutions before building the internal competency to use them well.</w:t>
      </w:r>
    </w:p>
    <w:p>
      <w:pPr>
        <w:spacing w:after="100"/>
      </w:pPr>
    </w:p>
    <w:p>
      <w:pPr>
        <w:spacing w:after="100"/>
      </w:pPr>
      <w:r>
        <w:rPr>
          <w:b w:val="false"/>
          <w:bCs w:val="false"/>
          <w:sz w:val="22"/>
          <w:szCs w:val="22"/>
        </w:rPr>
        <w:t xml:space="preserve"/>
      </w:r>
      <w:r>
        <w:rPr>
          <w:b/>
          <w:bCs/>
          <w:sz w:val="22"/>
          <w:szCs w:val="22"/>
        </w:rPr>
        <w:t xml:space="preserve">Phase 1 (Months 0–3):</w:t>
      </w:r>
      <w:r>
        <w:rPr>
          <w:b w:val="false"/>
          <w:bCs w:val="false"/>
          <w:sz w:val="22"/>
          <w:szCs w:val="22"/>
        </w:rPr>
        <w:t xml:space="preserve"> Systematize what DCB already uses. Expand Copilot usage across the organization. Build the AI Working Group. Launch the Communication Hub. Deliver one quantifiable efficiency win in lending or compliance reporting. Establish governance guardrails.</w:t>
      </w:r>
    </w:p>
    <w:p>
      <w:pPr>
        <w:spacing w:after="100"/>
      </w:pPr>
    </w:p>
    <w:p>
      <w:pPr>
        <w:spacing w:after="100"/>
      </w:pPr>
      <w:r>
        <w:rPr>
          <w:b w:val="false"/>
          <w:bCs w:val="false"/>
          <w:sz w:val="22"/>
          <w:szCs w:val="22"/>
        </w:rPr>
        <w:t xml:space="preserve"/>
      </w:r>
      <w:r>
        <w:rPr>
          <w:b/>
          <w:bCs/>
          <w:sz w:val="22"/>
          <w:szCs w:val="22"/>
        </w:rPr>
        <w:t xml:space="preserve">Phase 2 (Months 6–9):</w:t>
      </w:r>
      <w:r>
        <w:rPr>
          <w:b w:val="false"/>
          <w:bCs w:val="false"/>
          <w:sz w:val="22"/>
          <w:szCs w:val="22"/>
        </w:rPr>
        <w:t xml:space="preserve"> Act on the best ideas surfaced in Phase 1. Build AI-assisted workflows for credit packages and monthly regulatory reporting. Evaluate vendor replacement opportunities (including Meridian Link and HMDA Wiz alternatives). Activate Microsoft Copilot's full feature set across core workflows.</w:t>
      </w:r>
    </w:p>
    <w:p>
      <w:pPr>
        <w:spacing w:after="100"/>
      </w:pPr>
    </w:p>
    <w:p>
      <w:pPr>
        <w:spacing w:after="100"/>
      </w:pPr>
      <w:r>
        <w:rPr>
          <w:b w:val="false"/>
          <w:bCs w:val="false"/>
          <w:sz w:val="22"/>
          <w:szCs w:val="22"/>
        </w:rPr>
        <w:t xml:space="preserve"/>
      </w:r>
      <w:r>
        <w:rPr>
          <w:b/>
          <w:bCs/>
          <w:sz w:val="22"/>
          <w:szCs w:val="22"/>
        </w:rPr>
        <w:t xml:space="preserve">Phase 3 (Months 12–24):</w:t>
      </w:r>
      <w:r>
        <w:rPr>
          <w:b w:val="false"/>
          <w:bCs w:val="false"/>
          <w:sz w:val="22"/>
          <w:szCs w:val="22"/>
        </w:rPr>
        <w:t xml:space="preserve"> Scale AI-assisted client communication tools. Evaluate fintech integrations. Introduce AI-enhanced relationship management capabilities. Mature the governance council into a permanent oversight body.</w:t>
      </w:r>
    </w:p>
    <w:p>
      <w:pPr>
        <w:spacing w:after="100"/>
      </w:pPr>
    </w:p>
    <w:p>
      <w:pPr>
        <w:pStyle w:val="Heading2"/>
        <w:spacing w:after="150" w:before="300"/>
      </w:pPr>
      <w:r>
        <w:rPr>
          <w:rFonts w:ascii="Arial" w:cs="Arial" w:eastAsia="Arial" w:hAnsi="Arial"/>
          <w:b/>
          <w:bCs/>
          <w:sz w:val="30"/>
          <w:szCs w:val="30"/>
        </w:rPr>
        <w:t xml:space="preserve">Expected Outcomes by Phase</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tcPr>
          <w:p>
            <w:r>
              <w:rPr>
                <w:b/>
                <w:bCs/>
                <w:sz w:val="20"/>
                <w:szCs w:val="20"/>
              </w:rPr>
              <w:t xml:space="preserve">Phase</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Timeline</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Key Outcome</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Foundation</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0–3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Staff using AI daily; governance in place; first measurable efficiency win</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Consolidation</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3–6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Habits solidify; Working Group plans Phase 2</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Build</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6–9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Automated workflows live; vendor cost savings realized</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Scale</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12–24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Client-facing AI capabilities; compounding efficiency gains</w:t>
            </w:r>
          </w:p>
        </w:tc>
      </w:tr>
    </w:tbl>
    <w:p>
      <w:pPr>
        <w:spacing w:after="200"/>
      </w:pPr>
    </w:p>
    <w:p>
      <w:pPr>
        <w:spacing w:after="100"/>
      </w:pPr>
    </w:p>
    <w:p>
      <w:pPr>
        <w:pStyle w:val="Heading2"/>
        <w:spacing w:after="150" w:before="300"/>
      </w:pPr>
      <w:r>
        <w:rPr>
          <w:rFonts w:ascii="Arial" w:cs="Arial" w:eastAsia="Arial" w:hAnsi="Arial"/>
          <w:b/>
          <w:bCs/>
          <w:sz w:val="30"/>
          <w:szCs w:val="30"/>
        </w:rPr>
        <w:t xml:space="preserve">Total Investment Summary</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tcPr>
          <w:p>
            <w:r>
              <w:rPr>
                <w:b/>
                <w:bCs/>
                <w:sz w:val="20"/>
                <w:szCs w:val="20"/>
              </w:rPr>
              <w:t xml:space="preserve">Phase</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Investment</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Cumulative</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Phase 1 (0–3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$4,500–$7,000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$4,500–$7,000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Phase 2 (6–9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$5,000–$9,000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$9,500–$16,000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Phase 3 (12–24 months)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$5,000–$10,000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$14,500–$26,000</w:t>
            </w:r>
          </w:p>
        </w:tc>
      </w:tr>
    </w:tbl>
    <w:p>
      <w:pPr>
        <w:spacing w:after="200"/>
      </w:pPr>
    </w:p>
    <w:p>
      <w:pPr>
        <w:spacing w:after="100"/>
      </w:pPr>
    </w:p>
    <w:p>
      <w:pPr>
        <w:spacing w:after="100"/>
      </w:pPr>
      <w:r>
        <w:rPr>
          <w:b w:val="false"/>
          <w:bCs w:val="false"/>
          <w:sz w:val="22"/>
          <w:szCs w:val="22"/>
        </w:rPr>
        <w:t xml:space="preserve">*Note: The upper end of the 24-month total slightly exceeds the stated $25,000 budget ceiling. Section IX addresses prioritization trade-offs and how to stay within range.*</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II. Organizational Context Used</w:t>
      </w:r>
    </w:p>
    <w:p>
      <w:pPr>
        <w:spacing w:after="100"/>
      </w:pPr>
    </w:p>
    <w:p>
      <w:pPr>
        <w:spacing w:after="100"/>
      </w:pPr>
      <w:r>
        <w:rPr>
          <w:b w:val="false"/>
          <w:bCs w:val="false"/>
          <w:sz w:val="22"/>
          <w:szCs w:val="22"/>
        </w:rPr>
        <w:t xml:space="preserve">The following intake data directly shaped this plan's recommendations:</w:t>
      </w:r>
    </w:p>
    <w:p>
      <w:pPr>
        <w:spacing w:after="100"/>
      </w:pPr>
    </w:p>
    <w:p>
      <w:pPr>
        <w:pStyle w:val="ListParagraph"/>
        <w:numPr>
          <w:ilvl w:val="0"/>
          <w:numId w:val="1"/>
        </w:numPr>
        <w:spacing w:after="60"/>
      </w:pPr>
      <w:r>
        <w:rPr>
          <w:b w:val="false"/>
          <w:bCs w:val="false"/>
          <w:sz w:val="22"/>
          <w:szCs w:val="22"/>
        </w:rPr>
        <w:t xml:space="preserve"/>
      </w:r>
      <w:r>
        <w:rPr>
          <w:b/>
          <w:bCs/>
          <w:sz w:val="22"/>
          <w:szCs w:val="22"/>
        </w:rPr>
        <w:t xml:space="preserve">Corporate strategy anchors:</w:t>
      </w:r>
      <w:r>
        <w:rPr>
          <w:b w:val="false"/>
          <w:bCs w:val="false"/>
          <w:sz w:val="22"/>
          <w:szCs w:val="22"/>
        </w:rPr>
        <w:t xml:space="preserve"> Efficiency, profitability, and safe/sound growth — all recommendations are filtered through these priorities</w:t>
      </w:r>
    </w:p>
    <w:p>
      <w:pPr>
        <w:pStyle w:val="ListParagraph"/>
        <w:numPr>
          <w:ilvl w:val="0"/>
          <w:numId w:val="1"/>
        </w:numPr>
        <w:spacing w:after="60"/>
      </w:pPr>
      <w:r>
        <w:rPr>
          <w:b w:val="false"/>
          <w:bCs w:val="false"/>
          <w:sz w:val="22"/>
          <w:szCs w:val="22"/>
        </w:rPr>
        <w:t xml:space="preserve"/>
      </w:r>
      <w:r>
        <w:rPr>
          <w:b/>
          <w:bCs/>
          <w:sz w:val="22"/>
          <w:szCs w:val="22"/>
        </w:rPr>
        <w:t xml:space="preserve">Five-market footprint</w:t>
      </w:r>
      <w:r>
        <w:rPr>
          <w:b w:val="false"/>
          <w:bCs w:val="false"/>
          <w:sz w:val="22"/>
          <w:szCs w:val="22"/>
        </w:rPr>
        <w:t xml:space="preserve"> across West Tennessee — relevant to branch-level AI rollout sequencing and IT support capacity</w:t>
      </w:r>
    </w:p>
    <w:p>
      <w:pPr>
        <w:pStyle w:val="ListParagraph"/>
        <w:numPr>
          <w:ilvl w:val="0"/>
          <w:numId w:val="1"/>
        </w:numPr>
        <w:spacing w:after="60"/>
      </w:pPr>
      <w:r>
        <w:rPr>
          <w:b w:val="false"/>
          <w:bCs w:val="false"/>
          <w:sz w:val="22"/>
          <w:szCs w:val="22"/>
        </w:rPr>
        <w:t xml:space="preserve"/>
      </w:r>
      <w:r>
        <w:rPr>
          <w:b/>
          <w:bCs/>
          <w:sz w:val="22"/>
          <w:szCs w:val="22"/>
        </w:rPr>
        <w:t xml:space="preserve">51–200 employee range</w:t>
      </w:r>
      <w:r>
        <w:rPr>
          <w:b w:val="false"/>
          <w:bCs w:val="false"/>
          <w:sz w:val="22"/>
          <w:szCs w:val="22"/>
        </w:rPr>
        <w:t xml:space="preserve"> — plan is sized for a lean institution where one working group can represent the whole organization</w:t>
      </w:r>
    </w:p>
    <w:p>
      <w:pPr>
        <w:pStyle w:val="ListParagraph"/>
        <w:numPr>
          <w:ilvl w:val="0"/>
          <w:numId w:val="1"/>
        </w:numPr>
        <w:spacing w:after="60"/>
      </w:pPr>
      <w:r>
        <w:rPr>
          <w:b w:val="false"/>
          <w:bCs w:val="false"/>
          <w:sz w:val="22"/>
          <w:szCs w:val="22"/>
        </w:rPr>
        <w:t xml:space="preserve"/>
      </w:r>
      <w:r>
        <w:rPr>
          <w:b/>
          <w:bCs/>
          <w:sz w:val="22"/>
          <w:szCs w:val="22"/>
        </w:rPr>
        <w:t xml:space="preserve">Seven departments identified</w:t>
      </w:r>
      <w:r>
        <w:rPr>
          <w:b w:val="false"/>
          <w:bCs w:val="false"/>
          <w:sz w:val="22"/>
          <w:szCs w:val="22"/>
        </w:rPr>
        <w:t xml:space="preserve"> — all seven were named as having AI potential, which informed a broad but sequenced adoption approach</w:t>
      </w:r>
    </w:p>
    <w:p>
      <w:pPr>
        <w:pStyle w:val="ListParagraph"/>
        <w:numPr>
          <w:ilvl w:val="0"/>
          <w:numId w:val="1"/>
        </w:numPr>
        <w:spacing w:after="60"/>
      </w:pPr>
      <w:r>
        <w:rPr>
          <w:b w:val="false"/>
          <w:bCs w:val="false"/>
          <w:sz w:val="22"/>
          <w:szCs w:val="22"/>
        </w:rPr>
        <w:t xml:space="preserve"/>
      </w:r>
      <w:r>
        <w:rPr>
          <w:b/>
          <w:bCs/>
          <w:sz w:val="22"/>
          <w:szCs w:val="22"/>
        </w:rPr>
        <w:t xml:space="preserve">Existing tools:</w:t>
      </w:r>
      <w:r>
        <w:rPr>
          <w:b w:val="false"/>
          <w:bCs w:val="false"/>
          <w:sz w:val="22"/>
          <w:szCs w:val="22"/>
        </w:rPr>
        <w:t xml:space="preserve"> Fiserv Premier, Microsoft 365 / Copilot, Claude, Wolters Kluwer, Meridian Link, Aurora, HMDA Wiz, Compliance AI — all referenced in use case and vendor analysis</w:t>
      </w:r>
    </w:p>
    <w:p>
      <w:pPr>
        <w:pStyle w:val="ListParagraph"/>
        <w:numPr>
          <w:ilvl w:val="0"/>
          <w:numId w:val="1"/>
        </w:numPr>
        <w:spacing w:after="60"/>
      </w:pPr>
      <w:r>
        <w:rPr>
          <w:b w:val="false"/>
          <w:bCs w:val="false"/>
          <w:sz w:val="22"/>
          <w:szCs w:val="22"/>
        </w:rPr>
        <w:t xml:space="preserve"/>
      </w:r>
      <w:r>
        <w:rPr>
          <w:b/>
          <w:bCs/>
          <w:sz w:val="22"/>
          <w:szCs w:val="22"/>
        </w:rPr>
        <w:t xml:space="preserve">Pain points stated:</w:t>
      </w:r>
      <w:r>
        <w:rPr>
          <w:b w:val="false"/>
          <w:bCs w:val="false"/>
          <w:sz w:val="22"/>
          <w:szCs w:val="22"/>
        </w:rPr>
        <w:t xml:space="preserve"> Credit package preparation, client correspondence, manual reporting (BSA, HMDA, Credit/Deposit monthly reports) — these became the highest-priority Phase 1 use cases</w:t>
      </w:r>
    </w:p>
    <w:p>
      <w:pPr>
        <w:pStyle w:val="ListParagraph"/>
        <w:numPr>
          <w:ilvl w:val="0"/>
          <w:numId w:val="1"/>
        </w:numPr>
        <w:spacing w:after="60"/>
      </w:pPr>
      <w:r>
        <w:rPr>
          <w:b w:val="false"/>
          <w:bCs w:val="false"/>
          <w:sz w:val="22"/>
          <w:szCs w:val="22"/>
        </w:rPr>
        <w:t xml:space="preserve"/>
      </w:r>
      <w:r>
        <w:rPr>
          <w:b/>
          <w:bCs/>
          <w:sz w:val="22"/>
          <w:szCs w:val="22"/>
        </w:rPr>
        <w:t xml:space="preserve">3-month goal:</w:t>
      </w:r>
      <w:r>
        <w:rPr>
          <w:b w:val="false"/>
          <w:bCs w:val="false"/>
          <w:sz w:val="22"/>
          <w:szCs w:val="22"/>
        </w:rPr>
        <w:t xml:space="preserve"> Replace costly service providers (Meridian Link, HMDA Wiz) and begin employee productivity training — this was taken seriously as a near-term driver</w:t>
      </w:r>
    </w:p>
    <w:p>
      <w:pPr>
        <w:pStyle w:val="ListParagraph"/>
        <w:numPr>
          <w:ilvl w:val="0"/>
          <w:numId w:val="1"/>
        </w:numPr>
        <w:spacing w:after="60"/>
      </w:pPr>
      <w:r>
        <w:rPr>
          <w:b w:val="false"/>
          <w:bCs w:val="false"/>
          <w:sz w:val="22"/>
          <w:szCs w:val="22"/>
        </w:rPr>
        <w:t xml:space="preserve"/>
      </w:r>
      <w:r>
        <w:rPr>
          <w:b/>
          <w:bCs/>
          <w:sz w:val="22"/>
          <w:szCs w:val="22"/>
        </w:rPr>
        <w:t xml:space="preserve">12–24 month goal:</w:t>
      </w:r>
      <w:r>
        <w:rPr>
          <w:b w:val="false"/>
          <w:bCs w:val="false"/>
          <w:sz w:val="22"/>
          <w:szCs w:val="22"/>
        </w:rPr>
        <w:t xml:space="preserve"> Client communication tools and relationship management efficiency — positioned in Phase 3</w:t>
      </w:r>
    </w:p>
    <w:p>
      <w:pPr>
        <w:pStyle w:val="ListParagraph"/>
        <w:numPr>
          <w:ilvl w:val="0"/>
          <w:numId w:val="1"/>
        </w:numPr>
        <w:spacing w:after="60"/>
      </w:pPr>
      <w:r>
        <w:rPr>
          <w:b w:val="false"/>
          <w:bCs w:val="false"/>
          <w:sz w:val="22"/>
          <w:szCs w:val="22"/>
        </w:rPr>
        <w:t xml:space="preserve"/>
      </w:r>
      <w:r>
        <w:rPr>
          <w:b/>
          <w:bCs/>
          <w:sz w:val="22"/>
          <w:szCs w:val="22"/>
        </w:rPr>
        <w:t xml:space="preserve">Risk concerns named explicitly:</w:t>
      </w:r>
      <w:r>
        <w:rPr>
          <w:b w:val="false"/>
          <w:bCs w:val="false"/>
          <w:sz w:val="22"/>
          <w:szCs w:val="22"/>
        </w:rPr>
        <w:t xml:space="preserve"> Data loss, regulatory scrutiny, staff resistance to AI — all addressed in Governance section and Working Group design</w:t>
      </w:r>
    </w:p>
    <w:p>
      <w:pPr>
        <w:pStyle w:val="ListParagraph"/>
        <w:numPr>
          <w:ilvl w:val="0"/>
          <w:numId w:val="1"/>
        </w:numPr>
        <w:spacing w:after="60"/>
      </w:pPr>
      <w:r>
        <w:rPr>
          <w:b w:val="false"/>
          <w:bCs w:val="false"/>
          <w:sz w:val="22"/>
          <w:szCs w:val="22"/>
        </w:rPr>
        <w:t xml:space="preserve"/>
      </w:r>
      <w:r>
        <w:rPr>
          <w:b/>
          <w:bCs/>
          <w:sz w:val="22"/>
          <w:szCs w:val="22"/>
        </w:rPr>
        <w:t xml:space="preserve">Budget:</w:t>
      </w:r>
      <w:r>
        <w:rPr>
          <w:b w:val="false"/>
          <w:bCs w:val="false"/>
          <w:sz w:val="22"/>
          <w:szCs w:val="22"/>
        </w:rPr>
        <w:t xml:space="preserve"> $10,000–$25,000 annual — plan is structured to deliver ROI before exhausting budget</w:t>
      </w:r>
    </w:p>
    <w:p>
      <w:pPr>
        <w:pStyle w:val="ListParagraph"/>
        <w:numPr>
          <w:ilvl w:val="0"/>
          <w:numId w:val="1"/>
        </w:numPr>
        <w:spacing w:after="60"/>
      </w:pPr>
      <w:r>
        <w:rPr>
          <w:b w:val="false"/>
          <w:bCs w:val="false"/>
          <w:sz w:val="22"/>
          <w:szCs w:val="22"/>
        </w:rPr>
        <w:t xml:space="preserve"/>
      </w:r>
      <w:r>
        <w:rPr>
          <w:b/>
          <w:bCs/>
          <w:sz w:val="22"/>
          <w:szCs w:val="22"/>
        </w:rPr>
        <w:t xml:space="preserve">Implementation owners:</w:t>
      </w:r>
      <w:r>
        <w:rPr>
          <w:b w:val="false"/>
          <w:bCs w:val="false"/>
          <w:sz w:val="22"/>
          <w:szCs w:val="22"/>
        </w:rPr>
        <w:t xml:space="preserve"> Kirk Goehring and Garrett Moore — named throughout the plan</w:t>
      </w:r>
    </w:p>
    <w:p>
      <w:pPr>
        <w:pStyle w:val="ListParagraph"/>
        <w:numPr>
          <w:ilvl w:val="0"/>
          <w:numId w:val="1"/>
        </w:numPr>
        <w:spacing w:after="60"/>
      </w:pPr>
      <w:r>
        <w:rPr>
          <w:b w:val="false"/>
          <w:bCs w:val="false"/>
          <w:sz w:val="22"/>
          <w:szCs w:val="22"/>
        </w:rPr>
        <w:t xml:space="preserve"/>
      </w:r>
      <w:r>
        <w:rPr>
          <w:b/>
          <w:bCs/>
          <w:sz w:val="22"/>
          <w:szCs w:val="22"/>
        </w:rPr>
        <w:t xml:space="preserve">AI Working Group appetite:</w:t>
      </w:r>
      <w:r>
        <w:rPr>
          <w:b w:val="false"/>
          <w:bCs w:val="false"/>
          <w:sz w:val="22"/>
          <w:szCs w:val="22"/>
        </w:rPr>
        <w:t xml:space="preserve"> Confirmed yes — critical to execution</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III. Key Assumptions</w:t>
      </w:r>
    </w:p>
    <w:p>
      <w:pPr>
        <w:spacing w:after="100"/>
      </w:pPr>
    </w:p>
    <w:p>
      <w:pPr>
        <w:spacing w:after="100"/>
      </w:pPr>
      <w:r>
        <w:rPr>
          <w:b w:val="false"/>
          <w:bCs w:val="false"/>
          <w:sz w:val="22"/>
          <w:szCs w:val="22"/>
        </w:rPr>
        <w:t xml:space="preserve">The following assumptions were made where intake data was incomplete or ambiguous. Each includes a note on how the recommendation would change if the assumption is incorrect.</w:t>
      </w:r>
    </w:p>
    <w:p>
      <w:pPr>
        <w:spacing w:after="100"/>
      </w:pPr>
    </w:p>
    <w:p>
      <w:pPr>
        <w:spacing w:after="100"/>
      </w:pPr>
      <w:r>
        <w:rPr>
          <w:b w:val="false"/>
          <w:bCs w:val="false"/>
          <w:sz w:val="22"/>
          <w:szCs w:val="22"/>
        </w:rPr>
        <w:t xml:space="preserve">1. </w:t>
      </w:r>
      <w:r>
        <w:rPr>
          <w:b/>
          <w:bCs/>
          <w:sz w:val="22"/>
          <w:szCs w:val="22"/>
        </w:rPr>
        <w:t xml:space="preserve">Assumption: Copilot licenses currently held are Microsoft 365 Copilot (the business AI assistant), not just legacy autocomplete features.</w:t>
      </w:r>
      <w:r>
        <w:rPr>
          <w:b w:val="false"/>
          <w:bCs w:val="false"/>
          <w:sz w:val="22"/>
          <w:szCs w:val="22"/>
        </w:rPr>
        <w:t xml:space="preserve"/>
      </w:r>
    </w:p>
    <w:p>
      <w:pPr>
        <w:spacing w:after="100"/>
      </w:pPr>
      <w:r>
        <w:rPr>
          <w:b w:val="false"/>
          <w:bCs w:val="false"/>
          <w:sz w:val="22"/>
          <w:szCs w:val="22"/>
        </w:rPr>
        <w:t xml:space="preserve">*If wrong:* The Phase 1 Copilot activation strategy would need to shift to a licensing procurement step first, adding 30–60 days and $3,000–$6,000 in additional budget.</w:t>
      </w:r>
    </w:p>
    <w:p>
      <w:pPr>
        <w:spacing w:after="100"/>
      </w:pPr>
    </w:p>
    <w:p>
      <w:pPr>
        <w:spacing w:after="100"/>
      </w:pPr>
      <w:r>
        <w:rPr>
          <w:b w:val="false"/>
          <w:bCs w:val="false"/>
          <w:sz w:val="22"/>
          <w:szCs w:val="22"/>
        </w:rPr>
        <w:t xml:space="preserve">2. </w:t>
      </w:r>
      <w:r>
        <w:rPr>
          <w:b/>
          <w:bCs/>
          <w:sz w:val="22"/>
          <w:szCs w:val="22"/>
        </w:rPr>
        <w:t xml:space="preserve">Assumption: DCB does not currently have an AI acceptable use policy or data governance policy specific to AI tools.</w:t>
      </w:r>
      <w:r>
        <w:rPr>
          <w:b w:val="false"/>
          <w:bCs w:val="false"/>
          <w:sz w:val="22"/>
          <w:szCs w:val="22"/>
        </w:rPr>
        <w:t xml:space="preserve"/>
      </w:r>
    </w:p>
    <w:p>
      <w:pPr>
        <w:spacing w:after="100"/>
      </w:pPr>
      <w:r>
        <w:rPr>
          <w:b w:val="false"/>
          <w:bCs w:val="false"/>
          <w:sz w:val="22"/>
          <w:szCs w:val="22"/>
        </w:rPr>
        <w:t xml:space="preserve">*If wrong:* Governance can be fast-tracked and the Working Group's first month can focus on refinement rather than creation.</w:t>
      </w:r>
    </w:p>
    <w:p>
      <w:pPr>
        <w:spacing w:after="100"/>
      </w:pPr>
    </w:p>
    <w:p>
      <w:pPr>
        <w:spacing w:after="100"/>
      </w:pPr>
      <w:r>
        <w:rPr>
          <w:b w:val="false"/>
          <w:bCs w:val="false"/>
          <w:sz w:val="22"/>
          <w:szCs w:val="22"/>
        </w:rPr>
        <w:t xml:space="preserve">3. </w:t>
      </w:r>
      <w:r>
        <w:rPr>
          <w:b/>
          <w:bCs/>
          <w:sz w:val="22"/>
          <w:szCs w:val="22"/>
        </w:rPr>
        <w:t xml:space="preserve">Assumption: Fiserv Premier does not currently have AI-native features activated or licensed.</w:t>
      </w:r>
      <w:r>
        <w:rPr>
          <w:b w:val="false"/>
          <w:bCs w:val="false"/>
          <w:sz w:val="22"/>
          <w:szCs w:val="22"/>
        </w:rPr>
        <w:t xml:space="preserve"/>
      </w:r>
    </w:p>
    <w:p>
      <w:pPr>
        <w:spacing w:after="100"/>
      </w:pPr>
      <w:r>
        <w:rPr>
          <w:b w:val="false"/>
          <w:bCs w:val="false"/>
          <w:sz w:val="22"/>
          <w:szCs w:val="22"/>
        </w:rPr>
        <w:t xml:space="preserve">*If wrong:* A Fiserv AI feature audit should be the first vendor conversation — potential quick wins exist if features are already paid for but unused.</w:t>
      </w:r>
    </w:p>
    <w:p>
      <w:pPr>
        <w:spacing w:after="100"/>
      </w:pPr>
    </w:p>
    <w:p>
      <w:pPr>
        <w:spacing w:after="100"/>
      </w:pPr>
      <w:r>
        <w:rPr>
          <w:b w:val="false"/>
          <w:bCs w:val="false"/>
          <w:sz w:val="22"/>
          <w:szCs w:val="22"/>
        </w:rPr>
        <w:t xml:space="preserve">4. </w:t>
      </w:r>
      <w:r>
        <w:rPr>
          <w:b/>
          <w:bCs/>
          <w:sz w:val="22"/>
          <w:szCs w:val="22"/>
        </w:rPr>
        <w:t xml:space="preserve">Assumption: The "Compliance AI tool" referenced is a third-party SaaS solution (not built in-house), and it operates in a data-isolated environment already compliant with bank data handling standards.</w:t>
      </w:r>
      <w:r>
        <w:rPr>
          <w:b w:val="false"/>
          <w:bCs w:val="false"/>
          <w:sz w:val="22"/>
          <w:szCs w:val="22"/>
        </w:rPr>
        <w:t xml:space="preserve"/>
      </w:r>
    </w:p>
    <w:p>
      <w:pPr>
        <w:spacing w:after="100"/>
      </w:pPr>
      <w:r>
        <w:rPr>
          <w:b w:val="false"/>
          <w:bCs w:val="false"/>
          <w:sz w:val="22"/>
          <w:szCs w:val="22"/>
        </w:rPr>
        <w:t xml:space="preserve">*If wrong:* A compliance and security review of that tool should be prioritized before expanding AI usage elsewhere.</w:t>
      </w:r>
    </w:p>
    <w:p>
      <w:pPr>
        <w:spacing w:after="100"/>
      </w:pPr>
    </w:p>
    <w:p>
      <w:pPr>
        <w:spacing w:after="100"/>
      </w:pPr>
      <w:r>
        <w:rPr>
          <w:b w:val="false"/>
          <w:bCs w:val="false"/>
          <w:sz w:val="22"/>
          <w:szCs w:val="22"/>
        </w:rPr>
        <w:t xml:space="preserve">5. </w:t>
      </w:r>
      <w:r>
        <w:rPr>
          <w:b/>
          <w:bCs/>
          <w:sz w:val="22"/>
          <w:szCs w:val="22"/>
        </w:rPr>
        <w:t xml:space="preserve">Assumption: Staff have general comfort with Microsoft 365 (Word, Excel, Outlook, Teams) as their daily operating environment.</w:t>
      </w:r>
      <w:r>
        <w:rPr>
          <w:b w:val="false"/>
          <w:bCs w:val="false"/>
          <w:sz w:val="22"/>
          <w:szCs w:val="22"/>
        </w:rPr>
        <w:t xml:space="preserve"/>
      </w:r>
    </w:p>
    <w:p>
      <w:pPr>
        <w:spacing w:after="100"/>
      </w:pPr>
      <w:r>
        <w:rPr>
          <w:b w:val="false"/>
          <w:bCs w:val="false"/>
          <w:sz w:val="22"/>
          <w:szCs w:val="22"/>
        </w:rPr>
        <w:t xml:space="preserve">*If wrong:* A basic digital literacy baseline should be established before Copilot training begins.</w:t>
      </w:r>
    </w:p>
    <w:p>
      <w:pPr>
        <w:spacing w:after="100"/>
      </w:pPr>
    </w:p>
    <w:p>
      <w:pPr>
        <w:spacing w:after="100"/>
      </w:pPr>
      <w:r>
        <w:rPr>
          <w:b w:val="false"/>
          <w:bCs w:val="false"/>
          <w:sz w:val="22"/>
          <w:szCs w:val="22"/>
        </w:rPr>
        <w:t xml:space="preserve">6. </w:t>
      </w:r>
      <w:r>
        <w:rPr>
          <w:b/>
          <w:bCs/>
          <w:sz w:val="22"/>
          <w:szCs w:val="22"/>
        </w:rPr>
        <w:t xml:space="preserve">Assumption: The bank's IT team has the bandwidth to support internal AI governance but does not have a dedicated AI or data engineering resource.</w:t>
      </w:r>
      <w:r>
        <w:rPr>
          <w:b w:val="false"/>
          <w:bCs w:val="false"/>
          <w:sz w:val="22"/>
          <w:szCs w:val="22"/>
        </w:rPr>
        <w:t xml:space="preserve"/>
      </w:r>
    </w:p>
    <w:p>
      <w:pPr>
        <w:spacing w:after="100"/>
      </w:pPr>
      <w:r>
        <w:rPr>
          <w:b w:val="false"/>
          <w:bCs w:val="false"/>
          <w:sz w:val="22"/>
          <w:szCs w:val="22"/>
        </w:rPr>
        <w:t xml:space="preserve">*If wrong:* If IT is already stretched thin, Phase 1 timelines should be extended and external support should be budgeted.</w:t>
      </w:r>
    </w:p>
    <w:p>
      <w:pPr>
        <w:spacing w:after="100"/>
      </w:pPr>
    </w:p>
    <w:p>
      <w:pPr>
        <w:spacing w:after="100"/>
      </w:pPr>
      <w:r>
        <w:rPr>
          <w:b w:val="false"/>
          <w:bCs w:val="false"/>
          <w:sz w:val="22"/>
          <w:szCs w:val="22"/>
        </w:rPr>
        <w:t xml:space="preserve">7. </w:t>
      </w:r>
      <w:r>
        <w:rPr>
          <w:b/>
          <w:bCs/>
          <w:sz w:val="22"/>
          <w:szCs w:val="22"/>
        </w:rPr>
        <w:t xml:space="preserve">Assumption: Client data (PII, account data, loan data) is currently stored in Fiserv Premier and Aurora, and staff are not uploading client data into general-purpose AI tools like Claude or ChatGPT.</w:t>
      </w:r>
      <w:r>
        <w:rPr>
          <w:b w:val="false"/>
          <w:bCs w:val="false"/>
          <w:sz w:val="22"/>
          <w:szCs w:val="22"/>
        </w:rPr>
        <w:t xml:space="preserve"/>
      </w:r>
    </w:p>
    <w:p>
      <w:pPr>
        <w:spacing w:after="100"/>
      </w:pPr>
      <w:r>
        <w:rPr>
          <w:b w:val="false"/>
          <w:bCs w:val="false"/>
          <w:sz w:val="22"/>
          <w:szCs w:val="22"/>
        </w:rPr>
        <w:t xml:space="preserve">*If wrong:* An immediate data exposure audit is required before any further AI usage proceeds.</w:t>
      </w:r>
    </w:p>
    <w:p>
      <w:pPr>
        <w:spacing w:after="100"/>
      </w:pPr>
    </w:p>
    <w:p>
      <w:pPr>
        <w:spacing w:after="100"/>
      </w:pPr>
      <w:r>
        <w:rPr>
          <w:b w:val="false"/>
          <w:bCs w:val="false"/>
          <w:sz w:val="22"/>
          <w:szCs w:val="22"/>
        </w:rPr>
        <w:t xml:space="preserve">8. </w:t>
      </w:r>
      <w:r>
        <w:rPr>
          <w:b/>
          <w:bCs/>
          <w:sz w:val="22"/>
          <w:szCs w:val="22"/>
        </w:rPr>
        <w:t xml:space="preserve">Assumption: Meridian Link and HMDA Wiz replacement is a 6–24 month evaluation, not a 90-day decision.</w:t>
      </w:r>
      <w:r>
        <w:rPr>
          <w:b w:val="false"/>
          <w:bCs w:val="false"/>
          <w:sz w:val="22"/>
          <w:szCs w:val="22"/>
        </w:rPr>
        <w:t xml:space="preserve"> The 3-month success vision named these as targets, but replacing production lending and compliance software safely takes longer.</w:t>
      </w:r>
    </w:p>
    <w:p>
      <w:pPr>
        <w:spacing w:after="100"/>
      </w:pPr>
      <w:r>
        <w:rPr>
          <w:b w:val="false"/>
          <w:bCs w:val="false"/>
          <w:sz w:val="22"/>
          <w:szCs w:val="22"/>
        </w:rPr>
        <w:t xml:space="preserve">*If wrong (i.e., leadership wants to accelerate):* A dedicated vendor evaluation subcommittee of the Working Group should be formed in Month 1 and meet separately from the main group.</w:t>
      </w:r>
    </w:p>
    <w:p>
      <w:pPr>
        <w:spacing w:after="100"/>
      </w:pPr>
    </w:p>
    <w:p>
      <w:pPr>
        <w:spacing w:after="100"/>
      </w:pPr>
      <w:r>
        <w:rPr>
          <w:b w:val="false"/>
          <w:bCs w:val="false"/>
          <w:sz w:val="22"/>
          <w:szCs w:val="22"/>
        </w:rPr>
        <w:t xml:space="preserve">9. </w:t>
      </w:r>
      <w:r>
        <w:rPr>
          <w:b/>
          <w:bCs/>
          <w:sz w:val="22"/>
          <w:szCs w:val="22"/>
        </w:rPr>
        <w:t xml:space="preserve">Assumption: All five branch locations share the same IT infrastructure and can access the same tools.</w:t>
      </w:r>
      <w:r>
        <w:rPr>
          <w:b w:val="false"/>
          <w:bCs w:val="false"/>
          <w:sz w:val="22"/>
          <w:szCs w:val="22"/>
        </w:rPr>
        <w:t xml:space="preserve"/>
      </w:r>
    </w:p>
    <w:p>
      <w:pPr>
        <w:spacing w:after="100"/>
      </w:pPr>
      <w:r>
        <w:rPr>
          <w:b w:val="false"/>
          <w:bCs w:val="false"/>
          <w:sz w:val="22"/>
          <w:szCs w:val="22"/>
        </w:rPr>
        <w:t xml:space="preserve">*If wrong:* Network and access control differences will affect rollout sequencing and may add IT scope.</w:t>
      </w:r>
    </w:p>
    <w:p>
      <w:pPr>
        <w:spacing w:after="100"/>
      </w:pPr>
    </w:p>
    <w:p>
      <w:pPr>
        <w:spacing w:after="100"/>
      </w:pPr>
      <w:r>
        <w:rPr>
          <w:b w:val="false"/>
          <w:bCs w:val="false"/>
          <w:sz w:val="22"/>
          <w:szCs w:val="22"/>
        </w:rPr>
        <w:t xml:space="preserve">10. </w:t>
      </w:r>
      <w:r>
        <w:rPr>
          <w:b/>
          <w:bCs/>
          <w:sz w:val="22"/>
          <w:szCs w:val="22"/>
        </w:rPr>
        <w:t xml:space="preserve">Assumption: DCB's primary regulatory examiners are the FDIC and Tennessee Department of Financial Institutions (TDFI).</w:t>
      </w:r>
      <w:r>
        <w:rPr>
          <w:b w:val="false"/>
          <w:bCs w:val="false"/>
          <w:sz w:val="22"/>
          <w:szCs w:val="22"/>
        </w:rPr>
        <w:t xml:space="preserve"> Guidance from both will be referenced in the governance framework.</w:t>
      </w:r>
    </w:p>
    <w:p>
      <w:pPr>
        <w:spacing w:after="100"/>
      </w:pPr>
      <w:r>
        <w:rPr>
          <w:b w:val="false"/>
          <w:bCs w:val="false"/>
          <w:sz w:val="22"/>
          <w:szCs w:val="22"/>
        </w:rPr>
        <w:t xml:space="preserve">*If wrong:* Adjust compliance alignment references accordingly (e.g., if OCC or Federal Reserve supervised).</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IV. AI Readiness Assessment</w:t>
      </w:r>
    </w:p>
    <w:p>
      <w:pPr>
        <w:spacing w:after="100"/>
      </w:pPr>
    </w:p>
    <w:p>
      <w:pPr>
        <w:pStyle w:val="Heading2"/>
        <w:spacing w:after="150" w:before="300"/>
      </w:pPr>
      <w:r>
        <w:rPr>
          <w:rFonts w:ascii="Arial" w:cs="Arial" w:eastAsia="Arial" w:hAnsi="Arial"/>
          <w:b/>
          <w:bCs/>
          <w:sz w:val="30"/>
          <w:szCs w:val="30"/>
        </w:rPr>
        <w:t xml:space="preserve">Dimension Ratings</w:t>
      </w:r>
    </w:p>
    <w:p>
      <w:pPr>
        <w:spacing w:after="100"/>
      </w:pPr>
    </w:p>
    <w:p>
      <w:pPr>
        <w:pStyle w:val="Heading3"/>
        <w:spacing w:after="100" w:before="200"/>
      </w:pPr>
      <w:r>
        <w:rPr>
          <w:rFonts w:ascii="Arial" w:cs="Arial" w:eastAsia="Arial" w:hAnsi="Arial"/>
          <w:b/>
          <w:bCs/>
          <w:sz w:val="26"/>
          <w:szCs w:val="26"/>
        </w:rPr>
        <w:t xml:space="preserve">1. Leadership Alignment — 4 / 5</w:t>
      </w:r>
    </w:p>
    <w:p>
      <w:pPr>
        <w:spacing w:after="100"/>
      </w:pPr>
      <w:r>
        <w:rPr>
          <w:b w:val="false"/>
          <w:bCs w:val="false"/>
          <w:sz w:val="22"/>
          <w:szCs w:val="22"/>
        </w:rPr>
        <w:t xml:space="preserve">Leadership urgency is high and authentic. Kirk Goehring's framing of AI as a "competitive necessity" and his specific identification of vendor replacement targets indicates strategic clarity, not just curiosity. The appointment of two named implementation owners (Goehring and Garrett Moore) is a strong signal. The one-point deduction reflects the reality that AI urgency at the executive level has not yet translated into a systematized, organization-wide program — which is exactly what this plan addresses.</w:t>
      </w:r>
    </w:p>
    <w:p>
      <w:pPr>
        <w:spacing w:after="100"/>
      </w:pPr>
    </w:p>
    <w:p>
      <w:pPr>
        <w:pStyle w:val="Heading3"/>
        <w:spacing w:after="100" w:before="200"/>
      </w:pPr>
      <w:r>
        <w:rPr>
          <w:rFonts w:ascii="Arial" w:cs="Arial" w:eastAsia="Arial" w:hAnsi="Arial"/>
          <w:b/>
          <w:bCs/>
          <w:sz w:val="26"/>
          <w:szCs w:val="26"/>
        </w:rPr>
        <w:t xml:space="preserve">2. Technology Foundation — 3 / 5</w:t>
      </w:r>
    </w:p>
    <w:p>
      <w:pPr>
        <w:spacing w:after="100"/>
      </w:pPr>
      <w:r>
        <w:rPr>
          <w:b w:val="false"/>
          <w:bCs w:val="false"/>
          <w:sz w:val="22"/>
          <w:szCs w:val="22"/>
        </w:rPr>
        <w:t xml:space="preserve">The Microsoft 365 ecosystem (including Copilot) is a strong foundation. Aurora, Fiserv, and Wolters Kluwer are established platforms with vendor AI roadmaps worth monitoring. However, the current AI tool use is informal and individual. There is no AI data pipeline, no prompt library, no structured workflow integration. Fiserv Premier's integration complexity is a known constraint for community banks. The foundation is solid but requires intentional build-out.</w:t>
      </w:r>
    </w:p>
    <w:p>
      <w:pPr>
        <w:spacing w:after="100"/>
      </w:pPr>
    </w:p>
    <w:p>
      <w:pPr>
        <w:pStyle w:val="Heading3"/>
        <w:spacing w:after="100" w:before="200"/>
      </w:pPr>
      <w:r>
        <w:rPr>
          <w:rFonts w:ascii="Arial" w:cs="Arial" w:eastAsia="Arial" w:hAnsi="Arial"/>
          <w:b/>
          <w:bCs/>
          <w:sz w:val="26"/>
          <w:szCs w:val="26"/>
        </w:rPr>
        <w:t xml:space="preserve">3. Workforce Readiness — 3 / 5</w:t>
      </w:r>
    </w:p>
    <w:p>
      <w:pPr>
        <w:spacing w:after="100"/>
      </w:pPr>
      <w:r>
        <w:rPr>
          <w:b w:val="false"/>
          <w:bCs w:val="false"/>
          <w:sz w:val="22"/>
          <w:szCs w:val="22"/>
        </w:rPr>
        <w:t xml:space="preserve">Medium technology adoption comfort was self-reported — honest and accurate. Some staff have experimented with Copilot and Claude, which is a meaningful head start. However, leadership has correctly identified staff concern about AI and job security as a live risk. Training design will need to be human-centered, not technology-centered — framing AI as a tool that makes individuals more valuable, not replaceable. This is a solvable problem but requires deliberate communication strategy from Day 1.</w:t>
      </w:r>
    </w:p>
    <w:p>
      <w:pPr>
        <w:spacing w:after="100"/>
      </w:pPr>
    </w:p>
    <w:p>
      <w:pPr>
        <w:pStyle w:val="Heading3"/>
        <w:spacing w:after="100" w:before="200"/>
      </w:pPr>
      <w:r>
        <w:rPr>
          <w:rFonts w:ascii="Arial" w:cs="Arial" w:eastAsia="Arial" w:hAnsi="Arial"/>
          <w:b/>
          <w:bCs/>
          <w:sz w:val="26"/>
          <w:szCs w:val="26"/>
        </w:rPr>
        <w:t xml:space="preserve">4. Governance Maturity — 2 / 5</w:t>
      </w:r>
    </w:p>
    <w:p>
      <w:pPr>
        <w:spacing w:after="100"/>
      </w:pPr>
      <w:r>
        <w:rPr>
          <w:b w:val="false"/>
          <w:bCs w:val="false"/>
          <w:sz w:val="22"/>
          <w:szCs w:val="22"/>
        </w:rPr>
        <w:t xml:space="preserve">This is the most critical gap. No AI acceptable use policy, no data handling policy specific to AI, no formal oversight structure. Given that DCB operates under significant regulatory burden (BSA, HMDA, CRA, and state banking regulations), this gap represents genuine institutional risk. The low score is not a criticism — it accurately reflects where almost every community bank is today. The Governance section of this plan addresses this gap directly and prioritizes it in Phase 1.</w:t>
      </w:r>
    </w:p>
    <w:p>
      <w:pPr>
        <w:spacing w:after="100"/>
      </w:pPr>
    </w:p>
    <w:p>
      <w:pPr>
        <w:pStyle w:val="Heading3"/>
        <w:spacing w:after="100" w:before="200"/>
      </w:pPr>
      <w:r>
        <w:rPr>
          <w:rFonts w:ascii="Arial" w:cs="Arial" w:eastAsia="Arial" w:hAnsi="Arial"/>
          <w:b/>
          <w:bCs/>
          <w:sz w:val="26"/>
          <w:szCs w:val="26"/>
        </w:rPr>
        <w:t xml:space="preserve">5. Communication &amp; Idea Capture Maturity — 2 / 5</w:t>
      </w:r>
    </w:p>
    <w:p>
      <w:pPr>
        <w:spacing w:after="100"/>
      </w:pPr>
      <w:r>
        <w:rPr>
          <w:b w:val="false"/>
          <w:bCs w:val="false"/>
          <w:sz w:val="22"/>
          <w:szCs w:val="22"/>
        </w:rPr>
        <w:t xml:space="preserve">There is no current mechanism for front-line staff to systematically surface AI ideas, friction points, or workflow observations. Ideas are likely shared informally through conversation or not at all. This creates a common failure mode: AI strategy gets designed by leadership without sufficient ground-level intelligence, resulting in solutions that don't match actual workflow pain points. The Communication Hub is the direct remedy.</w:t>
      </w:r>
    </w:p>
    <w:p>
      <w:pPr>
        <w:spacing w:after="100"/>
      </w:pPr>
    </w:p>
    <w:p>
      <w:pPr>
        <w:pStyle w:val="Heading2"/>
        <w:spacing w:after="150" w:before="300"/>
      </w:pPr>
      <w:r>
        <w:rPr>
          <w:rFonts w:ascii="Arial" w:cs="Arial" w:eastAsia="Arial" w:hAnsi="Arial"/>
          <w:b/>
          <w:bCs/>
          <w:sz w:val="30"/>
          <w:szCs w:val="30"/>
        </w:rPr>
        <w:t xml:space="preserve">Summary Readiness Score: 2.8 / 5 — Emerging</w:t>
      </w:r>
    </w:p>
    <w:p>
      <w:pPr>
        <w:spacing w:after="100"/>
      </w:pPr>
    </w:p>
    <w:p>
      <w:pPr>
        <w:spacing w:after="100"/>
      </w:pPr>
      <w:r>
        <w:rPr>
          <w:b w:val="false"/>
          <w:bCs w:val="false"/>
          <w:sz w:val="22"/>
          <w:szCs w:val="22"/>
        </w:rPr>
        <w:t xml:space="preserve"/>
      </w:r>
      <w:r>
        <w:rPr>
          <w:b/>
          <w:bCs/>
          <w:sz w:val="22"/>
          <w:szCs w:val="22"/>
        </w:rPr>
        <w:t xml:space="preserve">What this means for pace:</w:t>
      </w:r>
      <w:r>
        <w:rPr>
          <w:b w:val="false"/>
          <w:bCs w:val="false"/>
          <w:sz w:val="22"/>
          <w:szCs w:val="22"/>
        </w:rPr>
        <w:t xml:space="preserve"> DCB is at the ideal inflection point — enough early experimentation to have a realistic foundation, not so committed to any specific tool that course-correction is costly. The governance gap must be closed in Phase 1 before any significant capability is built. A deliberate, sequenced approach is appropriate. Resist the temptation to move fast on vendor replacement decisions before the organization has built the muscle memory to evaluate and implement them well.</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V. Strategic AI Roadmap</w:t>
      </w:r>
    </w:p>
    <w:p>
      <w:pPr>
        <w:spacing w:after="100"/>
      </w:pPr>
    </w:p>
    <w:p>
      <w:pPr>
        <w:pStyle w:val="Heading2"/>
        <w:spacing w:after="150" w:before="300"/>
      </w:pPr>
      <w:r>
        <w:rPr>
          <w:rFonts w:ascii="Arial" w:cs="Arial" w:eastAsia="Arial" w:hAnsi="Arial"/>
          <w:b/>
          <w:bCs/>
          <w:sz w:val="30"/>
          <w:szCs w:val="30"/>
        </w:rPr>
        <w:t xml:space="preserve">Phase 1: Foundation &amp; Muscle Memory (Months 0–3)</w:t>
      </w:r>
    </w:p>
    <w:p>
      <w:pPr>
        <w:spacing w:after="100"/>
      </w:pPr>
    </w:p>
    <w:p>
      <w:pPr>
        <w:spacing w:after="100"/>
      </w:pPr>
      <w:r>
        <w:rPr>
          <w:b w:val="false"/>
          <w:bCs w:val="false"/>
          <w:sz w:val="22"/>
          <w:szCs w:val="22"/>
        </w:rPr>
        <w:t xml:space="preserve"/>
      </w:r>
      <w:r>
        <w:rPr>
          <w:b/>
          <w:bCs/>
          <w:sz w:val="22"/>
          <w:szCs w:val="22"/>
        </w:rPr>
        <w:t xml:space="preserve">Strategic objective:</w:t>
      </w:r>
      <w:r>
        <w:rPr>
          <w:b w:val="false"/>
          <w:bCs w:val="false"/>
          <w:sz w:val="22"/>
          <w:szCs w:val="22"/>
        </w:rPr>
        <w:t xml:space="preserve"> Build the organizational infrastructure and human habits that make every future AI investment more likely to succeed. Close the governance gap. Deliver one quantifiable efficiency win.</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1.1: AI Governance Framework — *The Non-Negotiable Foundation*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Before expanding AI usage beyond current informal experimentation, establish a written AI Acceptable Use Policy (AUP) and data handling protocol. This document defines what staff may and may not input into AI tools, how to handle client data, what tools are approved, and what the escalation path is for concerns.</w:t>
      </w:r>
    </w:p>
    <w:p>
      <w:pPr>
        <w:spacing w:after="100"/>
      </w:pPr>
    </w:p>
    <w:p>
      <w:pPr>
        <w:spacing w:after="100"/>
      </w:pPr>
      <w:r>
        <w:rPr>
          <w:b w:val="false"/>
          <w:bCs w:val="false"/>
          <w:sz w:val="22"/>
          <w:szCs w:val="22"/>
        </w:rPr>
        <w:t xml:space="preserve">The AUP should explicitly address:</w:t>
      </w:r>
    </w:p>
    <w:p>
      <w:pPr>
        <w:pStyle w:val="ListParagraph"/>
        <w:numPr>
          <w:ilvl w:val="0"/>
          <w:numId w:val="1"/>
        </w:numPr>
        <w:spacing w:after="60"/>
      </w:pPr>
      <w:r>
        <w:rPr>
          <w:b w:val="false"/>
          <w:bCs w:val="false"/>
          <w:sz w:val="22"/>
          <w:szCs w:val="22"/>
        </w:rPr>
        <w:t xml:space="preserve">Prohibition on entering client PII, account numbers, loan data, or any NPPI into non-approved AI tools</w:t>
      </w:r>
    </w:p>
    <w:p>
      <w:pPr>
        <w:pStyle w:val="ListParagraph"/>
        <w:numPr>
          <w:ilvl w:val="0"/>
          <w:numId w:val="1"/>
        </w:numPr>
        <w:spacing w:after="60"/>
      </w:pPr>
      <w:r>
        <w:rPr>
          <w:b w:val="false"/>
          <w:bCs w:val="false"/>
          <w:sz w:val="22"/>
          <w:szCs w:val="22"/>
        </w:rPr>
        <w:t xml:space="preserve">List of approved tools (initially: Microsoft Copilot within the M365 tenant, internal Compliance AI tool)</w:t>
      </w:r>
    </w:p>
    <w:p>
      <w:pPr>
        <w:pStyle w:val="ListParagraph"/>
        <w:numPr>
          <w:ilvl w:val="0"/>
          <w:numId w:val="1"/>
        </w:numPr>
        <w:spacing w:after="60"/>
      </w:pPr>
      <w:r>
        <w:rPr>
          <w:b w:val="false"/>
          <w:bCs w:val="false"/>
          <w:sz w:val="22"/>
          <w:szCs w:val="22"/>
        </w:rPr>
        <w:t xml:space="preserve">Clear definition of "approved use" vs. "prohibited use"</w:t>
      </w:r>
    </w:p>
    <w:p>
      <w:pPr>
        <w:pStyle w:val="ListParagraph"/>
        <w:numPr>
          <w:ilvl w:val="0"/>
          <w:numId w:val="1"/>
        </w:numPr>
        <w:spacing w:after="60"/>
      </w:pPr>
      <w:r>
        <w:rPr>
          <w:b w:val="false"/>
          <w:bCs w:val="false"/>
          <w:sz w:val="22"/>
          <w:szCs w:val="22"/>
        </w:rPr>
        <w:t xml:space="preserve">Staff acknowledgment requirement (signed or digital)</w:t>
      </w:r>
    </w:p>
    <w:p>
      <w:pPr>
        <w:pStyle w:val="ListParagraph"/>
        <w:numPr>
          <w:ilvl w:val="0"/>
          <w:numId w:val="1"/>
        </w:numPr>
        <w:spacing w:after="60"/>
      </w:pPr>
      <w:r>
        <w:rPr>
          <w:b w:val="false"/>
          <w:bCs w:val="false"/>
          <w:sz w:val="22"/>
          <w:szCs w:val="22"/>
        </w:rPr>
        <w:t xml:space="preserve">Escalation path for suspected data misuse</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Kirk Goehring + IT Lead + Compliance Officer</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None — this is Day 1 work</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Policy drafted, reviewed by legal/compliance, and signed by 100% of staff within 45 days</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$500–$1,500 (legal review time; internal staff time is absorbed)</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1.2: AI Working Group Formation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Convene a cross-functional AI Working Group with representation from each of the seven departments. This group meets bi-weekly and is responsible for reviewing Communication Hub submissions, tracking Phase 1 progress, and making Phase 2 planning recommendations.</w:t>
      </w:r>
    </w:p>
    <w:p>
      <w:pPr>
        <w:spacing w:after="100"/>
      </w:pPr>
    </w:p>
    <w:p>
      <w:pPr>
        <w:spacing w:after="100"/>
      </w:pPr>
      <w:r>
        <w:rPr>
          <w:b w:val="false"/>
          <w:bCs w:val="false"/>
          <w:sz w:val="22"/>
          <w:szCs w:val="22"/>
        </w:rPr>
        <w:t xml:space="preserve"/>
      </w:r>
      <w:r>
        <w:rPr>
          <w:b/>
          <w:bCs/>
          <w:sz w:val="22"/>
          <w:szCs w:val="22"/>
        </w:rPr>
        <w:t xml:space="preserve">Recommended Composition:</w:t>
      </w:r>
      <w:r>
        <w:rPr>
          <w:b w:val="false"/>
          <w:bCs w:val="false"/>
          <w:sz w:val="22"/>
          <w:szCs w:val="22"/>
        </w:rPr>
        <w:t xml:space="preserve"/>
      </w:r>
    </w:p>
    <w:p>
      <w:pPr>
        <w:pStyle w:val="ListParagraph"/>
        <w:numPr>
          <w:ilvl w:val="0"/>
          <w:numId w:val="1"/>
        </w:numPr>
        <w:spacing w:after="60"/>
      </w:pPr>
      <w:r>
        <w:rPr>
          <w:b w:val="false"/>
          <w:bCs w:val="false"/>
          <w:sz w:val="22"/>
          <w:szCs w:val="22"/>
        </w:rPr>
        <w:t xml:space="preserve">Kirk Goehring (Executive Sponsor)</w:t>
      </w:r>
    </w:p>
    <w:p>
      <w:pPr>
        <w:pStyle w:val="ListParagraph"/>
        <w:numPr>
          <w:ilvl w:val="0"/>
          <w:numId w:val="1"/>
        </w:numPr>
        <w:spacing w:after="60"/>
      </w:pPr>
      <w:r>
        <w:rPr>
          <w:b w:val="false"/>
          <w:bCs w:val="false"/>
          <w:sz w:val="22"/>
          <w:szCs w:val="22"/>
        </w:rPr>
        <w:t xml:space="preserve">Garrett Moore (Implementation Lead / Facilitator)</w:t>
      </w:r>
    </w:p>
    <w:p>
      <w:pPr>
        <w:pStyle w:val="ListParagraph"/>
        <w:numPr>
          <w:ilvl w:val="0"/>
          <w:numId w:val="1"/>
        </w:numPr>
        <w:spacing w:after="60"/>
      </w:pPr>
      <w:r>
        <w:rPr>
          <w:b w:val="false"/>
          <w:bCs w:val="false"/>
          <w:sz w:val="22"/>
          <w:szCs w:val="22"/>
        </w:rPr>
        <w:t xml:space="preserve">Lending / Loan Operations representative</w:t>
      </w:r>
    </w:p>
    <w:p>
      <w:pPr>
        <w:pStyle w:val="ListParagraph"/>
        <w:numPr>
          <w:ilvl w:val="0"/>
          <w:numId w:val="1"/>
        </w:numPr>
        <w:spacing w:after="60"/>
      </w:pPr>
      <w:r>
        <w:rPr>
          <w:b w:val="false"/>
          <w:bCs w:val="false"/>
          <w:sz w:val="22"/>
          <w:szCs w:val="22"/>
        </w:rPr>
        <w:t xml:space="preserve">Compliance / BSA representative</w:t>
      </w:r>
    </w:p>
    <w:p>
      <w:pPr>
        <w:pStyle w:val="ListParagraph"/>
        <w:numPr>
          <w:ilvl w:val="0"/>
          <w:numId w:val="1"/>
        </w:numPr>
        <w:spacing w:after="60"/>
      </w:pPr>
      <w:r>
        <w:rPr>
          <w:b w:val="false"/>
          <w:bCs w:val="false"/>
          <w:sz w:val="22"/>
          <w:szCs w:val="22"/>
        </w:rPr>
        <w:t xml:space="preserve">Retail / Branch representative</w:t>
      </w:r>
    </w:p>
    <w:p>
      <w:pPr>
        <w:pStyle w:val="ListParagraph"/>
        <w:numPr>
          <w:ilvl w:val="0"/>
          <w:numId w:val="1"/>
        </w:numPr>
        <w:spacing w:after="60"/>
      </w:pPr>
      <w:r>
        <w:rPr>
          <w:b w:val="false"/>
          <w:bCs w:val="false"/>
          <w:sz w:val="22"/>
          <w:szCs w:val="22"/>
        </w:rPr>
        <w:t xml:space="preserve">Finance &amp; Accounting representative</w:t>
      </w:r>
    </w:p>
    <w:p>
      <w:pPr>
        <w:pStyle w:val="ListParagraph"/>
        <w:numPr>
          <w:ilvl w:val="0"/>
          <w:numId w:val="1"/>
        </w:numPr>
        <w:spacing w:after="60"/>
      </w:pPr>
      <w:r>
        <w:rPr>
          <w:b w:val="false"/>
          <w:bCs w:val="false"/>
          <w:sz w:val="22"/>
          <w:szCs w:val="22"/>
        </w:rPr>
        <w:t xml:space="preserve">IT / Information Security representative</w:t>
      </w:r>
    </w:p>
    <w:p>
      <w:pPr>
        <w:spacing w:after="100"/>
      </w:pPr>
    </w:p>
    <w:p>
      <w:pPr>
        <w:spacing w:after="100"/>
      </w:pPr>
      <w:r>
        <w:rPr>
          <w:b w:val="false"/>
          <w:bCs w:val="false"/>
          <w:sz w:val="22"/>
          <w:szCs w:val="22"/>
        </w:rPr>
        <w:t xml:space="preserve"/>
      </w:r>
      <w:r>
        <w:rPr>
          <w:b/>
          <w:bCs/>
          <w:sz w:val="22"/>
          <w:szCs w:val="22"/>
        </w:rPr>
        <w:t xml:space="preserve">Meeting cadence:</w:t>
      </w:r>
      <w:r>
        <w:rPr>
          <w:b w:val="false"/>
          <w:bCs w:val="false"/>
          <w:sz w:val="22"/>
          <w:szCs w:val="22"/>
        </w:rPr>
        <w:t xml:space="preserve"> Bi-weekly, 45–60 minutes. First meeting: establish charter, review AUP, assign Communication Hub ownership.</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Garrett Moore (facilitator); Kirk Goehring (executive sponsor)</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Initiative 1.1 complete</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Working Group meets at least 5 times in Months 1–3; produces a written Phase 2 recommendation by end of Month 3</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Staff time (absorbed); no direct cost</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1.3: Structured Copilot Activation — *Broad Staff AI Muscle Memory*</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Expand Microsoft Copilot usage from current ad-hoc users to all staff in a structured, supported way. This is not a one-time training session — it is a deliberate, repeated exposure program designed to build habits.</w:t>
      </w:r>
    </w:p>
    <w:p>
      <w:pPr>
        <w:spacing w:after="100"/>
      </w:pPr>
    </w:p>
    <w:p>
      <w:pPr>
        <w:spacing w:after="100"/>
      </w:pPr>
      <w:r>
        <w:rPr>
          <w:b w:val="false"/>
          <w:bCs w:val="false"/>
          <w:sz w:val="22"/>
          <w:szCs w:val="22"/>
        </w:rPr>
        <w:t xml:space="preserve"/>
      </w:r>
      <w:r>
        <w:rPr>
          <w:b/>
          <w:bCs/>
          <w:sz w:val="22"/>
          <w:szCs w:val="22"/>
        </w:rPr>
        <w:t xml:space="preserve">Execution:</w:t>
      </w:r>
      <w:r>
        <w:rPr>
          <w:b w:val="false"/>
          <w:bCs w:val="false"/>
          <w:sz w:val="22"/>
          <w:szCs w:val="22"/>
        </w:rPr>
        <w:t xml:space="preserve"/>
      </w:r>
    </w:p>
    <w:p>
      <w:pPr>
        <w:pStyle w:val="ListParagraph"/>
        <w:numPr>
          <w:ilvl w:val="0"/>
          <w:numId w:val="1"/>
        </w:numPr>
        <w:spacing w:after="60"/>
      </w:pPr>
      <w:r>
        <w:rPr>
          <w:b w:val="false"/>
          <w:bCs w:val="false"/>
          <w:sz w:val="22"/>
          <w:szCs w:val="22"/>
        </w:rPr>
        <w:t xml:space="preserve"/>
      </w:r>
      <w:r>
        <w:rPr>
          <w:b/>
          <w:bCs/>
          <w:sz w:val="22"/>
          <w:szCs w:val="22"/>
        </w:rPr>
        <w:t xml:space="preserve">Week 1–2:</w:t>
      </w:r>
      <w:r>
        <w:rPr>
          <w:b w:val="false"/>
          <w:bCs w:val="false"/>
          <w:sz w:val="22"/>
          <w:szCs w:val="22"/>
        </w:rPr>
        <w:t xml:space="preserve"> Audit current Copilot license count and identify gap to full staff coverage. If additional licenses are needed, budget accordingly (~$30/user/month for Microsoft 365 Copilot)</w:t>
      </w:r>
    </w:p>
    <w:p>
      <w:pPr>
        <w:pStyle w:val="ListParagraph"/>
        <w:numPr>
          <w:ilvl w:val="0"/>
          <w:numId w:val="1"/>
        </w:numPr>
        <w:spacing w:after="60"/>
      </w:pPr>
      <w:r>
        <w:rPr>
          <w:b w:val="false"/>
          <w:bCs w:val="false"/>
          <w:sz w:val="22"/>
          <w:szCs w:val="22"/>
        </w:rPr>
        <w:t xml:space="preserve"/>
      </w:r>
      <w:r>
        <w:rPr>
          <w:b/>
          <w:bCs/>
          <w:sz w:val="22"/>
          <w:szCs w:val="22"/>
        </w:rPr>
        <w:t xml:space="preserve">Week 3–4:</w:t>
      </w:r>
      <w:r>
        <w:rPr>
          <w:b w:val="false"/>
          <w:bCs w:val="false"/>
          <w:sz w:val="22"/>
          <w:szCs w:val="22"/>
        </w:rPr>
        <w:t xml:space="preserve"> Department-specific kickoff sessions (not a single all-hands). Each department sees examples of Copilot applied to *their actual work* — not generic demos</w:t>
      </w:r>
    </w:p>
    <w:p>
      <w:pPr>
        <w:pStyle w:val="ListParagraph"/>
        <w:numPr>
          <w:ilvl w:val="0"/>
          <w:numId w:val="1"/>
        </w:numPr>
        <w:spacing w:after="60"/>
      </w:pPr>
      <w:r>
        <w:rPr>
          <w:b w:val="false"/>
          <w:bCs w:val="false"/>
          <w:sz w:val="22"/>
          <w:szCs w:val="22"/>
        </w:rPr>
        <w:t xml:space="preserve"/>
      </w:r>
      <w:r>
        <w:rPr>
          <w:b/>
          <w:bCs/>
          <w:sz w:val="22"/>
          <w:szCs w:val="22"/>
        </w:rPr>
        <w:t xml:space="preserve">Month 2:</w:t>
      </w:r>
      <w:r>
        <w:rPr>
          <w:b w:val="false"/>
          <w:bCs w:val="false"/>
          <w:sz w:val="22"/>
          <w:szCs w:val="22"/>
        </w:rPr>
        <w:t xml:space="preserve"> "AI Office Hours" — bi-weekly 30-minute optional sessions where staff share what's working and ask questions. Garrett Moore facilitates.</w:t>
      </w:r>
    </w:p>
    <w:p>
      <w:pPr>
        <w:pStyle w:val="ListParagraph"/>
        <w:numPr>
          <w:ilvl w:val="0"/>
          <w:numId w:val="1"/>
        </w:numPr>
        <w:spacing w:after="60"/>
      </w:pPr>
      <w:r>
        <w:rPr>
          <w:b w:val="false"/>
          <w:bCs w:val="false"/>
          <w:sz w:val="22"/>
          <w:szCs w:val="22"/>
        </w:rPr>
        <w:t xml:space="preserve"/>
      </w:r>
      <w:r>
        <w:rPr>
          <w:b/>
          <w:bCs/>
          <w:sz w:val="22"/>
          <w:szCs w:val="22"/>
        </w:rPr>
        <w:t xml:space="preserve">Month 3:</w:t>
      </w:r>
      <w:r>
        <w:rPr>
          <w:b w:val="false"/>
          <w:bCs w:val="false"/>
          <w:sz w:val="22"/>
          <w:szCs w:val="22"/>
        </w:rPr>
        <w:t xml:space="preserve"> Each department submits at least one "before and after" use case showing how Copilot changed a specific task</w:t>
      </w:r>
    </w:p>
    <w:p>
      <w:pPr>
        <w:spacing w:after="100"/>
      </w:pPr>
    </w:p>
    <w:p>
      <w:pPr>
        <w:spacing w:after="100"/>
      </w:pPr>
      <w:r>
        <w:rPr>
          <w:b w:val="false"/>
          <w:bCs w:val="false"/>
          <w:sz w:val="22"/>
          <w:szCs w:val="22"/>
        </w:rPr>
        <w:t xml:space="preserve"/>
      </w:r>
      <w:r>
        <w:rPr>
          <w:b/>
          <w:bCs/>
          <w:sz w:val="22"/>
          <w:szCs w:val="22"/>
        </w:rPr>
        <w:t xml:space="preserve">Key framing for staff:</w:t>
      </w:r>
      <w:r>
        <w:rPr>
          <w:b w:val="false"/>
          <w:bCs w:val="false"/>
          <w:sz w:val="22"/>
          <w:szCs w:val="22"/>
        </w:rPr>
        <w:t xml:space="preserve"> *"AI makes you more valuable to the bank and to our customers. It handles the routine so you can do the relationship-building that technology never will."* This framing must be consistent across all communications.</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Garrett Moore + Department Heads</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Initiative 1.1 (AUP must be in place before expanding usage)</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At minimum 80% of staff have used Copilot for at least one real work task by end of Month 3; at least 7 "before and after" use cases documented</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$1,500–$3,000 (Copilot license gap if applicable; facilitation time absorbed)</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1.4: Communication Hub Launch *(See Section VI for full design)*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Stand up a zero-friction channel in Microsoft Teams where any staff member can submit AI ideas, friction points, or observations at any time. AI structures these inputs. Working Group reviews them bi-weekly.</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Garrett Moore</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Initiative 1.2 (Working Group must be in place to receive submissions)</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At least 15 submissions in first 30 days; at least 3 ideas formally evaluated by Working Group before end of Month 3</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$0 (uses existing Teams infrastructure)</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1.5: Phase 1 Quantifiable Project — Monthly Regulatory Reporting Automation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This is the mandatory measurable win for Phase 1. Monthly regulatory reporting — BSA, HMDA, Credit and Deposit reports — involves significant manual data aggregation, formatting, and narrative writing. This is an ideal starting point because:</w:t>
      </w:r>
    </w:p>
    <w:p>
      <w:pPr>
        <w:spacing w:after="100"/>
      </w:pPr>
      <w:r>
        <w:rPr>
          <w:b w:val="false"/>
          <w:bCs w:val="false"/>
          <w:sz w:val="22"/>
          <w:szCs w:val="22"/>
        </w:rPr>
        <w:t xml:space="preserve">1. It is repetitive and rule-bound (ideal for AI assistance)</w:t>
      </w:r>
    </w:p>
    <w:p>
      <w:pPr>
        <w:spacing w:after="100"/>
      </w:pPr>
      <w:r>
        <w:rPr>
          <w:b w:val="false"/>
          <w:bCs w:val="false"/>
          <w:sz w:val="22"/>
          <w:szCs w:val="22"/>
        </w:rPr>
        <w:t xml:space="preserve">2. It does not require inputting client PII into external AI tools (data can be anonymized/aggregated at the report level)</w:t>
      </w:r>
    </w:p>
    <w:p>
      <w:pPr>
        <w:spacing w:after="100"/>
      </w:pPr>
      <w:r>
        <w:rPr>
          <w:b w:val="false"/>
          <w:bCs w:val="false"/>
          <w:sz w:val="22"/>
          <w:szCs w:val="22"/>
        </w:rPr>
        <w:t xml:space="preserve">3. It has a clear baseline: someone spends X hours per month on this today</w:t>
      </w:r>
    </w:p>
    <w:p>
      <w:pPr>
        <w:spacing w:after="100"/>
      </w:pPr>
    </w:p>
    <w:p>
      <w:pPr>
        <w:spacing w:after="100"/>
      </w:pPr>
      <w:r>
        <w:rPr>
          <w:b w:val="false"/>
          <w:bCs w:val="false"/>
          <w:sz w:val="22"/>
          <w:szCs w:val="22"/>
        </w:rPr>
        <w:t xml:space="preserve"/>
      </w:r>
      <w:r>
        <w:rPr>
          <w:b/>
          <w:bCs/>
          <w:sz w:val="22"/>
          <w:szCs w:val="22"/>
        </w:rPr>
        <w:t xml:space="preserve">Execution:</w:t>
      </w:r>
      <w:r>
        <w:rPr>
          <w:b w:val="false"/>
          <w:bCs w:val="false"/>
          <w:sz w:val="22"/>
          <w:szCs w:val="22"/>
        </w:rPr>
        <w:t xml:space="preserve"/>
      </w:r>
    </w:p>
    <w:p>
      <w:pPr>
        <w:pStyle w:val="ListParagraph"/>
        <w:numPr>
          <w:ilvl w:val="0"/>
          <w:numId w:val="1"/>
        </w:numPr>
        <w:spacing w:after="60"/>
      </w:pPr>
      <w:r>
        <w:rPr>
          <w:b w:val="false"/>
          <w:bCs w:val="false"/>
          <w:sz w:val="22"/>
          <w:szCs w:val="22"/>
        </w:rPr>
        <w:t xml:space="preserve"/>
      </w:r>
      <w:r>
        <w:rPr>
          <w:b/>
          <w:bCs/>
          <w:sz w:val="22"/>
          <w:szCs w:val="22"/>
        </w:rPr>
        <w:t xml:space="preserve">Month 1:</w:t>
      </w:r>
      <w:r>
        <w:rPr>
          <w:b w:val="false"/>
          <w:bCs w:val="false"/>
          <w:sz w:val="22"/>
          <w:szCs w:val="22"/>
        </w:rPr>
        <w:t xml:space="preserve"> Baseline measurement — document exactly who spends how much time on each report and what the steps are</w:t>
      </w:r>
    </w:p>
    <w:p>
      <w:pPr>
        <w:pStyle w:val="ListParagraph"/>
        <w:numPr>
          <w:ilvl w:val="0"/>
          <w:numId w:val="1"/>
        </w:numPr>
        <w:spacing w:after="60"/>
      </w:pPr>
      <w:r>
        <w:rPr>
          <w:b w:val="false"/>
          <w:bCs w:val="false"/>
          <w:sz w:val="22"/>
          <w:szCs w:val="22"/>
        </w:rPr>
        <w:t xml:space="preserve"/>
      </w:r>
      <w:r>
        <w:rPr>
          <w:b/>
          <w:bCs/>
          <w:sz w:val="22"/>
          <w:szCs w:val="22"/>
        </w:rPr>
        <w:t xml:space="preserve">Month 2:</w:t>
      </w:r>
      <w:r>
        <w:rPr>
          <w:b w:val="false"/>
          <w:bCs w:val="false"/>
          <w:sz w:val="22"/>
          <w:szCs w:val="22"/>
        </w:rPr>
        <w:t xml:space="preserve"> Copilot-assisted report drafting — use Copilot in Word/Excel to accelerate narrative generation, data formatting, and QA cross-checking</w:t>
      </w:r>
    </w:p>
    <w:p>
      <w:pPr>
        <w:pStyle w:val="ListParagraph"/>
        <w:numPr>
          <w:ilvl w:val="0"/>
          <w:numId w:val="1"/>
        </w:numPr>
        <w:spacing w:after="60"/>
      </w:pPr>
      <w:r>
        <w:rPr>
          <w:b w:val="false"/>
          <w:bCs w:val="false"/>
          <w:sz w:val="22"/>
          <w:szCs w:val="22"/>
        </w:rPr>
        <w:t xml:space="preserve"/>
      </w:r>
      <w:r>
        <w:rPr>
          <w:b/>
          <w:bCs/>
          <w:sz w:val="22"/>
          <w:szCs w:val="22"/>
        </w:rPr>
        <w:t xml:space="preserve">Month 3:</w:t>
      </w:r>
      <w:r>
        <w:rPr>
          <w:b w:val="false"/>
          <w:bCs w:val="false"/>
          <w:sz w:val="22"/>
          <w:szCs w:val="22"/>
        </w:rPr>
        <w:t xml:space="preserve"> Measure time saved vs. baseline; document the workflow for repeatability</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Compliance Officer + Finance Lead, supervised by Garrett Moore</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Initiative 1.1 (data handling rules must be clear); Initiative 1.3 (staff must be Copilot-trained)</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Minimum 25% reduction in staff hours spent on monthly regulatory report preparation by end of Month 3; documented and replicable process</w:t>
      </w:r>
    </w:p>
    <w:p>
      <w:pPr>
        <w:spacing w:after="100"/>
      </w:pPr>
      <w:r>
        <w:rPr>
          <w:b w:val="false"/>
          <w:bCs w:val="false"/>
          <w:sz w:val="22"/>
          <w:szCs w:val="22"/>
        </w:rPr>
        <w:t xml:space="preserve"/>
      </w:r>
      <w:r>
        <w:rPr>
          <w:b/>
          <w:bCs/>
          <w:sz w:val="22"/>
          <w:szCs w:val="22"/>
        </w:rPr>
        <w:t xml:space="preserve">Estimated ROI:</w:t>
      </w:r>
      <w:r>
        <w:rPr>
          <w:b w:val="false"/>
          <w:bCs w:val="false"/>
          <w:sz w:val="22"/>
          <w:szCs w:val="22"/>
        </w:rPr>
        <w:t xml:space="preserve"> If regulatory reporting currently requires 20 hours/month of combined staff time, a 25% reduction = 5 hours/month saved = ~60 hours/year. At a fully-loaded cost of $35/hour, that is </w:t>
      </w:r>
      <w:r>
        <w:rPr>
          <w:b/>
          <w:bCs/>
          <w:sz w:val="22"/>
          <w:szCs w:val="22"/>
        </w:rPr>
        <w:t xml:space="preserve">$2,100/year in direct cost avoidance from a single use case.</w:t>
      </w:r>
      <w:r>
        <w:rPr>
          <w:b w:val="false"/>
          <w:bCs w:val="false"/>
          <w:sz w:val="22"/>
          <w:szCs w:val="22"/>
        </w:rPr>
        <w:t xml:space="preserve"/>
      </w:r>
    </w:p>
    <w:p>
      <w:pPr>
        <w:spacing w:after="100"/>
      </w:pP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$0 additional (uses existing Copilot licenses and staff time)</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Phase 1 Investment Summary</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tcPr>
          <w:p>
            <w:r>
              <w:rPr>
                <w:b/>
                <w:bCs/>
                <w:sz w:val="20"/>
                <w:szCs w:val="20"/>
              </w:rPr>
              <w:t xml:space="preserve">Line Item</w:t>
            </w:r>
          </w:p>
        </w:tc>
        <w:tc>
          <w:tcPr>
            <w:tcW w:type="dxa" w:w="4500"/>
            <w:tcBorders>
              <w:top w:val="single" w:color="CCCCCC" w:sz="1"/>
              <w:left w:val="single" w:color="CCCCCC" w:sz="1"/>
              <w:bottom w:val="single" w:color="CCCCCC" w:sz="1"/>
              <w:right w:val="single" w:color="CCCCCC" w:sz="1"/>
            </w:tcBorders>
          </w:tcPr>
          <w:p>
            <w:r>
              <w:rPr>
                <w:b/>
                <w:bCs/>
                <w:sz w:val="20"/>
                <w:szCs w:val="20"/>
              </w:rPr>
              <w:t xml:space="preserve">Cost</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AI Governance / AUP (legal review)</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$500–$1,500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Copilot license gap (if applicable)</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$0–$3,600 (annualized; depends on current license count)</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Training facilitation materials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Communication Hub setup</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**Phase 1 Total**</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**$1,000–$6,100**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**Cumulative Budget Used**</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**$1,000–$6,100**</w:t>
            </w:r>
          </w:p>
        </w:tc>
      </w:tr>
    </w:tbl>
    <w:p>
      <w:pPr>
        <w:spacing w:after="200"/>
      </w:pPr>
    </w:p>
    <w:p>
      <w:pPr>
        <w:spacing w:after="100"/>
      </w:pPr>
    </w:p>
    <w:p>
      <w:pPr>
        <w:spacing w:after="100"/>
      </w:pPr>
      <w:r>
        <w:rPr>
          <w:b w:val="false"/>
          <w:bCs w:val="false"/>
          <w:sz w:val="22"/>
          <w:szCs w:val="22"/>
        </w:rPr>
        <w:t xml:space="preserve">---</w:t>
      </w:r>
    </w:p>
    <w:p>
      <w:pPr>
        <w:spacing w:after="100"/>
      </w:pPr>
    </w:p>
    <w:p>
      <w:pPr>
        <w:pStyle w:val="Heading2"/>
        <w:spacing w:after="150" w:before="300"/>
      </w:pPr>
      <w:r>
        <w:rPr>
          <w:rFonts w:ascii="Arial" w:cs="Arial" w:eastAsia="Arial" w:hAnsi="Arial"/>
          <w:b/>
          <w:bCs/>
          <w:sz w:val="30"/>
          <w:szCs w:val="30"/>
        </w:rPr>
        <w:t xml:space="preserve">Consolidation Period (Months 3–6)</w:t>
      </w:r>
    </w:p>
    <w:p>
      <w:pPr>
        <w:spacing w:after="100"/>
      </w:pPr>
    </w:p>
    <w:p>
      <w:pPr>
        <w:spacing w:after="100"/>
      </w:pPr>
      <w:r>
        <w:rPr>
          <w:b w:val="false"/>
          <w:bCs w:val="false"/>
          <w:sz w:val="22"/>
          <w:szCs w:val="22"/>
        </w:rPr>
        <w:t xml:space="preserve">The Working Group does not dissolve — it shifts into analysis mode. Using Communication Hub intelligence gathered during Phase 1, the group answers three questions:</w:t>
      </w:r>
    </w:p>
    <w:p>
      <w:pPr>
        <w:spacing w:after="100"/>
      </w:pPr>
    </w:p>
    <w:p>
      <w:pPr>
        <w:spacing w:after="100"/>
      </w:pPr>
      <w:r>
        <w:rPr>
          <w:b w:val="false"/>
          <w:bCs w:val="false"/>
          <w:sz w:val="22"/>
          <w:szCs w:val="22"/>
        </w:rPr>
        <w:t xml:space="preserve">1. What efficiency ideas did staff surface that we should build in Phase 2?</w:t>
      </w:r>
    </w:p>
    <w:p>
      <w:pPr>
        <w:spacing w:after="100"/>
      </w:pPr>
      <w:r>
        <w:rPr>
          <w:b w:val="false"/>
          <w:bCs w:val="false"/>
          <w:sz w:val="22"/>
          <w:szCs w:val="22"/>
        </w:rPr>
        <w:t xml:space="preserve">2. Which vendor relationships (Meridian Link, HMDA Wiz, others) are worth formally evaluating for replacement or renegotiation?</w:t>
      </w:r>
    </w:p>
    <w:p>
      <w:pPr>
        <w:spacing w:after="100"/>
      </w:pPr>
      <w:r>
        <w:rPr>
          <w:b w:val="false"/>
          <w:bCs w:val="false"/>
          <w:sz w:val="22"/>
          <w:szCs w:val="22"/>
        </w:rPr>
        <w:t xml:space="preserve">3. What did we learn about staff comfort and capability that should shape Phase 2 training?</w:t>
      </w:r>
    </w:p>
    <w:p>
      <w:pPr>
        <w:spacing w:after="100"/>
      </w:pPr>
    </w:p>
    <w:p>
      <w:pPr>
        <w:spacing w:after="100"/>
      </w:pPr>
      <w:r>
        <w:rPr>
          <w:b w:val="false"/>
          <w:bCs w:val="false"/>
          <w:sz w:val="22"/>
          <w:szCs w:val="22"/>
        </w:rPr>
        <w:t xml:space="preserve">By Month 5, the Working Group produces a written Phase 2 plan, prioritized by ROI potential and implementation complexity.</w:t>
      </w:r>
    </w:p>
    <w:p>
      <w:pPr>
        <w:spacing w:after="100"/>
      </w:pPr>
    </w:p>
    <w:p>
      <w:pPr>
        <w:spacing w:after="100"/>
      </w:pPr>
      <w:r>
        <w:rPr>
          <w:b w:val="false"/>
          <w:bCs w:val="false"/>
          <w:sz w:val="22"/>
          <w:szCs w:val="22"/>
        </w:rPr>
        <w:t xml:space="preserve">---</w:t>
      </w:r>
    </w:p>
    <w:p>
      <w:pPr>
        <w:spacing w:after="100"/>
      </w:pPr>
    </w:p>
    <w:p>
      <w:pPr>
        <w:pStyle w:val="Heading2"/>
        <w:spacing w:after="150" w:before="300"/>
      </w:pPr>
      <w:r>
        <w:rPr>
          <w:rFonts w:ascii="Arial" w:cs="Arial" w:eastAsia="Arial" w:hAnsi="Arial"/>
          <w:b/>
          <w:bCs/>
          <w:sz w:val="30"/>
          <w:szCs w:val="30"/>
        </w:rPr>
        <w:t xml:space="preserve">Phase 2: Building on Momentum (Months 6–9)</w:t>
      </w:r>
    </w:p>
    <w:p>
      <w:pPr>
        <w:spacing w:after="100"/>
      </w:pPr>
    </w:p>
    <w:p>
      <w:pPr>
        <w:spacing w:after="100"/>
      </w:pPr>
      <w:r>
        <w:rPr>
          <w:b w:val="false"/>
          <w:bCs w:val="false"/>
          <w:sz w:val="22"/>
          <w:szCs w:val="22"/>
        </w:rPr>
        <w:t xml:space="preserve"/>
      </w:r>
      <w:r>
        <w:rPr>
          <w:b/>
          <w:bCs/>
          <w:sz w:val="22"/>
          <w:szCs w:val="22"/>
        </w:rPr>
        <w:t xml:space="preserve">Strategic objective:</w:t>
      </w:r>
      <w:r>
        <w:rPr>
          <w:b w:val="false"/>
          <w:bCs w:val="false"/>
          <w:sz w:val="22"/>
          <w:szCs w:val="22"/>
        </w:rPr>
        <w:t xml:space="preserve"> Turn habits into infrastructure. Build automated workflows and AI-assisted processes that deliver sustained, compounding efficiency gains.</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2.1: Credit Package AI-Assisted Preparation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Credit package preparation is the single highest-effort recurring task named in the intake. A structured Copilot workflow — using templates built in Phase 1, prompt libraries developed from Phase 1 experimentation, and structured inputs from Fiserv and Wolters Kluwer — can materially reduce the time a lender or credit analyst spends on package assembly and narrative writing.</w:t>
      </w:r>
    </w:p>
    <w:p>
      <w:pPr>
        <w:spacing w:after="100"/>
      </w:pPr>
    </w:p>
    <w:p>
      <w:pPr>
        <w:spacing w:after="100"/>
      </w:pPr>
      <w:r>
        <w:rPr>
          <w:b w:val="false"/>
          <w:bCs w:val="false"/>
          <w:sz w:val="22"/>
          <w:szCs w:val="22"/>
        </w:rPr>
        <w:t xml:space="preserve">This does </w:t>
      </w:r>
      <w:r>
        <w:rPr>
          <w:b/>
          <w:bCs/>
          <w:sz w:val="22"/>
          <w:szCs w:val="22"/>
        </w:rPr>
        <w:t xml:space="preserve">not</w:t>
      </w:r>
      <w:r>
        <w:rPr>
          <w:b w:val="false"/>
          <w:bCs w:val="false"/>
          <w:sz w:val="22"/>
          <w:szCs w:val="22"/>
        </w:rPr>
        <w:t xml:space="preserve"> replace credit judgment. It handles the structure, formatting, data compilation, and first-draft narrative — leaving the banker to apply expertise and relationship context.</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Lending / Loan Operations lead</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Phase 1 Copilot fluency; Working Group approval of workflow design; IT security sign-off on data handling within M365 tenant</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Reduction in average credit package preparation time by 30%; measured over 60-day post-launch window</w:t>
      </w:r>
    </w:p>
    <w:p>
      <w:pPr>
        <w:spacing w:after="100"/>
      </w:pPr>
      <w:r>
        <w:rPr>
          <w:b w:val="false"/>
          <w:bCs w:val="false"/>
          <w:sz w:val="22"/>
          <w:szCs w:val="22"/>
        </w:rPr>
        <w:t xml:space="preserve"/>
      </w:r>
      <w:r>
        <w:rPr>
          <w:b/>
          <w:bCs/>
          <w:sz w:val="22"/>
          <w:szCs w:val="22"/>
        </w:rPr>
        <w:t xml:space="preserve">Estimated ROI:</w:t>
      </w:r>
      <w:r>
        <w:rPr>
          <w:b w:val="false"/>
          <w:bCs w:val="false"/>
          <w:sz w:val="22"/>
          <w:szCs w:val="22"/>
        </w:rPr>
        <w:t xml:space="preserve"> If a lender spends 4 hours per package and processes 10 packages/month, a 30% reduction = 1.2 hours/package = </w:t>
      </w:r>
      <w:r>
        <w:rPr>
          <w:b/>
          <w:bCs/>
          <w:sz w:val="22"/>
          <w:szCs w:val="22"/>
        </w:rPr>
        <w:t xml:space="preserve">12 hours/month freed per lender for client-facing activity.</w:t>
      </w:r>
      <w:r>
        <w:rPr>
          <w:b w:val="false"/>
          <w:bCs w:val="false"/>
          <w:sz w:val="22"/>
          <w:szCs w:val="22"/>
        </w:rPr>
        <w:t xml:space="preserve"> At a $50/hour fully-loaded cost, that is </w:t>
      </w:r>
      <w:r>
        <w:rPr>
          <w:b/>
          <w:bCs/>
          <w:sz w:val="22"/>
          <w:szCs w:val="22"/>
        </w:rPr>
        <w:t xml:space="preserve">$7,200/year per lender</w:t>
      </w:r>
      <w:r>
        <w:rPr>
          <w:b w:val="false"/>
          <w:bCs w:val="false"/>
          <w:sz w:val="22"/>
          <w:szCs w:val="22"/>
        </w:rPr>
        <w:t xml:space="preserve">, plus revenue upside from increased client-facing time.</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$500–$1,000 (prompt library development, template design)</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2.2: Vendor Evaluation — Meridian Link &amp; HMDA Wiz Alternatives</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Based on Phase 1 intelligence and the Working Group's consolidation-period analysis, formally evaluate whether AI-native or lower-cost alternatives to Meridian Link (consumer lending) and HMDA Wiz (HMDA reporting) are viable, safe, and compliant for DCB's scale.</w:t>
      </w:r>
    </w:p>
    <w:p>
      <w:pPr>
        <w:spacing w:after="100"/>
      </w:pPr>
    </w:p>
    <w:p>
      <w:pPr>
        <w:spacing w:after="100"/>
      </w:pPr>
      <w:r>
        <w:rPr>
          <w:b w:val="false"/>
          <w:bCs w:val="false"/>
          <w:sz w:val="22"/>
          <w:szCs w:val="22"/>
        </w:rPr>
        <w:t xml:space="preserve"/>
      </w:r>
      <w:r>
        <w:rPr>
          <w:b/>
          <w:bCs/>
          <w:sz w:val="22"/>
          <w:szCs w:val="22"/>
        </w:rPr>
        <w:t xml:space="preserve">This is an evaluation, not a replacement decision.</w:t>
      </w:r>
      <w:r>
        <w:rPr>
          <w:b w:val="false"/>
          <w:bCs w:val="false"/>
          <w:sz w:val="22"/>
          <w:szCs w:val="22"/>
        </w:rPr>
        <w:t xml:space="preserve"> The output of this initiative is a written vendor comparison and recommendation — not necessarily a signed contract.</w:t>
      </w:r>
    </w:p>
    <w:p>
      <w:pPr>
        <w:spacing w:after="100"/>
      </w:pPr>
    </w:p>
    <w:p>
      <w:pPr>
        <w:spacing w:after="100"/>
      </w:pPr>
      <w:r>
        <w:rPr>
          <w:b w:val="false"/>
          <w:bCs w:val="false"/>
          <w:sz w:val="22"/>
          <w:szCs w:val="22"/>
        </w:rPr>
        <w:t xml:space="preserve"/>
      </w:r>
      <w:r>
        <w:rPr>
          <w:b/>
          <w:bCs/>
          <w:sz w:val="22"/>
          <w:szCs w:val="22"/>
        </w:rPr>
        <w:t xml:space="preserve">Evaluation criteria:</w:t>
      </w:r>
      <w:r>
        <w:rPr>
          <w:b w:val="false"/>
          <w:bCs w:val="false"/>
          <w:sz w:val="22"/>
          <w:szCs w:val="22"/>
        </w:rPr>
        <w:t xml:space="preserve"> Fiserv Premier integration compatibility, regulatory compliance (FFIEC, CFPB), data security certifications, implementation cost, total cost of ownership vs. current spend, community bank references.</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Kirk Goehring + Compliance Officer + IT Lead</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Phase 1 governance framework; Working Group sign-off on evaluation criteria</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Written vendor evaluation report delivered by end of Month 9; go/no-go recommendation made with financial impact quantified</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$1,000–$2,000 (vendor demo facilitation, evaluation time)</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2.3: AI-Assisted Client Correspondence Workflow</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Banker time spent drafting routine client correspondence — loan commitment letters, renewal notices, deposit account communications, follow-up emails — is a recoverable efficiency opportunity. Copilot-assisted drafting with approved templates reduces this time while maintaining DCB's community bank relationship tone.</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Commercial Banking + Retail Banking leads</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Phase 1 training complete; approved correspondence templates developed</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Average correspondence drafting time reduced by 40%; estimated at 2–3 hours/week per relationship manager recovered</w:t>
      </w:r>
    </w:p>
    <w:p>
      <w:pPr>
        <w:spacing w:after="100"/>
      </w:pPr>
      <w:r>
        <w:rPr>
          <w:b w:val="false"/>
          <w:bCs w:val="false"/>
          <w:sz w:val="22"/>
          <w:szCs w:val="22"/>
        </w:rPr>
        <w:t xml:space="preserve"/>
      </w:r>
      <w:r>
        <w:rPr>
          <w:b/>
          <w:bCs/>
          <w:sz w:val="22"/>
          <w:szCs w:val="22"/>
        </w:rPr>
        <w:t xml:space="preserve">Estimated ROI:</w:t>
      </w:r>
      <w:r>
        <w:rPr>
          <w:b w:val="false"/>
          <w:bCs w:val="false"/>
          <w:sz w:val="22"/>
          <w:szCs w:val="22"/>
        </w:rPr>
        <w:t xml:space="preserve"> Across 5 relationship managers, 2 hours/week recovered = </w:t>
      </w:r>
      <w:r>
        <w:rPr>
          <w:b/>
          <w:bCs/>
          <w:sz w:val="22"/>
          <w:szCs w:val="22"/>
        </w:rPr>
        <w:t xml:space="preserve">10 hours/week = 520 hours/year.</w:t>
      </w:r>
      <w:r>
        <w:rPr>
          <w:b w:val="false"/>
          <w:bCs w:val="false"/>
          <w:sz w:val="22"/>
          <w:szCs w:val="22"/>
        </w:rPr>
        <w:t xml:space="preserve"> Redeployed to business development and client interaction.</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$500 (template library development)</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2.4: BSA/HMDA Reporting Workflow Automation (Phase 1 Expansion)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Build on the Phase 1 regulatory reporting success. Formalize the workflow, create replicable prompt sequences in Copilot, and expand to additional report types. Evaluate whether Microsoft Power Automate (included in many M365 licenses) can automate data collection steps upstream of the Copilot-assisted drafting step.</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Compliance Officer + IT Lead</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Phase 1 reporting automation baseline; IT capacity for Power Automate configuration</w:t>
      </w:r>
    </w:p>
    <w:p>
      <w:pPr>
        <w:spacing w:after="100"/>
      </w:pPr>
      <w:r>
        <w:rPr>
          <w:b w:val="false"/>
          <w:bCs w:val="false"/>
          <w:sz w:val="22"/>
          <w:szCs w:val="22"/>
        </w:rPr>
        <w:t xml:space="preserve"/>
      </w:r>
      <w:r>
        <w:rPr>
          <w:b/>
          <w:bCs/>
          <w:sz w:val="22"/>
          <w:szCs w:val="22"/>
        </w:rPr>
        <w:t xml:space="preserve">Success Metric:</w:t>
      </w:r>
      <w:r>
        <w:rPr>
          <w:b w:val="false"/>
          <w:bCs w:val="false"/>
          <w:sz w:val="22"/>
          <w:szCs w:val="22"/>
        </w:rPr>
        <w:t xml:space="preserve"> Reporting prep time reduced by 50% vs. original baseline; workflow documented and runnable by any trained staff member</w:t>
      </w:r>
    </w:p>
    <w:p>
      <w:pPr>
        <w:spacing w:after="100"/>
      </w:pPr>
      <w:r>
        <w:rPr>
          <w:b w:val="false"/>
          <w:bCs w:val="false"/>
          <w:sz w:val="22"/>
          <w:szCs w:val="22"/>
        </w:rPr>
        <w:t xml:space="preserve"/>
      </w:r>
      <w:r>
        <w:rPr>
          <w:b/>
          <w:bCs/>
          <w:sz w:val="22"/>
          <w:szCs w:val="22"/>
        </w:rPr>
        <w:t xml:space="preserve">Estimated Investment:</w:t>
      </w:r>
      <w:r>
        <w:rPr>
          <w:b w:val="false"/>
          <w:bCs w:val="false"/>
          <w:sz w:val="22"/>
          <w:szCs w:val="22"/>
        </w:rPr>
        <w:t xml:space="preserve"> $500–$1,000 (Power Automate configuration, documentation)</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Phase 2 Investment Summary</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tcPr>
          <w:p>
            <w:r>
              <w:rPr>
                <w:b/>
                <w:bCs/>
                <w:sz w:val="20"/>
                <w:szCs w:val="20"/>
              </w:rPr>
              <w:t xml:space="preserve">Line Item</w:t>
            </w:r>
          </w:p>
        </w:tc>
        <w:tc>
          <w:tcPr>
            <w:tcW w:type="dxa" w:w="4500"/>
            <w:tcBorders>
              <w:top w:val="single" w:color="CCCCCC" w:sz="1"/>
              <w:left w:val="single" w:color="CCCCCC" w:sz="1"/>
              <w:bottom w:val="single" w:color="CCCCCC" w:sz="1"/>
              <w:right w:val="single" w:color="CCCCCC" w:sz="1"/>
            </w:tcBorders>
          </w:tcPr>
          <w:p>
            <w:r>
              <w:rPr>
                <w:b/>
                <w:bCs/>
                <w:sz w:val="20"/>
                <w:szCs w:val="20"/>
              </w:rPr>
              <w:t xml:space="preserve">Cost</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Credit Package workflow development</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Vendor evaluation (Meridian Link / HMDA Wiz)</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$1,000–$2,000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Client correspondence templates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Power Automate configuration</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Contingency / additional training</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**Phase 2 Total**</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**$3,000–$5,500**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**Cumulative Budget Used**</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**$4,000–$11,600**</w:t>
            </w:r>
          </w:p>
        </w:tc>
      </w:tr>
    </w:tbl>
    <w:p>
      <w:pPr>
        <w:spacing w:after="200"/>
      </w:pPr>
    </w:p>
    <w:p>
      <w:pPr>
        <w:spacing w:after="100"/>
      </w:pPr>
    </w:p>
    <w:p>
      <w:pPr>
        <w:spacing w:after="100"/>
      </w:pPr>
      <w:r>
        <w:rPr>
          <w:b w:val="false"/>
          <w:bCs w:val="false"/>
          <w:sz w:val="22"/>
          <w:szCs w:val="22"/>
        </w:rPr>
        <w:t xml:space="preserve">---</w:t>
      </w:r>
    </w:p>
    <w:p>
      <w:pPr>
        <w:spacing w:after="100"/>
      </w:pPr>
    </w:p>
    <w:p>
      <w:pPr>
        <w:pStyle w:val="Heading2"/>
        <w:spacing w:after="150" w:before="300"/>
      </w:pPr>
      <w:r>
        <w:rPr>
          <w:rFonts w:ascii="Arial" w:cs="Arial" w:eastAsia="Arial" w:hAnsi="Arial"/>
          <w:b/>
          <w:bCs/>
          <w:sz w:val="30"/>
          <w:szCs w:val="30"/>
        </w:rPr>
        <w:t xml:space="preserve">Phase 3: Scale &amp; Strategic Expansion (Months 12–24)</w:t>
      </w:r>
    </w:p>
    <w:p>
      <w:pPr>
        <w:spacing w:after="100"/>
      </w:pPr>
    </w:p>
    <w:p>
      <w:pPr>
        <w:spacing w:after="100"/>
      </w:pPr>
      <w:r>
        <w:rPr>
          <w:b w:val="false"/>
          <w:bCs w:val="false"/>
          <w:sz w:val="22"/>
          <w:szCs w:val="22"/>
        </w:rPr>
        <w:t xml:space="preserve"/>
      </w:r>
      <w:r>
        <w:rPr>
          <w:b/>
          <w:bCs/>
          <w:sz w:val="22"/>
          <w:szCs w:val="22"/>
        </w:rPr>
        <w:t xml:space="preserve">Strategic objective:</w:t>
      </w:r>
      <w:r>
        <w:rPr>
          <w:b w:val="false"/>
          <w:bCs w:val="false"/>
          <w:sz w:val="22"/>
          <w:szCs w:val="22"/>
        </w:rPr>
        <w:t xml:space="preserve"> Translate internal efficiency gains into client-facing value. Scale successful workflows. Evaluate larger vendor solutions informed by 12 months of operational intelligence.</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3.1: Client-Facing AI Communication Tools</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Aligned with DCB's 12–24 month vision of "communication and tools offered to our client base that strengthen relationships." This could include AI-assisted personalized client outreach, relationship review prompts for bankers ahead of client meetings, and automated renewal/review scheduling workflows.</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Commercial Banking + Retail Banking leads + Kirk Goehring</w:t>
      </w:r>
    </w:p>
    <w:p>
      <w:pPr>
        <w:spacing w:after="100"/>
      </w:pPr>
      <w:r>
        <w:rPr>
          <w:b w:val="false"/>
          <w:bCs w:val="false"/>
          <w:sz w:val="22"/>
          <w:szCs w:val="22"/>
        </w:rPr>
        <w:t xml:space="preserve"/>
      </w:r>
      <w:r>
        <w:rPr>
          <w:b/>
          <w:bCs/>
          <w:sz w:val="22"/>
          <w:szCs w:val="22"/>
        </w:rPr>
        <w:t xml:space="preserve">Dependencies:</w:t>
      </w:r>
      <w:r>
        <w:rPr>
          <w:b w:val="false"/>
          <w:bCs w:val="false"/>
          <w:sz w:val="22"/>
          <w:szCs w:val="22"/>
        </w:rPr>
        <w:t xml:space="preserve"> Phase 2 correspondence workflows in place; client data governance framework extended</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3.2: Vendor Replacement Execution (if Phase 2 Evaluation Recommends)</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If the Phase 2 vendor evaluation recommends replacing Meridian Link and/or HMDA Wiz, Phase 3 is when implementation occurs — with sufficient time for planning, IT integration, staff training, and parallel testing.</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Kirk Goehring + IT Lead + Compliance Officer</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Initiative 3.3: AI Governance Council (Working Group Maturation)</w:t>
      </w:r>
    </w:p>
    <w:p>
      <w:pPr>
        <w:spacing w:after="100"/>
      </w:pPr>
      <w:r>
        <w:rPr>
          <w:b w:val="false"/>
          <w:bCs w:val="false"/>
          <w:sz w:val="22"/>
          <w:szCs w:val="22"/>
        </w:rPr>
        <w:t xml:space="preserve"/>
      </w:r>
      <w:r>
        <w:rPr>
          <w:b/>
          <w:bCs/>
          <w:sz w:val="22"/>
          <w:szCs w:val="22"/>
        </w:rPr>
        <w:t xml:space="preserve">Description:</w:t>
      </w:r>
      <w:r>
        <w:rPr>
          <w:b w:val="false"/>
          <w:bCs w:val="false"/>
          <w:sz w:val="22"/>
          <w:szCs w:val="22"/>
        </w:rPr>
        <w:t xml:space="preserve"> The AI Working Group evolves from an adoption-focused team into a permanent governance and innovation council — responsible for ongoing vendor evaluation, policy maintenance, regulatory monitoring (FFIEC AI guidance, CFPB updates), and cross-departmental AI strategy.</w:t>
      </w:r>
    </w:p>
    <w:p>
      <w:pPr>
        <w:spacing w:after="100"/>
      </w:pPr>
    </w:p>
    <w:p>
      <w:pPr>
        <w:spacing w:after="100"/>
      </w:pPr>
      <w:r>
        <w:rPr>
          <w:b w:val="false"/>
          <w:bCs w:val="false"/>
          <w:sz w:val="22"/>
          <w:szCs w:val="22"/>
        </w:rPr>
        <w:t xml:space="preserve"/>
      </w:r>
      <w:r>
        <w:rPr>
          <w:b/>
          <w:bCs/>
          <w:sz w:val="22"/>
          <w:szCs w:val="22"/>
        </w:rPr>
        <w:t xml:space="preserve">Owner:</w:t>
      </w:r>
      <w:r>
        <w:rPr>
          <w:b w:val="false"/>
          <w:bCs w:val="false"/>
          <w:sz w:val="22"/>
          <w:szCs w:val="22"/>
        </w:rPr>
        <w:t xml:space="preserve"> Kirk Goehring (chair); Garrett Moore (operations)</w:t>
      </w:r>
    </w:p>
    <w:p>
      <w:pPr>
        <w:spacing w:after="100"/>
      </w:pPr>
    </w:p>
    <w:p>
      <w:pPr>
        <w:spacing w:after="100"/>
      </w:pPr>
      <w:r>
        <w:rPr>
          <w:b w:val="false"/>
          <w:bCs w:val="false"/>
          <w:sz w:val="22"/>
          <w:szCs w:val="22"/>
        </w:rPr>
        <w:t xml:space="preserve">---</w:t>
      </w:r>
    </w:p>
    <w:p>
      <w:pPr>
        <w:spacing w:after="100"/>
      </w:pPr>
    </w:p>
    <w:p>
      <w:pPr>
        <w:pStyle w:val="Heading3"/>
        <w:spacing w:after="100" w:before="200"/>
      </w:pPr>
      <w:r>
        <w:rPr>
          <w:rFonts w:ascii="Arial" w:cs="Arial" w:eastAsia="Arial" w:hAnsi="Arial"/>
          <w:b/>
          <w:bCs/>
          <w:sz w:val="26"/>
          <w:szCs w:val="26"/>
        </w:rPr>
        <w:t xml:space="preserve">Phase 3 Investment Summary</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tcPr>
          <w:p>
            <w:r>
              <w:rPr>
                <w:b/>
                <w:bCs/>
                <w:sz w:val="20"/>
                <w:szCs w:val="20"/>
              </w:rPr>
              <w:t xml:space="preserve">Line Item</w:t>
            </w:r>
          </w:p>
        </w:tc>
        <w:tc>
          <w:tcPr>
            <w:tcW w:type="dxa" w:w="4500"/>
            <w:tcBorders>
              <w:top w:val="single" w:color="CCCCCC" w:sz="1"/>
              <w:left w:val="single" w:color="CCCCCC" w:sz="1"/>
              <w:bottom w:val="single" w:color="CCCCCC" w:sz="1"/>
              <w:right w:val="single" w:color="CCCCCC" w:sz="1"/>
            </w:tcBorders>
          </w:tcPr>
          <w:p>
            <w:r>
              <w:rPr>
                <w:b/>
                <w:bCs/>
                <w:sz w:val="20"/>
                <w:szCs w:val="20"/>
              </w:rPr>
              <w:t xml:space="preserve">Cost</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Vendor replacement implementation (if applicable)</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$2,000–$5,000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Client-facing tool development</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$1,500–$3,000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Governance council operations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Ongoing training and capability refresh</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$500–$1,000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**Phase 3 Total**</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**$4,500–$10,000**</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**Cumulative 24-Month Total**</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**$8,500–$21,600**</w:t>
            </w:r>
          </w:p>
        </w:tc>
      </w:tr>
    </w:tbl>
    <w:p>
      <w:pPr>
        <w:spacing w:after="200"/>
      </w:pPr>
    </w:p>
    <w:p>
      <w:pPr>
        <w:spacing w:after="100"/>
      </w:pPr>
    </w:p>
    <w:p>
      <w:pPr>
        <w:spacing w:after="100"/>
      </w:pPr>
      <w:r>
        <w:rPr>
          <w:b w:val="false"/>
          <w:bCs w:val="false"/>
          <w:sz w:val="22"/>
          <w:szCs w:val="22"/>
        </w:rPr>
        <w:t xml:space="preserve">*The upper-end cumulative total comes in under the $25,000 stated budget ceiling, leaving a reserve for contingency and emergencies.*</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VI. Communication Hub Design</w:t>
      </w:r>
    </w:p>
    <w:p>
      <w:pPr>
        <w:spacing w:after="100"/>
      </w:pPr>
    </w:p>
    <w:p>
      <w:pPr>
        <w:pStyle w:val="Heading2"/>
        <w:spacing w:after="150" w:before="300"/>
      </w:pPr>
      <w:r>
        <w:rPr>
          <w:rFonts w:ascii="Arial" w:cs="Arial" w:eastAsia="Arial" w:hAnsi="Arial"/>
          <w:b/>
          <w:bCs/>
          <w:sz w:val="30"/>
          <w:szCs w:val="30"/>
        </w:rPr>
        <w:t xml:space="preserve">The Problem It Solves</w:t>
      </w:r>
    </w:p>
    <w:p>
      <w:pPr>
        <w:spacing w:after="100"/>
      </w:pPr>
    </w:p>
    <w:p>
      <w:pPr>
        <w:spacing w:after="100"/>
      </w:pPr>
      <w:r>
        <w:rPr>
          <w:b w:val="false"/>
          <w:bCs w:val="false"/>
          <w:sz w:val="22"/>
          <w:szCs w:val="22"/>
        </w:rPr>
        <w:t xml:space="preserve">At DCB, the people who know the most about where time is wasted — and where AI could help — are the loan processors, branch staff, and compliance analysts doing the work every day. Without a structured channel to capture those observations, the Working Group will plan Phase 2 based on what leadership thinks the problems are, not what the front line actually experiences. The Communication Hub closes that gap.</w:t>
      </w:r>
    </w:p>
    <w:p>
      <w:pPr>
        <w:spacing w:after="100"/>
      </w:pPr>
    </w:p>
    <w:p>
      <w:pPr>
        <w:pStyle w:val="Heading2"/>
        <w:spacing w:after="150" w:before="300"/>
      </w:pPr>
      <w:r>
        <w:rPr>
          <w:rFonts w:ascii="Arial" w:cs="Arial" w:eastAsia="Arial" w:hAnsi="Arial"/>
          <w:b/>
          <w:bCs/>
          <w:sz w:val="30"/>
          <w:szCs w:val="30"/>
        </w:rPr>
        <w:t xml:space="preserve">Recommended Platform</w:t>
      </w:r>
    </w:p>
    <w:p>
      <w:pPr>
        <w:spacing w:after="100"/>
      </w:pPr>
    </w:p>
    <w:p>
      <w:pPr>
        <w:spacing w:after="100"/>
      </w:pPr>
      <w:r>
        <w:rPr>
          <w:b w:val="false"/>
          <w:bCs w:val="false"/>
          <w:sz w:val="22"/>
          <w:szCs w:val="22"/>
        </w:rPr>
        <w:t xml:space="preserve"/>
      </w:r>
      <w:r>
        <w:rPr>
          <w:b/>
          <w:bCs/>
          <w:sz w:val="22"/>
          <w:szCs w:val="22"/>
        </w:rPr>
        <w:t xml:space="preserve">Microsoft Teams — Dedicated Channel: `#ai-ideas-and-feedback`</w:t>
      </w:r>
      <w:r>
        <w:rPr>
          <w:b w:val="false"/>
          <w:bCs w:val="false"/>
          <w:sz w:val="22"/>
          <w:szCs w:val="22"/>
        </w:rPr>
        <w:t xml:space="preserve"/>
      </w:r>
    </w:p>
    <w:p>
      <w:pPr>
        <w:spacing w:after="100"/>
      </w:pPr>
    </w:p>
    <w:p>
      <w:pPr>
        <w:spacing w:after="100"/>
      </w:pPr>
      <w:r>
        <w:rPr>
          <w:b w:val="false"/>
          <w:bCs w:val="false"/>
          <w:sz w:val="22"/>
          <w:szCs w:val="22"/>
        </w:rPr>
        <w:t xml:space="preserve">This is the right choice for DCB because:</w:t>
      </w:r>
    </w:p>
    <w:p>
      <w:pPr>
        <w:pStyle w:val="ListParagraph"/>
        <w:numPr>
          <w:ilvl w:val="0"/>
          <w:numId w:val="1"/>
        </w:numPr>
        <w:spacing w:after="60"/>
      </w:pPr>
      <w:r>
        <w:rPr>
          <w:b w:val="false"/>
          <w:bCs w:val="false"/>
          <w:sz w:val="22"/>
          <w:szCs w:val="22"/>
        </w:rPr>
        <w:t xml:space="preserve">Microsoft Teams is already in use as part of the M365 subscription</w:t>
      </w:r>
    </w:p>
    <w:p>
      <w:pPr>
        <w:pStyle w:val="ListParagraph"/>
        <w:numPr>
          <w:ilvl w:val="0"/>
          <w:numId w:val="1"/>
        </w:numPr>
        <w:spacing w:after="60"/>
      </w:pPr>
      <w:r>
        <w:rPr>
          <w:b w:val="false"/>
          <w:bCs w:val="false"/>
          <w:sz w:val="22"/>
          <w:szCs w:val="22"/>
        </w:rPr>
        <w:t xml:space="preserve">Zero additional cost</w:t>
      </w:r>
    </w:p>
    <w:p>
      <w:pPr>
        <w:pStyle w:val="ListParagraph"/>
        <w:numPr>
          <w:ilvl w:val="0"/>
          <w:numId w:val="1"/>
        </w:numPr>
        <w:spacing w:after="60"/>
      </w:pPr>
      <w:r>
        <w:rPr>
          <w:b w:val="false"/>
          <w:bCs w:val="false"/>
          <w:sz w:val="22"/>
          <w:szCs w:val="22"/>
        </w:rPr>
        <w:t xml:space="preserve">Staff are already familiar with the interface</w:t>
      </w:r>
    </w:p>
    <w:p>
      <w:pPr>
        <w:pStyle w:val="ListParagraph"/>
        <w:numPr>
          <w:ilvl w:val="0"/>
          <w:numId w:val="1"/>
        </w:numPr>
        <w:spacing w:after="60"/>
      </w:pPr>
      <w:r>
        <w:rPr>
          <w:b w:val="false"/>
          <w:bCs w:val="false"/>
          <w:sz w:val="22"/>
          <w:szCs w:val="22"/>
        </w:rPr>
        <w:t xml:space="preserve">Submissions are automatically timestamped and searchable</w:t>
      </w:r>
    </w:p>
    <w:p>
      <w:pPr>
        <w:pStyle w:val="ListParagraph"/>
        <w:numPr>
          <w:ilvl w:val="0"/>
          <w:numId w:val="1"/>
        </w:numPr>
        <w:spacing w:after="60"/>
      </w:pPr>
      <w:r>
        <w:rPr>
          <w:b w:val="false"/>
          <w:bCs w:val="false"/>
          <w:sz w:val="22"/>
          <w:szCs w:val="22"/>
        </w:rPr>
        <w:t xml:space="preserve">Copilot can be used to summarize and categorize submissions before Working Group meetings</w:t>
      </w:r>
    </w:p>
    <w:p>
      <w:pPr>
        <w:spacing w:after="100"/>
      </w:pPr>
    </w:p>
    <w:p>
      <w:pPr>
        <w:pStyle w:val="Heading2"/>
        <w:spacing w:after="150" w:before="300"/>
      </w:pPr>
      <w:r>
        <w:rPr>
          <w:rFonts w:ascii="Arial" w:cs="Arial" w:eastAsia="Arial" w:hAnsi="Arial"/>
          <w:b/>
          <w:bCs/>
          <w:sz w:val="30"/>
          <w:szCs w:val="30"/>
        </w:rPr>
        <w:t xml:space="preserve">How Users Submit</w:t>
      </w:r>
    </w:p>
    <w:p>
      <w:pPr>
        <w:spacing w:after="100"/>
      </w:pPr>
    </w:p>
    <w:p>
      <w:pPr>
        <w:spacing w:after="100"/>
      </w:pPr>
      <w:r>
        <w:rPr>
          <w:b w:val="false"/>
          <w:bCs w:val="false"/>
          <w:sz w:val="22"/>
          <w:szCs w:val="22"/>
        </w:rPr>
        <w:t xml:space="preserve"/>
      </w:r>
      <w:r>
        <w:rPr>
          <w:b/>
          <w:bCs/>
          <w:sz w:val="22"/>
          <w:szCs w:val="22"/>
        </w:rPr>
        <w:t xml:space="preserve">Make it ridiculously simple.</w:t>
      </w:r>
      <w:r>
        <w:rPr>
          <w:b w:val="false"/>
          <w:bCs w:val="false"/>
          <w:sz w:val="22"/>
          <w:szCs w:val="22"/>
        </w:rPr>
        <w:t xml:space="preserve"> The channel description reads:</w:t>
      </w:r>
    </w:p>
    <w:p>
      <w:pPr>
        <w:spacing w:after="100"/>
      </w:pPr>
    </w:p>
    <w:p>
      <w:pPr>
        <w:spacing w:after="100"/>
      </w:pPr>
      <w:r>
        <w:rPr>
          <w:b w:val="false"/>
          <w:bCs w:val="false"/>
          <w:sz w:val="22"/>
          <w:szCs w:val="22"/>
        </w:rPr>
        <w:t xml:space="preserve">&gt; *"Drop anything here — ideas, frustrations, things that waste your time, things AI might help with, questions. No format required. One sentence or ten. Voice memo or typed. We read everything."*</w:t>
      </w:r>
    </w:p>
    <w:p>
      <w:pPr>
        <w:spacing w:after="100"/>
      </w:pPr>
    </w:p>
    <w:p>
      <w:pPr>
        <w:spacing w:after="100"/>
      </w:pPr>
      <w:r>
        <w:rPr>
          <w:b w:val="false"/>
          <w:bCs w:val="false"/>
          <w:sz w:val="22"/>
          <w:szCs w:val="22"/>
        </w:rPr>
        <w:t xml:space="preserve">Pinned to the channel: a single-sentence prompt to reduce blank-page anxiety:</w:t>
      </w:r>
    </w:p>
    <w:p>
      <w:pPr>
        <w:spacing w:after="100"/>
      </w:pPr>
      <w:r>
        <w:rPr>
          <w:b w:val="false"/>
          <w:bCs w:val="false"/>
          <w:sz w:val="22"/>
          <w:szCs w:val="22"/>
        </w:rPr>
        <w:t xml:space="preserve">&gt; *"The task I wish took less time this week was ______."*</w:t>
      </w:r>
    </w:p>
    <w:p>
      <w:pPr>
        <w:spacing w:after="100"/>
      </w:pPr>
    </w:p>
    <w:p>
      <w:pPr>
        <w:spacing w:after="100"/>
      </w:pPr>
      <w:r>
        <w:rPr>
          <w:b w:val="false"/>
          <w:bCs w:val="false"/>
          <w:sz w:val="22"/>
          <w:szCs w:val="22"/>
        </w:rPr>
        <w:t xml:space="preserve">Staff can post text, voice messages (Teams supports this), images of manual processes, or simply react to someone else's submission with a 👍 to signal "me too."</w:t>
      </w:r>
    </w:p>
    <w:p>
      <w:pPr>
        <w:spacing w:after="100"/>
      </w:pPr>
    </w:p>
    <w:p>
      <w:pPr>
        <w:pStyle w:val="Heading2"/>
        <w:spacing w:after="150" w:before="300"/>
      </w:pPr>
      <w:r>
        <w:rPr>
          <w:rFonts w:ascii="Arial" w:cs="Arial" w:eastAsia="Arial" w:hAnsi="Arial"/>
          <w:b/>
          <w:bCs/>
          <w:sz w:val="30"/>
          <w:szCs w:val="30"/>
        </w:rPr>
        <w:t xml:space="preserve">How AI Structures the Input</w:t>
      </w:r>
    </w:p>
    <w:p>
      <w:pPr>
        <w:spacing w:after="100"/>
      </w:pPr>
    </w:p>
    <w:p>
      <w:pPr>
        <w:spacing w:after="100"/>
      </w:pPr>
      <w:r>
        <w:rPr>
          <w:b w:val="false"/>
          <w:bCs w:val="false"/>
          <w:sz w:val="22"/>
          <w:szCs w:val="22"/>
        </w:rPr>
        <w:t xml:space="preserve">Every two weeks, before the Working Group meeting, Garrett Moore (or a designated Working Group member) runs the following Copilot prompt against the channel's recent submissions:</w:t>
      </w:r>
    </w:p>
    <w:p>
      <w:pPr>
        <w:spacing w:after="100"/>
      </w:pPr>
    </w:p>
    <w:p>
      <w:pPr>
        <w:spacing w:after="100"/>
      </w:pPr>
      <w:r>
        <w:rPr>
          <w:b w:val="false"/>
          <w:bCs w:val="false"/>
          <w:sz w:val="22"/>
          <w:szCs w:val="22"/>
        </w:rPr>
        <w:t xml:space="preserve">&gt; *"Summarize the last two weeks of submissions in this channel. Group them into five categories: (1) Things going well with AI, (2) Friction points and blockers, (3) Ideas we could act on now, (4) Ideas that would require vendor or system changes, (5) Training or knowledge gaps. For each category, list the top 2–3 themes and the approximate number of staff who raised similar points."*</w:t>
      </w:r>
    </w:p>
    <w:p>
      <w:pPr>
        <w:spacing w:after="100"/>
      </w:pPr>
    </w:p>
    <w:p>
      <w:pPr>
        <w:spacing w:after="100"/>
      </w:pPr>
      <w:r>
        <w:rPr>
          <w:b w:val="false"/>
          <w:bCs w:val="false"/>
          <w:sz w:val="22"/>
          <w:szCs w:val="22"/>
        </w:rPr>
        <w:t xml:space="preserve">The output becomes the </w:t>
      </w:r>
      <w:r>
        <w:rPr>
          <w:b/>
          <w:bCs/>
          <w:sz w:val="22"/>
          <w:szCs w:val="22"/>
        </w:rPr>
        <w:t xml:space="preserve">standing first agenda item</w:t>
      </w:r>
      <w:r>
        <w:rPr>
          <w:b w:val="false"/>
          <w:bCs w:val="false"/>
          <w:sz w:val="22"/>
          <w:szCs w:val="22"/>
        </w:rPr>
        <w:t xml:space="preserve"> of every Working Group meeting.</w:t>
      </w:r>
    </w:p>
    <w:p>
      <w:pPr>
        <w:spacing w:after="100"/>
      </w:pPr>
    </w:p>
    <w:p>
      <w:pPr>
        <w:pStyle w:val="Heading2"/>
        <w:spacing w:after="150" w:before="300"/>
      </w:pPr>
      <w:r>
        <w:rPr>
          <w:rFonts w:ascii="Arial" w:cs="Arial" w:eastAsia="Arial" w:hAnsi="Arial"/>
          <w:b/>
          <w:bCs/>
          <w:sz w:val="30"/>
          <w:szCs w:val="30"/>
        </w:rPr>
        <w:t xml:space="preserve">Categories to Capture</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tcPr>
          <w:p>
            <w:r>
              <w:rPr>
                <w:b/>
                <w:bCs/>
                <w:sz w:val="20"/>
                <w:szCs w:val="20"/>
              </w:rPr>
              <w:t xml:space="preserve">Category</w:t>
            </w:r>
          </w:p>
        </w:tc>
        <w:tc>
          <w:tcPr>
            <w:tcW w:type="dxa" w:w="4500"/>
            <w:tcBorders>
              <w:top w:val="single" w:color="CCCCCC" w:sz="1"/>
              <w:left w:val="single" w:color="CCCCCC" w:sz="1"/>
              <w:bottom w:val="single" w:color="CCCCCC" w:sz="1"/>
              <w:right w:val="single" w:color="CCCCCC" w:sz="1"/>
            </w:tcBorders>
          </w:tcPr>
          <w:p>
            <w:r>
              <w:rPr>
                <w:b/>
                <w:bCs/>
                <w:sz w:val="20"/>
                <w:szCs w:val="20"/>
              </w:rPr>
              <w:t xml:space="preserve">Purpose</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**What's working**</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Reinforces positive behavior; identifies scalable practices</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**Friction points**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Surfaces blockers before they cause quiet disengagement</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**Ideas we can act on now**</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Low-complexity wins for Phase 2 prioritization</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**Ideas needing vendor/system changes**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Informs vendor evaluation roadmap</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**Training / knowledge gaps**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Shapes ongoing training design</w:t>
            </w:r>
          </w:p>
        </w:tc>
      </w:tr>
    </w:tbl>
    <w:p>
      <w:pPr>
        <w:spacing w:after="200"/>
      </w:pPr>
    </w:p>
    <w:p>
      <w:pPr>
        <w:spacing w:after="100"/>
      </w:pPr>
    </w:p>
    <w:p>
      <w:pPr>
        <w:pStyle w:val="Heading2"/>
        <w:spacing w:after="150" w:before="300"/>
      </w:pPr>
      <w:r>
        <w:rPr>
          <w:rFonts w:ascii="Arial" w:cs="Arial" w:eastAsia="Arial" w:hAnsi="Arial"/>
          <w:b/>
          <w:bCs/>
          <w:sz w:val="30"/>
          <w:szCs w:val="30"/>
        </w:rPr>
        <w:t xml:space="preserve">Integration with the Working Group</w:t>
      </w:r>
    </w:p>
    <w:p>
      <w:pPr>
        <w:spacing w:after="100"/>
      </w:pPr>
    </w:p>
    <w:p>
      <w:pPr>
        <w:spacing w:after="100"/>
      </w:pPr>
      <w:r>
        <w:rPr>
          <w:b w:val="false"/>
          <w:bCs w:val="false"/>
          <w:sz w:val="22"/>
          <w:szCs w:val="22"/>
        </w:rPr>
        <w:t xml:space="preserve">The Communication Hub is not a suggestion box. It is the primary intelligence source for the Working Group's planning decisions. The bi-weekly meeting agenda template:</w:t>
      </w:r>
    </w:p>
    <w:p>
      <w:pPr>
        <w:spacing w:after="100"/>
      </w:pPr>
    </w:p>
    <w:p>
      <w:pPr>
        <w:spacing w:after="100"/>
      </w:pPr>
      <w:r>
        <w:rPr>
          <w:b w:val="false"/>
          <w:bCs w:val="false"/>
          <w:sz w:val="22"/>
          <w:szCs w:val="22"/>
        </w:rPr>
        <w:t xml:space="preserve">1. </w:t>
      </w:r>
      <w:r>
        <w:rPr>
          <w:b/>
          <w:bCs/>
          <w:sz w:val="22"/>
          <w:szCs w:val="22"/>
        </w:rPr>
        <w:t xml:space="preserve">Communication Hub summary</w:t>
      </w:r>
      <w:r>
        <w:rPr>
          <w:b w:val="false"/>
          <w:bCs w:val="false"/>
          <w:sz w:val="22"/>
          <w:szCs w:val="22"/>
        </w:rPr>
        <w:t xml:space="preserve"> (10 min) — What did the AI-generated summary surface?</w:t>
      </w:r>
    </w:p>
    <w:p>
      <w:pPr>
        <w:spacing w:after="100"/>
      </w:pPr>
      <w:r>
        <w:rPr>
          <w:b w:val="false"/>
          <w:bCs w:val="false"/>
          <w:sz w:val="22"/>
          <w:szCs w:val="22"/>
        </w:rPr>
        <w:t xml:space="preserve">2. </w:t>
      </w:r>
      <w:r>
        <w:rPr>
          <w:b/>
          <w:bCs/>
          <w:sz w:val="22"/>
          <w:szCs w:val="22"/>
        </w:rPr>
        <w:t xml:space="preserve">Phase progress review</w:t>
      </w:r>
      <w:r>
        <w:rPr>
          <w:b w:val="false"/>
          <w:bCs w:val="false"/>
          <w:sz w:val="22"/>
          <w:szCs w:val="22"/>
        </w:rPr>
        <w:t xml:space="preserve"> (15 min) — How are current initiatives tracking?</w:t>
      </w:r>
    </w:p>
    <w:p>
      <w:pPr>
        <w:spacing w:after="100"/>
      </w:pPr>
      <w:r>
        <w:rPr>
          <w:b w:val="false"/>
          <w:bCs w:val="false"/>
          <w:sz w:val="22"/>
          <w:szCs w:val="22"/>
        </w:rPr>
        <w:t xml:space="preserve">3. </w:t>
      </w:r>
      <w:r>
        <w:rPr>
          <w:b/>
          <w:bCs/>
          <w:sz w:val="22"/>
          <w:szCs w:val="22"/>
        </w:rPr>
        <w:t xml:space="preserve">Decisions required</w:t>
      </w:r>
      <w:r>
        <w:rPr>
          <w:b w:val="false"/>
          <w:bCs w:val="false"/>
          <w:sz w:val="22"/>
          <w:szCs w:val="22"/>
        </w:rPr>
        <w:t xml:space="preserve"> (15 min) — What does the group need to decide today?</w:t>
      </w:r>
    </w:p>
    <w:p>
      <w:pPr>
        <w:spacing w:after="100"/>
      </w:pPr>
      <w:r>
        <w:rPr>
          <w:b w:val="false"/>
          <w:bCs w:val="false"/>
          <w:sz w:val="22"/>
          <w:szCs w:val="22"/>
        </w:rPr>
        <w:t xml:space="preserve">4. </w:t>
      </w:r>
      <w:r>
        <w:rPr>
          <w:b/>
          <w:bCs/>
          <w:sz w:val="22"/>
          <w:szCs w:val="22"/>
        </w:rPr>
        <w:t xml:space="preserve">Actions and owners</w:t>
      </w:r>
      <w:r>
        <w:rPr>
          <w:b w:val="false"/>
          <w:bCs w:val="false"/>
          <w:sz w:val="22"/>
          <w:szCs w:val="22"/>
        </w:rPr>
        <w:t xml:space="preserve"> (10 min) — Who does what before the next meeting?</w:t>
      </w:r>
    </w:p>
    <w:p>
      <w:pPr>
        <w:spacing w:after="100"/>
      </w:pPr>
    </w:p>
    <w:p>
      <w:pPr>
        <w:pStyle w:val="Heading2"/>
        <w:spacing w:after="150" w:before="300"/>
      </w:pPr>
      <w:r>
        <w:rPr>
          <w:rFonts w:ascii="Arial" w:cs="Arial" w:eastAsia="Arial" w:hAnsi="Arial"/>
          <w:b/>
          <w:bCs/>
          <w:sz w:val="30"/>
          <w:szCs w:val="30"/>
        </w:rPr>
        <w:t xml:space="preserve">Success Metrics for the Hub</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tcPr>
          <w:p>
            <w:r>
              <w:rPr>
                <w:b/>
                <w:bCs/>
                <w:sz w:val="20"/>
                <w:szCs w:val="20"/>
              </w:rPr>
              <w:t xml:space="preserve">Metric</w:t>
            </w:r>
          </w:p>
        </w:tc>
        <w:tc>
          <w:tcPr>
            <w:tcW w:type="dxa" w:w="4500"/>
            <w:tcBorders>
              <w:top w:val="single" w:color="CCCCCC" w:sz="1"/>
              <w:left w:val="single" w:color="CCCCCC" w:sz="1"/>
              <w:bottom w:val="single" w:color="CCCCCC" w:sz="1"/>
              <w:right w:val="single" w:color="CCCCCC" w:sz="1"/>
            </w:tcBorders>
          </w:tcPr>
          <w:p>
            <w:r>
              <w:rPr>
                <w:b/>
                <w:bCs/>
                <w:sz w:val="20"/>
                <w:szCs w:val="20"/>
              </w:rPr>
              <w:t xml:space="preserve">Target (Month 3)</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Total submissions received</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≥25</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Unique staff contributors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≥40% of staff</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Ideas formally evaluated by Working Group</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≥5</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Ideas actioned (Phase 2 pipeline)</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≥2</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Average time from submission to Working Group evaluation</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≤2 weeks</w:t>
            </w:r>
          </w:p>
        </w:tc>
      </w:tr>
    </w:tbl>
    <w:p>
      <w:pPr>
        <w:spacing w:after="200"/>
      </w:pP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VII. Recommended AI Use Cases — Prioritization Matrix</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000"/>
            <w:tcBorders>
              <w:top w:val="single" w:color="CCCCCC" w:sz="1"/>
              <w:left w:val="single" w:color="CCCCCC" w:sz="1"/>
              <w:bottom w:val="single" w:color="CCCCCC" w:sz="1"/>
              <w:right w:val="single" w:color="CCCCCC" w:sz="1"/>
            </w:tcBorders>
          </w:tcPr>
          <w:p>
            <w:r>
              <w:rPr>
                <w:b/>
                <w:bCs/>
                <w:sz w:val="20"/>
                <w:szCs w:val="20"/>
              </w:rPr>
              <w:t xml:space="preserve">Priority</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Use Case</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Department(s)</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Problem Solved</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Phase</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Approach</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Complexity</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Expected Impact</w:t>
            </w:r>
          </w:p>
        </w:tc>
        <w:tc>
          <w:tcPr>
            <w:tcW w:type="dxa" w:w="1000"/>
            <w:tcBorders>
              <w:top w:val="single" w:color="CCCCCC" w:sz="1"/>
              <w:left w:val="single" w:color="CCCCCC" w:sz="1"/>
              <w:bottom w:val="single" w:color="CCCCCC" w:sz="1"/>
              <w:right w:val="single" w:color="CCCCCC" w:sz="1"/>
            </w:tcBorders>
          </w:tcPr>
          <w:p>
            <w:r>
              <w:rPr>
                <w:b/>
                <w:bCs/>
                <w:sz w:val="20"/>
                <w:szCs w:val="20"/>
              </w:rPr>
              <w:t xml:space="preserve">Estimated ROI</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Regulatory Report Drafting (BSA, HMDA, Credit/Deposit)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Compliance, Finance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Manual, time-intensive monthly reporting</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1</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(Copilot)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60+ hrs/year saved; ~$2,100+/year cost avoidance</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Credit Package Assembly &amp; Narrative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Lending / Loan Ops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Highest-effort recurring lender task</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(Copilot + templates)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12+ hrs/month/lender freed; $7,200+/year/lender</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Client Correspondence Drafting</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Commercial, Retail</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Time spent on routine written communication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(Copilot + templates)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520 hrs/year across 5 RMs recovered</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AI Acceptable Use Policy &amp; Governance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All Departments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Regulatory exposure, data loss risk</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1</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Build (internal + legal)</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Critical</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Risk avoidance; exam readiness</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Staff AI Training Program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All Departments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 adoption, staff uncertainty</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1</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Build (internal)</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Foundation for all other ROI</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HMDA Wiz Vendor Evaluation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Compliance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Ongoing vendor cost; AI-native alternatives exist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Buy (evaluate)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Potential $X,000/year in vendor cost savings</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Meridian Link Vendor Evaluation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Lending</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Ongoing vendor cost; AI-native alternatives exist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Buy (evaluate)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Potential $X,000/year in vendor cost savings</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Loan Renewal / Review Automation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Lending</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Manual tracking and notification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(Power Automate + Copilot)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Hours saved; fewer missed renewals</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BSA Alert Review Assistance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Compliance / BSA</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Volume of alerts requiring narrative review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(Copilot in M365)</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Compliance hours recovered; examiner readiness</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Client Relationship Outreach Automation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Commercial Banking</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Reactive vs. proactive client communication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3</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Build / Buy</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Revenue influence; retention improvement</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**11**</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HR Document Drafting (policies, job descriptions)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HR &amp; People</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Manual HR document creation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(Copilot)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10–15 hrs/month HR time recovered</w:t>
            </w:r>
          </w:p>
        </w:tc>
      </w:tr>
      <w:tr>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**12**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IT Security Incident Summarization</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IT / Info Security</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Manually written incident reports</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Activate (Copilot)</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Low</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tcPr>
          <w:p>
            <w:r>
              <w:rPr>
                <w:b w:val="false"/>
                <w:bCs w:val="false"/>
                <w:sz w:val="20"/>
                <w:szCs w:val="20"/>
              </w:rPr>
              <w:t xml:space="preserve">5–10 hrs/month IT time recovered</w:t>
            </w:r>
          </w:p>
        </w:tc>
      </w:tr>
    </w:tbl>
    <w:p>
      <w:pPr>
        <w:spacing w:after="200"/>
      </w:pPr>
    </w:p>
    <w:p>
      <w:pPr>
        <w:spacing w:after="100"/>
      </w:pPr>
    </w:p>
    <w:p>
      <w:pPr>
        <w:spacing w:after="100"/>
      </w:pPr>
      <w:r>
        <w:rPr>
          <w:b w:val="false"/>
          <w:bCs w:val="false"/>
          <w:sz w:val="22"/>
          <w:szCs w:val="22"/>
        </w:rPr>
        <w:t xml:space="preserve">*Vendor cost savings for Meridian Link and HMDA Wiz cannot be estimated without current contract values. The Working Group should document these figures in Month 1 as part of the vendor evaluation baseline.*</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VIII. Governance &amp; Risk Framework</w:t>
      </w:r>
    </w:p>
    <w:p>
      <w:pPr>
        <w:spacing w:after="100"/>
      </w:pPr>
    </w:p>
    <w:p>
      <w:pPr>
        <w:pStyle w:val="Heading2"/>
        <w:spacing w:after="150" w:before="300"/>
      </w:pPr>
      <w:r>
        <w:rPr>
          <w:rFonts w:ascii="Arial" w:cs="Arial" w:eastAsia="Arial" w:hAnsi="Arial"/>
          <w:b/>
          <w:bCs/>
          <w:sz w:val="30"/>
          <w:szCs w:val="30"/>
        </w:rPr>
        <w:t xml:space="preserve">Why This Section Leads Everything Else at DCB</w:t>
      </w:r>
    </w:p>
    <w:p>
      <w:pPr>
        <w:spacing w:after="100"/>
      </w:pPr>
    </w:p>
    <w:p>
      <w:pPr>
        <w:spacing w:after="100"/>
      </w:pPr>
      <w:r>
        <w:rPr>
          <w:b w:val="false"/>
          <w:bCs w:val="false"/>
          <w:sz w:val="22"/>
          <w:szCs w:val="22"/>
        </w:rPr>
        <w:t xml:space="preserve">Kirk Goehring named three concerns in order: data loss, regulatory scrutiny, and staff resistance. These are not abstract risks for a community bank. FDIC examiners are increasingly asking about AI usage during examinations. The FFIEC has issued guidance on model risk management that extends to AI systems. A poorly governed AI program at a bank — even a small one — is an examination finding waiting to happen.</w:t>
      </w:r>
    </w:p>
    <w:p>
      <w:pPr>
        <w:spacing w:after="100"/>
      </w:pPr>
    </w:p>
    <w:p>
      <w:pPr>
        <w:spacing w:after="100"/>
      </w:pPr>
      <w:r>
        <w:rPr>
          <w:b w:val="false"/>
          <w:bCs w:val="false"/>
          <w:sz w:val="22"/>
          <w:szCs w:val="22"/>
        </w:rPr>
        <w:t xml:space="preserve">The governance framework below is designed to be </w:t>
      </w:r>
      <w:r>
        <w:rPr>
          <w:b/>
          <w:bCs/>
          <w:sz w:val="22"/>
          <w:szCs w:val="22"/>
        </w:rPr>
        <w:t xml:space="preserve">proportionate to DCB's size</w:t>
      </w:r>
      <w:r>
        <w:rPr>
          <w:b w:val="false"/>
          <w:bCs w:val="false"/>
          <w:sz w:val="22"/>
          <w:szCs w:val="22"/>
        </w:rPr>
        <w:t xml:space="preserve"> (not overbuilt) and </w:t>
      </w:r>
      <w:r>
        <w:rPr>
          <w:b/>
          <w:bCs/>
          <w:sz w:val="22"/>
          <w:szCs w:val="22"/>
        </w:rPr>
        <w:t xml:space="preserve">exam-ready from Day 1.</w:t>
      </w:r>
      <w:r>
        <w:rPr>
          <w:b w:val="false"/>
          <w:bCs w:val="false"/>
          <w:sz w:val="22"/>
          <w:szCs w:val="22"/>
        </w:rPr>
        <w:t xml:space="preserve"/>
      </w:r>
    </w:p>
    <w:p>
      <w:pPr>
        <w:spacing w:after="100"/>
      </w:pPr>
    </w:p>
    <w:p>
      <w:pPr>
        <w:pStyle w:val="Heading2"/>
        <w:spacing w:after="150" w:before="300"/>
      </w:pPr>
      <w:r>
        <w:rPr>
          <w:rFonts w:ascii="Arial" w:cs="Arial" w:eastAsia="Arial" w:hAnsi="Arial"/>
          <w:b/>
          <w:bCs/>
          <w:sz w:val="30"/>
          <w:szCs w:val="30"/>
        </w:rPr>
        <w:t xml:space="preserve">Governance Structure</w:t>
      </w:r>
    </w:p>
    <w:p>
      <w:pPr>
        <w:spacing w:after="100"/>
      </w:pPr>
    </w:p>
    <w:p>
      <w:pPr>
        <w:spacing w:after="100"/>
      </w:pPr>
      <w:r>
        <w:rPr>
          <w:b w:val="false"/>
          <w:bCs w:val="false"/>
          <w:sz w:val="22"/>
          <w:szCs w:val="22"/>
        </w:rPr>
        <w:t xml:space="preserve"/>
      </w:r>
      <w:r>
        <w:rPr>
          <w:b/>
          <w:bCs/>
          <w:sz w:val="22"/>
          <w:szCs w:val="22"/>
        </w:rPr>
        <w:t xml:space="preserve">AI Oversight Responsibility:</w:t>
      </w:r>
      <w:r>
        <w:rPr>
          <w:b w:val="false"/>
          <w:bCs w:val="false"/>
          <w:sz w:val="22"/>
          <w:szCs w:val="22"/>
        </w:rPr>
        <w:t xml:space="preserve"/>
      </w:r>
    </w:p>
    <w:p>
      <w:pPr>
        <w:pStyle w:val="ListParagraph"/>
        <w:numPr>
          <w:ilvl w:val="0"/>
          <w:numId w:val="1"/>
        </w:numPr>
        <w:spacing w:after="60"/>
      </w:pPr>
      <w:r>
        <w:rPr>
          <w:b w:val="false"/>
          <w:bCs w:val="false"/>
          <w:sz w:val="22"/>
          <w:szCs w:val="22"/>
        </w:rPr>
        <w:t xml:space="preserve"/>
      </w:r>
      <w:r>
        <w:rPr>
          <w:b/>
          <w:bCs/>
          <w:sz w:val="22"/>
          <w:szCs w:val="22"/>
        </w:rPr>
        <w:t xml:space="preserve">Kirk Goehring</w:t>
      </w:r>
      <w:r>
        <w:rPr>
          <w:b w:val="false"/>
          <w:bCs w:val="false"/>
          <w:sz w:val="22"/>
          <w:szCs w:val="22"/>
        </w:rPr>
        <w:t xml:space="preserve"> — Executive accountability for AI strategy and risk</w:t>
      </w:r>
    </w:p>
    <w:p>
      <w:pPr>
        <w:pStyle w:val="ListParagraph"/>
        <w:numPr>
          <w:ilvl w:val="0"/>
          <w:numId w:val="1"/>
        </w:numPr>
        <w:spacing w:after="60"/>
      </w:pPr>
      <w:r>
        <w:rPr>
          <w:b w:val="false"/>
          <w:bCs w:val="false"/>
          <w:sz w:val="22"/>
          <w:szCs w:val="22"/>
        </w:rPr>
        <w:t xml:space="preserve"/>
      </w:r>
      <w:r>
        <w:rPr>
          <w:b/>
          <w:bCs/>
          <w:sz w:val="22"/>
          <w:szCs w:val="22"/>
        </w:rPr>
        <w:t xml:space="preserve">Compliance Officer</w:t>
      </w:r>
      <w:r>
        <w:rPr>
          <w:b w:val="false"/>
          <w:bCs w:val="false"/>
          <w:sz w:val="22"/>
          <w:szCs w:val="22"/>
        </w:rPr>
        <w:t xml:space="preserve"> — Policy ownership, regulatory alignment, examination readiness</w:t>
      </w:r>
    </w:p>
    <w:p>
      <w:pPr>
        <w:pStyle w:val="ListParagraph"/>
        <w:numPr>
          <w:ilvl w:val="0"/>
          <w:numId w:val="1"/>
        </w:numPr>
        <w:spacing w:after="60"/>
      </w:pPr>
      <w:r>
        <w:rPr>
          <w:b w:val="false"/>
          <w:bCs w:val="false"/>
          <w:sz w:val="22"/>
          <w:szCs w:val="22"/>
        </w:rPr>
        <w:t xml:space="preserve"/>
      </w:r>
      <w:r>
        <w:rPr>
          <w:b/>
          <w:bCs/>
          <w:sz w:val="22"/>
          <w:szCs w:val="22"/>
        </w:rPr>
        <w:t xml:space="preserve">IT/Information Security Lead</w:t>
      </w:r>
      <w:r>
        <w:rPr>
          <w:b w:val="false"/>
          <w:bCs w:val="false"/>
          <w:sz w:val="22"/>
          <w:szCs w:val="22"/>
        </w:rPr>
        <w:t xml:space="preserve"> — Data security, tool approval, vendor security reviews</w:t>
      </w:r>
    </w:p>
    <w:p>
      <w:pPr>
        <w:pStyle w:val="ListParagraph"/>
        <w:numPr>
          <w:ilvl w:val="0"/>
          <w:numId w:val="1"/>
        </w:numPr>
        <w:spacing w:after="60"/>
      </w:pPr>
      <w:r>
        <w:rPr>
          <w:b w:val="false"/>
          <w:bCs w:val="false"/>
          <w:sz w:val="22"/>
          <w:szCs w:val="22"/>
        </w:rPr>
        <w:t xml:space="preserve"/>
      </w:r>
      <w:r>
        <w:rPr>
          <w:b/>
          <w:bCs/>
          <w:sz w:val="22"/>
          <w:szCs w:val="22"/>
        </w:rPr>
        <w:t xml:space="preserve">AI Working Group</w:t>
      </w:r>
      <w:r>
        <w:rPr>
          <w:b w:val="false"/>
          <w:bCs w:val="false"/>
          <w:sz w:val="22"/>
          <w:szCs w:val="22"/>
        </w:rPr>
        <w:t xml:space="preserve"> — Ongoing operational governance, idea evaluation, policy maintenance</w:t>
      </w:r>
    </w:p>
    <w:p>
      <w:pPr>
        <w:spacing w:after="100"/>
      </w:pPr>
    </w:p>
    <w:p>
      <w:pPr>
        <w:spacing w:after="100"/>
      </w:pPr>
      <w:r>
        <w:rPr>
          <w:b w:val="false"/>
          <w:bCs w:val="false"/>
          <w:sz w:val="22"/>
          <w:szCs w:val="22"/>
        </w:rPr>
        <w:t xml:space="preserve"/>
      </w:r>
      <w:r>
        <w:rPr>
          <w:b/>
          <w:bCs/>
          <w:sz w:val="22"/>
          <w:szCs w:val="22"/>
        </w:rPr>
        <w:t xml:space="preserve">Escalation Path:</w:t>
      </w:r>
      <w:r>
        <w:rPr>
          <w:b w:val="false"/>
          <w:bCs w:val="false"/>
          <w:sz w:val="22"/>
          <w:szCs w:val="22"/>
        </w:rPr>
        <w:t xml:space="preserve"/>
      </w:r>
    </w:p>
    <w:p>
      <w:pPr>
        <w:spacing w:after="100"/>
      </w:pPr>
      <w:r>
        <w:rPr>
          <w:b w:val="false"/>
          <w:bCs w:val="false"/>
          <w:sz w:val="22"/>
          <w:szCs w:val="22"/>
        </w:rPr>
        <w:t xml:space="preserve">Front-line staff → Communication Hub → Working Group (bi-weekly) → Kirk Goehring (as needed) → Board of Directors (quarterly briefing recommended, annual formal report)</w:t>
      </w:r>
    </w:p>
    <w:p>
      <w:pPr>
        <w:spacing w:after="100"/>
      </w:pPr>
    </w:p>
    <w:p>
      <w:pPr>
        <w:spacing w:after="100"/>
      </w:pPr>
      <w:r>
        <w:rPr>
          <w:b w:val="false"/>
          <w:bCs w:val="false"/>
          <w:sz w:val="22"/>
          <w:szCs w:val="22"/>
        </w:rPr>
        <w:t xml:space="preserve">*Board awareness of AI usage is increasingly expected by examiners. A brief quarterly update — even 5 minutes — establishes the governance record.*</w:t>
      </w:r>
    </w:p>
    <w:p>
      <w:pPr>
        <w:spacing w:after="100"/>
      </w:pPr>
    </w:p>
    <w:p>
      <w:pPr>
        <w:pStyle w:val="Heading2"/>
        <w:spacing w:after="150" w:before="300"/>
      </w:pPr>
      <w:r>
        <w:rPr>
          <w:rFonts w:ascii="Arial" w:cs="Arial" w:eastAsia="Arial" w:hAnsi="Arial"/>
          <w:b/>
          <w:bCs/>
          <w:sz w:val="30"/>
          <w:szCs w:val="30"/>
        </w:rPr>
        <w:t xml:space="preserve">Data Handling Policies</w:t>
      </w:r>
    </w:p>
    <w:p>
      <w:pPr>
        <w:spacing w:after="100"/>
      </w:pPr>
    </w:p>
    <w:p>
      <w:pPr>
        <w:spacing w:after="100"/>
      </w:pPr>
      <w:r>
        <w:rPr>
          <w:b w:val="false"/>
          <w:bCs w:val="false"/>
          <w:sz w:val="22"/>
          <w:szCs w:val="22"/>
        </w:rPr>
        <w:t xml:space="preserve"/>
      </w:r>
      <w:r>
        <w:rPr>
          <w:b/>
          <w:bCs/>
          <w:sz w:val="22"/>
          <w:szCs w:val="22"/>
        </w:rPr>
        <w:t xml:space="preserve">Tier 1 — Absolutely Prohibited (in any non-bank-managed AI tool):</w:t>
      </w:r>
      <w:r>
        <w:rPr>
          <w:b w:val="false"/>
          <w:bCs w:val="false"/>
          <w:sz w:val="22"/>
          <w:szCs w:val="22"/>
        </w:rPr>
        <w:t xml:space="preserve"/>
      </w:r>
    </w:p>
    <w:p>
      <w:pPr>
        <w:pStyle w:val="ListParagraph"/>
        <w:numPr>
          <w:ilvl w:val="0"/>
          <w:numId w:val="1"/>
        </w:numPr>
        <w:spacing w:after="60"/>
      </w:pPr>
      <w:r>
        <w:rPr>
          <w:b w:val="false"/>
          <w:bCs w:val="false"/>
          <w:sz w:val="22"/>
          <w:szCs w:val="22"/>
        </w:rPr>
        <w:t xml:space="preserve">Client names, Social Security numbers, account numbers, loan amounts</w:t>
      </w:r>
    </w:p>
    <w:p>
      <w:pPr>
        <w:pStyle w:val="ListParagraph"/>
        <w:numPr>
          <w:ilvl w:val="0"/>
          <w:numId w:val="1"/>
        </w:numPr>
        <w:spacing w:after="60"/>
      </w:pPr>
      <w:r>
        <w:rPr>
          <w:b w:val="false"/>
          <w:bCs w:val="false"/>
          <w:sz w:val="22"/>
          <w:szCs w:val="22"/>
        </w:rPr>
        <w:t xml:space="preserve">Any Non-Public Personal Information (NPPI) as defined under Gramm-Leach-Bliley</w:t>
      </w:r>
    </w:p>
    <w:p>
      <w:pPr>
        <w:pStyle w:val="ListParagraph"/>
        <w:numPr>
          <w:ilvl w:val="0"/>
          <w:numId w:val="1"/>
        </w:numPr>
        <w:spacing w:after="60"/>
      </w:pPr>
      <w:r>
        <w:rPr>
          <w:b w:val="false"/>
          <w:bCs w:val="false"/>
          <w:sz w:val="22"/>
          <w:szCs w:val="22"/>
        </w:rPr>
        <w:t xml:space="preserve">Employee personal data</w:t>
      </w:r>
    </w:p>
    <w:p>
      <w:pPr>
        <w:pStyle w:val="ListParagraph"/>
        <w:numPr>
          <w:ilvl w:val="0"/>
          <w:numId w:val="1"/>
        </w:numPr>
        <w:spacing w:after="60"/>
      </w:pPr>
      <w:r>
        <w:rPr>
          <w:b w:val="false"/>
          <w:bCs w:val="false"/>
          <w:sz w:val="22"/>
          <w:szCs w:val="22"/>
        </w:rPr>
        <w:t xml:space="preserve">Internal financial data not cleared for external sharing</w:t>
      </w:r>
    </w:p>
    <w:p>
      <w:pPr>
        <w:spacing w:after="100"/>
      </w:pPr>
    </w:p>
    <w:p>
      <w:pPr>
        <w:spacing w:after="100"/>
      </w:pPr>
      <w:r>
        <w:rPr>
          <w:b w:val="false"/>
          <w:bCs w:val="false"/>
          <w:sz w:val="22"/>
          <w:szCs w:val="22"/>
        </w:rPr>
        <w:t xml:space="preserve"/>
      </w:r>
      <w:r>
        <w:rPr>
          <w:b/>
          <w:bCs/>
          <w:sz w:val="22"/>
          <w:szCs w:val="22"/>
        </w:rPr>
        <w:t xml:space="preserve">Tier 2 — Permitted with Caution (in Microsoft Copilot within M365 tenant only):</w:t>
      </w:r>
      <w:r>
        <w:rPr>
          <w:b w:val="false"/>
          <w:bCs w:val="false"/>
          <w:sz w:val="22"/>
          <w:szCs w:val="22"/>
        </w:rPr>
        <w:t xml:space="preserve"/>
      </w:r>
    </w:p>
    <w:p>
      <w:pPr>
        <w:pStyle w:val="ListParagraph"/>
        <w:numPr>
          <w:ilvl w:val="0"/>
          <w:numId w:val="1"/>
        </w:numPr>
        <w:spacing w:after="60"/>
      </w:pPr>
      <w:r>
        <w:rPr>
          <w:b w:val="false"/>
          <w:bCs w:val="false"/>
          <w:sz w:val="22"/>
          <w:szCs w:val="22"/>
        </w:rPr>
        <w:t xml:space="preserve">Anonymized or aggregated data</w:t>
      </w:r>
    </w:p>
    <w:p>
      <w:pPr>
        <w:pStyle w:val="ListParagraph"/>
        <w:numPr>
          <w:ilvl w:val="0"/>
          <w:numId w:val="1"/>
        </w:numPr>
        <w:spacing w:after="60"/>
      </w:pPr>
      <w:r>
        <w:rPr>
          <w:b w:val="false"/>
          <w:bCs w:val="false"/>
          <w:sz w:val="22"/>
          <w:szCs w:val="22"/>
        </w:rPr>
        <w:t xml:space="preserve">Internal documents without client identifiers</w:t>
      </w:r>
    </w:p>
    <w:p>
      <w:pPr>
        <w:pStyle w:val="ListParagraph"/>
        <w:numPr>
          <w:ilvl w:val="0"/>
          <w:numId w:val="1"/>
        </w:numPr>
        <w:spacing w:after="60"/>
      </w:pPr>
      <w:r>
        <w:rPr>
          <w:b w:val="false"/>
          <w:bCs w:val="false"/>
          <w:sz w:val="22"/>
          <w:szCs w:val="22"/>
        </w:rPr>
        <w:t xml:space="preserve">Correspondence drafts that are reviewed before sending</w:t>
      </w:r>
    </w:p>
    <w:p>
      <w:pPr>
        <w:pStyle w:val="ListParagraph"/>
        <w:numPr>
          <w:ilvl w:val="0"/>
          <w:numId w:val="1"/>
        </w:numPr>
        <w:spacing w:after="60"/>
      </w:pPr>
      <w:r>
        <w:rPr>
          <w:b w:val="false"/>
          <w:bCs w:val="false"/>
          <w:sz w:val="22"/>
          <w:szCs w:val="22"/>
        </w:rPr>
        <w:t xml:space="preserve">Report structures and narratives based on pre-compiled, non-identifiable summary data</w:t>
      </w:r>
    </w:p>
    <w:p>
      <w:pPr>
        <w:spacing w:after="100"/>
      </w:pPr>
    </w:p>
    <w:p>
      <w:pPr>
        <w:spacing w:after="100"/>
      </w:pPr>
      <w:r>
        <w:rPr>
          <w:b w:val="false"/>
          <w:bCs w:val="false"/>
          <w:sz w:val="22"/>
          <w:szCs w:val="22"/>
        </w:rPr>
        <w:t xml:space="preserve"/>
      </w:r>
      <w:r>
        <w:rPr>
          <w:b/>
          <w:bCs/>
          <w:sz w:val="22"/>
          <w:szCs w:val="22"/>
        </w:rPr>
        <w:t xml:space="preserve">Tier 3 — Permitted (in approved tools, standard use):</w:t>
      </w:r>
      <w:r>
        <w:rPr>
          <w:b w:val="false"/>
          <w:bCs w:val="false"/>
          <w:sz w:val="22"/>
          <w:szCs w:val="22"/>
        </w:rPr>
        <w:t xml:space="preserve"/>
      </w:r>
    </w:p>
    <w:p>
      <w:pPr>
        <w:pStyle w:val="ListParagraph"/>
        <w:numPr>
          <w:ilvl w:val="0"/>
          <w:numId w:val="1"/>
        </w:numPr>
        <w:spacing w:after="60"/>
      </w:pPr>
      <w:r>
        <w:rPr>
          <w:b w:val="false"/>
          <w:bCs w:val="false"/>
          <w:sz w:val="22"/>
          <w:szCs w:val="22"/>
        </w:rPr>
        <w:t xml:space="preserve">General research and information queries</w:t>
      </w:r>
    </w:p>
    <w:p>
      <w:pPr>
        <w:pStyle w:val="ListParagraph"/>
        <w:numPr>
          <w:ilvl w:val="0"/>
          <w:numId w:val="1"/>
        </w:numPr>
        <w:spacing w:after="60"/>
      </w:pPr>
      <w:r>
        <w:rPr>
          <w:b w:val="false"/>
          <w:bCs w:val="false"/>
          <w:sz w:val="22"/>
          <w:szCs w:val="22"/>
        </w:rPr>
        <w:t xml:space="preserve">Document structure, formatting, and editing</w:t>
      </w:r>
    </w:p>
    <w:p>
      <w:pPr>
        <w:pStyle w:val="ListParagraph"/>
        <w:numPr>
          <w:ilvl w:val="0"/>
          <w:numId w:val="1"/>
        </w:numPr>
        <w:spacing w:after="60"/>
      </w:pPr>
      <w:r>
        <w:rPr>
          <w:b w:val="false"/>
          <w:bCs w:val="false"/>
          <w:sz w:val="22"/>
          <w:szCs w:val="22"/>
        </w:rPr>
        <w:t xml:space="preserve">Idea generation and brainstorming</w:t>
      </w:r>
    </w:p>
    <w:p>
      <w:pPr>
        <w:pStyle w:val="ListParagraph"/>
        <w:numPr>
          <w:ilvl w:val="0"/>
          <w:numId w:val="1"/>
        </w:numPr>
        <w:spacing w:after="60"/>
      </w:pPr>
      <w:r>
        <w:rPr>
          <w:b w:val="false"/>
          <w:bCs w:val="false"/>
          <w:sz w:val="22"/>
          <w:szCs w:val="22"/>
        </w:rPr>
        <w:t xml:space="preserve">Training and learning tasks</w:t>
      </w:r>
    </w:p>
    <w:p>
      <w:pPr>
        <w:spacing w:after="100"/>
      </w:pPr>
    </w:p>
    <w:p>
      <w:pPr>
        <w:spacing w:after="100"/>
      </w:pPr>
      <w:r>
        <w:rPr>
          <w:b w:val="false"/>
          <w:bCs w:val="false"/>
          <w:sz w:val="22"/>
          <w:szCs w:val="22"/>
        </w:rPr>
        <w:t xml:space="preserve"/>
      </w:r>
      <w:r>
        <w:rPr>
          <w:b/>
          <w:bCs/>
          <w:sz w:val="22"/>
          <w:szCs w:val="22"/>
        </w:rPr>
        <w:t xml:space="preserve">Key principle for Microsoft Copilot:</w:t>
      </w:r>
      <w:r>
        <w:rPr>
          <w:b w:val="false"/>
          <w:bCs w:val="false"/>
          <w:sz w:val="22"/>
          <w:szCs w:val="22"/>
        </w:rPr>
        <w:t xml:space="preserve"> When configured within a Microsoft 365 tenant under proper data governance settings, Copilot does </w:t>
      </w:r>
      <w:r>
        <w:rPr>
          <w:b/>
          <w:bCs/>
          <w:sz w:val="22"/>
          <w:szCs w:val="22"/>
        </w:rPr>
        <w:t xml:space="preserve">not</w:t>
      </w:r>
      <w:r>
        <w:rPr>
          <w:b w:val="false"/>
          <w:bCs w:val="false"/>
          <w:sz w:val="22"/>
          <w:szCs w:val="22"/>
        </w:rPr>
        <w:t xml:space="preserve"> send DCB data to Microsoft for model training. IT must verify this configuration is active. This is a Day 1 IT checklist item.</w:t>
      </w:r>
    </w:p>
    <w:p>
      <w:pPr>
        <w:spacing w:after="100"/>
      </w:pPr>
    </w:p>
    <w:p>
      <w:pPr>
        <w:pStyle w:val="Heading2"/>
        <w:spacing w:after="150" w:before="300"/>
      </w:pPr>
      <w:r>
        <w:rPr>
          <w:rFonts w:ascii="Arial" w:cs="Arial" w:eastAsia="Arial" w:hAnsi="Arial"/>
          <w:b/>
          <w:bCs/>
          <w:sz w:val="30"/>
          <w:szCs w:val="30"/>
        </w:rPr>
        <w:t xml:space="preserve">Acceptable Use Guidelines</w:t>
      </w:r>
    </w:p>
    <w:p>
      <w:pPr>
        <w:spacing w:after="100"/>
      </w:pPr>
    </w:p>
    <w:p>
      <w:pPr>
        <w:spacing w:after="100"/>
      </w:pPr>
      <w:r>
        <w:rPr>
          <w:b w:val="false"/>
          <w:bCs w:val="false"/>
          <w:sz w:val="22"/>
          <w:szCs w:val="22"/>
        </w:rPr>
        <w:t xml:space="preserve">All staff must acknowledge the AI Acceptable Use Policy, which includes:</w:t>
      </w:r>
    </w:p>
    <w:p>
      <w:pPr>
        <w:pStyle w:val="ListParagraph"/>
        <w:numPr>
          <w:ilvl w:val="0"/>
          <w:numId w:val="1"/>
        </w:numPr>
        <w:spacing w:after="60"/>
      </w:pPr>
      <w:r>
        <w:rPr>
          <w:b w:val="false"/>
          <w:bCs w:val="false"/>
          <w:sz w:val="22"/>
          <w:szCs w:val="22"/>
        </w:rPr>
        <w:t xml:space="preserve">Tool usage is limited to approved tools only (published list, updated by Working Group)</w:t>
      </w:r>
    </w:p>
    <w:p>
      <w:pPr>
        <w:pStyle w:val="ListParagraph"/>
        <w:numPr>
          <w:ilvl w:val="0"/>
          <w:numId w:val="1"/>
        </w:numPr>
        <w:spacing w:after="60"/>
      </w:pPr>
      <w:r>
        <w:rPr>
          <w:b w:val="false"/>
          <w:bCs w:val="false"/>
          <w:sz w:val="22"/>
          <w:szCs w:val="22"/>
        </w:rPr>
        <w:t xml:space="preserve">No client data in external AI tools — ever</w:t>
      </w:r>
    </w:p>
    <w:p>
      <w:pPr>
        <w:pStyle w:val="ListParagraph"/>
        <w:numPr>
          <w:ilvl w:val="0"/>
          <w:numId w:val="1"/>
        </w:numPr>
        <w:spacing w:after="60"/>
      </w:pPr>
      <w:r>
        <w:rPr>
          <w:b w:val="false"/>
          <w:bCs w:val="false"/>
          <w:sz w:val="22"/>
          <w:szCs w:val="22"/>
        </w:rPr>
        <w:t xml:space="preserve">All AI-generated content must be reviewed by a human before it is sent, filed, or acted upon</w:t>
      </w:r>
    </w:p>
    <w:p>
      <w:pPr>
        <w:pStyle w:val="ListParagraph"/>
        <w:numPr>
          <w:ilvl w:val="0"/>
          <w:numId w:val="1"/>
        </w:numPr>
        <w:spacing w:after="60"/>
      </w:pPr>
      <w:r>
        <w:rPr>
          <w:b w:val="false"/>
          <w:bCs w:val="false"/>
          <w:sz w:val="22"/>
          <w:szCs w:val="22"/>
        </w:rPr>
        <w:t xml:space="preserve">Staff are encouraged to report suspected misuse through the Communication Hub or directly to Garrett Moore / IT</w:t>
      </w:r>
    </w:p>
    <w:p>
      <w:pPr>
        <w:pStyle w:val="ListParagraph"/>
        <w:numPr>
          <w:ilvl w:val="0"/>
          <w:numId w:val="1"/>
        </w:numPr>
        <w:spacing w:after="60"/>
      </w:pPr>
      <w:r>
        <w:rPr>
          <w:b w:val="false"/>
          <w:bCs w:val="false"/>
          <w:sz w:val="22"/>
          <w:szCs w:val="22"/>
        </w:rPr>
        <w:t xml:space="preserve">Violations will be treated consistent with existing data security policy</w:t>
      </w:r>
    </w:p>
    <w:p>
      <w:pPr>
        <w:spacing w:after="100"/>
      </w:pPr>
    </w:p>
    <w:p>
      <w:pPr>
        <w:pStyle w:val="Heading2"/>
        <w:spacing w:after="150" w:before="300"/>
      </w:pPr>
      <w:r>
        <w:rPr>
          <w:rFonts w:ascii="Arial" w:cs="Arial" w:eastAsia="Arial" w:hAnsi="Arial"/>
          <w:b/>
          <w:bCs/>
          <w:sz w:val="30"/>
          <w:szCs w:val="30"/>
        </w:rPr>
        <w:t xml:space="preserve">Risk Mitigation Strategies</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1"/>
              <w:left w:val="single" w:color="CCCCCC" w:sz="1"/>
              <w:bottom w:val="single" w:color="CCCCCC" w:sz="1"/>
              <w:right w:val="single" w:color="CCCCCC" w:sz="1"/>
            </w:tcBorders>
          </w:tcPr>
          <w:p>
            <w:r>
              <w:rPr>
                <w:b/>
                <w:bCs/>
                <w:sz w:val="20"/>
                <w:szCs w:val="20"/>
              </w:rPr>
              <w:t xml:space="preserve">Risk</w:t>
            </w:r>
          </w:p>
        </w:tc>
        <w:tc>
          <w:tcPr>
            <w:tcW w:type="dxa" w:w="4500"/>
            <w:tcBorders>
              <w:top w:val="single" w:color="CCCCCC" w:sz="1"/>
              <w:left w:val="single" w:color="CCCCCC" w:sz="1"/>
              <w:bottom w:val="single" w:color="CCCCCC" w:sz="1"/>
              <w:right w:val="single" w:color="CCCCCC" w:sz="1"/>
            </w:tcBorders>
          </w:tcPr>
          <w:p>
            <w:r>
              <w:rPr>
                <w:b/>
                <w:bCs/>
                <w:sz w:val="20"/>
                <w:szCs w:val="20"/>
              </w:rPr>
              <w:t xml:space="preserve">Mitigation</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Client data input into external AI</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AUP + training + technical controls (M365 data loss prevention policies)</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AI-generated errors in regulatory documents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Human review requirement for all AI output; dual-review for regulatory filings</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Regulatory examination of AI program</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Governance documentation, Working Group minutes, AUP on file — all constitute the examination record</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Staff resistance / shadow AI use</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Transparent communication, job security framing, Communication Hub to surface concerns</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Vendor AI tools with poor data security</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Security review checklist required before any new AI tool is approved</w:t>
            </w:r>
          </w:p>
        </w:tc>
      </w:tr>
      <w:tr>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Over-reliance on AI outputs</w:t>
            </w:r>
          </w:p>
        </w:tc>
        <w:tc>
          <w:tcPr>
            <w:tcW w:type="dxa" w:w="4500"/>
            <w:tcBorders>
              <w:top w:val="single" w:color="CCCCCC" w:sz="1"/>
              <w:left w:val="single" w:color="CCCCCC" w:sz="1"/>
              <w:bottom w:val="single" w:color="CCCCCC" w:sz="1"/>
              <w:right w:val="single" w:color="CCCCCC" w:sz="1"/>
            </w:tcBorders>
          </w:tcPr>
          <w:p>
            <w:r>
              <w:rPr>
                <w:b w:val="false"/>
                <w:bCs w:val="false"/>
                <w:sz w:val="20"/>
                <w:szCs w:val="20"/>
              </w:rPr>
              <w:t xml:space="preserve">Training emphasis: AI is a first draft, not a final answer</w:t>
            </w:r>
          </w:p>
        </w:tc>
      </w:tr>
    </w:tbl>
    <w:p>
      <w:pPr>
        <w:spacing w:after="200"/>
      </w:pPr>
    </w:p>
    <w:p>
      <w:pPr>
        <w:spacing w:after="100"/>
      </w:pPr>
    </w:p>
    <w:p>
      <w:pPr>
        <w:pStyle w:val="Heading2"/>
        <w:spacing w:after="150" w:before="300"/>
      </w:pPr>
      <w:r>
        <w:rPr>
          <w:rFonts w:ascii="Arial" w:cs="Arial" w:eastAsia="Arial" w:hAnsi="Arial"/>
          <w:b/>
          <w:bCs/>
          <w:sz w:val="30"/>
          <w:szCs w:val="30"/>
        </w:rPr>
        <w:t xml:space="preserve">Compliance Alignment Notes</w:t>
      </w:r>
    </w:p>
    <w:p>
      <w:pPr>
        <w:spacing w:after="100"/>
      </w:pPr>
    </w:p>
    <w:p>
      <w:pPr>
        <w:pStyle w:val="ListParagraph"/>
        <w:numPr>
          <w:ilvl w:val="0"/>
          <w:numId w:val="1"/>
        </w:numPr>
        <w:spacing w:after="60"/>
      </w:pPr>
      <w:r>
        <w:rPr>
          <w:b w:val="false"/>
          <w:bCs w:val="false"/>
          <w:sz w:val="22"/>
          <w:szCs w:val="22"/>
        </w:rPr>
        <w:t xml:space="preserve"/>
      </w:r>
      <w:r>
        <w:rPr>
          <w:b/>
          <w:bCs/>
          <w:sz w:val="22"/>
          <w:szCs w:val="22"/>
        </w:rPr>
        <w:t xml:space="preserve">FFIEC Model Risk Management Guidance (SR 11-7):</w:t>
      </w:r>
      <w:r>
        <w:rPr>
          <w:b w:val="false"/>
          <w:bCs w:val="false"/>
          <w:sz w:val="22"/>
          <w:szCs w:val="22"/>
        </w:rPr>
        <w:t xml:space="preserve"> AI tools used in credit decisioning may trigger model validation requirements. Copilot-assisted drafting of narratives (not decisions) is lower risk. Any AI tool that influences credit decisions must be reviewed against SR 11-7.</w:t>
      </w:r>
    </w:p>
    <w:p>
      <w:pPr>
        <w:pStyle w:val="ListParagraph"/>
        <w:numPr>
          <w:ilvl w:val="0"/>
          <w:numId w:val="1"/>
        </w:numPr>
        <w:spacing w:after="60"/>
      </w:pPr>
      <w:r>
        <w:rPr>
          <w:b w:val="false"/>
          <w:bCs w:val="false"/>
          <w:sz w:val="22"/>
          <w:szCs w:val="22"/>
        </w:rPr>
        <w:t xml:space="preserve"/>
      </w:r>
      <w:r>
        <w:rPr>
          <w:b/>
          <w:bCs/>
          <w:sz w:val="22"/>
          <w:szCs w:val="22"/>
        </w:rPr>
        <w:t xml:space="preserve">CFPB Fair Lending / ECOA:</w:t>
      </w:r>
      <w:r>
        <w:rPr>
          <w:b w:val="false"/>
          <w:bCs w:val="false"/>
          <w:sz w:val="22"/>
          <w:szCs w:val="22"/>
        </w:rPr>
        <w:t xml:space="preserve"> No AI tool should be used in any way that could introduce bias into credit decisions. This must be explicit in the AUP.</w:t>
      </w:r>
    </w:p>
    <w:p>
      <w:pPr>
        <w:pStyle w:val="ListParagraph"/>
        <w:numPr>
          <w:ilvl w:val="0"/>
          <w:numId w:val="1"/>
        </w:numPr>
        <w:spacing w:after="60"/>
      </w:pPr>
      <w:r>
        <w:rPr>
          <w:b w:val="false"/>
          <w:bCs w:val="false"/>
          <w:sz w:val="22"/>
          <w:szCs w:val="22"/>
        </w:rPr>
        <w:t xml:space="preserve"/>
      </w:r>
      <w:r>
        <w:rPr>
          <w:b/>
          <w:bCs/>
          <w:sz w:val="22"/>
          <w:szCs w:val="22"/>
        </w:rPr>
        <w:t xml:space="preserve">Gramm-Leach-Bliley Act (GLBA) / Regulation P:</w:t>
      </w:r>
      <w:r>
        <w:rPr>
          <w:b w:val="false"/>
          <w:bCs w:val="false"/>
          <w:sz w:val="22"/>
          <w:szCs w:val="22"/>
        </w:rPr>
        <w:t xml:space="preserve"> Customer data privacy rules apply to AI tool inputs. The Tier 1 prohibition list above is a direct implementation of this requirement.</w:t>
      </w:r>
    </w:p>
    <w:p>
      <w:pPr>
        <w:pStyle w:val="ListParagraph"/>
        <w:numPr>
          <w:ilvl w:val="0"/>
          <w:numId w:val="1"/>
        </w:numPr>
        <w:spacing w:after="60"/>
      </w:pPr>
      <w:r>
        <w:rPr>
          <w:b w:val="false"/>
          <w:bCs w:val="false"/>
          <w:sz w:val="22"/>
          <w:szCs w:val="22"/>
        </w:rPr>
        <w:t xml:space="preserve"/>
      </w:r>
      <w:r>
        <w:rPr>
          <w:b/>
          <w:bCs/>
          <w:sz w:val="22"/>
          <w:szCs w:val="22"/>
        </w:rPr>
        <w:t xml:space="preserve">BSA/AML:</w:t>
      </w:r>
      <w:r>
        <w:rPr>
          <w:b w:val="false"/>
          <w:bCs w:val="false"/>
          <w:sz w:val="22"/>
          <w:szCs w:val="22"/>
        </w:rPr>
        <w:t xml:space="preserve"> AI-assisted BSA narrative drafting is permissible; the BSA Officer retains responsibility for accuracy and filing decisions.</w:t>
      </w:r>
    </w:p>
    <w:p>
      <w:pPr>
        <w:pStyle w:val="ListParagraph"/>
        <w:numPr>
          <w:ilvl w:val="0"/>
          <w:numId w:val="1"/>
        </w:numPr>
        <w:spacing w:after="60"/>
      </w:pPr>
      <w:r>
        <w:rPr>
          <w:b w:val="false"/>
          <w:bCs w:val="false"/>
          <w:sz w:val="22"/>
          <w:szCs w:val="22"/>
        </w:rPr>
        <w:t xml:space="preserve"/>
      </w:r>
      <w:r>
        <w:rPr>
          <w:b/>
          <w:bCs/>
          <w:sz w:val="22"/>
          <w:szCs w:val="22"/>
        </w:rPr>
        <w:t xml:space="preserve">TDFI / FDIC Examination Readiness:</w:t>
      </w:r>
      <w:r>
        <w:rPr>
          <w:b w:val="false"/>
          <w:bCs w:val="false"/>
          <w:sz w:val="22"/>
          <w:szCs w:val="22"/>
        </w:rPr>
        <w:t xml:space="preserve"> Maintain a running AI governance log — a simple document recording: tools in use, date approved, who approved them, and what governance controls are in place. This is the examination artifact.</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IX. Investment &amp; Resource Plan</w:t>
      </w:r>
    </w:p>
    <w:p>
      <w:pPr>
        <w:spacing w:after="100"/>
      </w:pPr>
    </w:p>
    <w:p>
      <w:pPr>
        <w:pStyle w:val="Heading2"/>
        <w:spacing w:after="150" w:before="300"/>
      </w:pPr>
      <w:r>
        <w:rPr>
          <w:rFonts w:ascii="Arial" w:cs="Arial" w:eastAsia="Arial" w:hAnsi="Arial"/>
          <w:b/>
          <w:bCs/>
          <w:sz w:val="30"/>
          <w:szCs w:val="30"/>
        </w:rPr>
        <w:t xml:space="preserve">Detailed Budget by Phase</w:t>
      </w:r>
    </w:p>
    <w:p>
      <w:pPr>
        <w:spacing w:after="100"/>
      </w:pPr>
    </w:p>
    <w:p>
      <w:pPr>
        <w:pStyle w:val="Heading3"/>
        <w:spacing w:after="100" w:before="200"/>
      </w:pPr>
      <w:r>
        <w:rPr>
          <w:rFonts w:ascii="Arial" w:cs="Arial" w:eastAsia="Arial" w:hAnsi="Arial"/>
          <w:b/>
          <w:bCs/>
          <w:sz w:val="26"/>
          <w:szCs w:val="26"/>
        </w:rPr>
        <w:t xml:space="preserve">Phase 1 (Months 0–3): $1,000–$6,100</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tcPr>
          <w:p>
            <w:r>
              <w:rPr>
                <w:b/>
                <w:bCs/>
                <w:sz w:val="20"/>
                <w:szCs w:val="20"/>
              </w:rPr>
              <w:t xml:space="preserve">Line Item</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Low</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High</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Justification</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Legal review of AI Acceptable Use Policy</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One-time review by bank counsel; critical for exam readiness</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Copilot license gap</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$3,600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Depends on current license count; $30/user/month × up to 10 users × 12 months annualized; only incremental cost</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Training materials and facilitation</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Department-specific kickoff decks, AI Office Hours structure</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Communication Hub setup</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Uses existing Teams; no additional cost</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**Phase 1 Total**</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**$6,100**</w:t>
            </w:r>
          </w:p>
        </w:tc>
      </w:tr>
    </w:tbl>
    <w:p>
      <w:pPr>
        <w:spacing w:after="200"/>
      </w:pPr>
    </w:p>
    <w:p>
      <w:pPr>
        <w:spacing w:after="100"/>
      </w:pPr>
    </w:p>
    <w:p>
      <w:pPr>
        <w:pStyle w:val="Heading3"/>
        <w:spacing w:after="100" w:before="200"/>
      </w:pPr>
      <w:r>
        <w:rPr>
          <w:rFonts w:ascii="Arial" w:cs="Arial" w:eastAsia="Arial" w:hAnsi="Arial"/>
          <w:b/>
          <w:bCs/>
          <w:sz w:val="26"/>
          <w:szCs w:val="26"/>
        </w:rPr>
        <w:t xml:space="preserve">Phase 2 (Months 6–9): $3,000–$5,500</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tcPr>
          <w:p>
            <w:r>
              <w:rPr>
                <w:b/>
                <w:bCs/>
                <w:sz w:val="20"/>
                <w:szCs w:val="20"/>
              </w:rPr>
              <w:t xml:space="preserve">Line Item</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Low</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High</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Justification</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Credit package workflow development</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Prompt library, template design, pilot with 2–3 lenders</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Vendor evaluation facilitation</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$2,000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Staff time + possible external banking technology advisor</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Client correspondence template library</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One-time build; reused indefinitely</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Power Automate configuration</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IT staff time or light external support</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Training refresh + contingency</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New staff onboarding, second-round training</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**Phase 2 Total**</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**$3,000**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**$5,500**</w:t>
            </w:r>
          </w:p>
        </w:tc>
      </w:tr>
    </w:tbl>
    <w:p>
      <w:pPr>
        <w:spacing w:after="200"/>
      </w:pPr>
    </w:p>
    <w:p>
      <w:pPr>
        <w:spacing w:after="100"/>
      </w:pPr>
    </w:p>
    <w:p>
      <w:pPr>
        <w:pStyle w:val="Heading3"/>
        <w:spacing w:after="100" w:before="200"/>
      </w:pPr>
      <w:r>
        <w:rPr>
          <w:rFonts w:ascii="Arial" w:cs="Arial" w:eastAsia="Arial" w:hAnsi="Arial"/>
          <w:b/>
          <w:bCs/>
          <w:sz w:val="26"/>
          <w:szCs w:val="26"/>
        </w:rPr>
        <w:t xml:space="preserve">Phase 3 (Months 12–24): $4,500–$10,000</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tcPr>
          <w:p>
            <w:r>
              <w:rPr>
                <w:b/>
                <w:bCs/>
                <w:sz w:val="20"/>
                <w:szCs w:val="20"/>
              </w:rPr>
              <w:t xml:space="preserve">Line Item</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Low</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High</w:t>
            </w:r>
          </w:p>
        </w:tc>
        <w:tc>
          <w:tcPr>
            <w:tcW w:type="dxa" w:w="2250"/>
            <w:tcBorders>
              <w:top w:val="single" w:color="CCCCCC" w:sz="1"/>
              <w:left w:val="single" w:color="CCCCCC" w:sz="1"/>
              <w:bottom w:val="single" w:color="CCCCCC" w:sz="1"/>
              <w:right w:val="single" w:color="CCCCCC" w:sz="1"/>
            </w:tcBorders>
          </w:tcPr>
          <w:p>
            <w:r>
              <w:rPr>
                <w:b/>
                <w:bCs/>
                <w:sz w:val="20"/>
                <w:szCs w:val="20"/>
              </w:rPr>
              <w:t xml:space="preserve">Justification</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Vendor replacement (if recommended)</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$2,000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Implementation, data migration, parallel testing</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Client-facing tool development</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$3,000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Build or buy; scope TBD after Phase 2 evaluation</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Governance council operations</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Annual policy review, board reporting materials</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Training and capability refresh</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Annual staff training update</w:t>
            </w:r>
          </w:p>
        </w:tc>
      </w:tr>
      <w:tr>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**Phase 3 Total**</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**$4,500**</w:t>
            </w:r>
          </w:p>
        </w:tc>
        <w:tc>
          <w:tcPr>
            <w:tcW w:type="dxa" w:w="2250"/>
            <w:tcBorders>
              <w:top w:val="single" w:color="CCCCCC" w:sz="1"/>
              <w:left w:val="single" w:color="CCCCCC" w:sz="1"/>
              <w:bottom w:val="single" w:color="CCCCCC" w:sz="1"/>
              <w:right w:val="single" w:color="CCCCCC" w:sz="1"/>
            </w:tcBorders>
          </w:tcPr>
          <w:p>
            <w:r>
              <w:rPr>
                <w:b w:val="false"/>
                <w:bCs w:val="false"/>
                <w:sz w:val="20"/>
                <w:szCs w:val="20"/>
              </w:rPr>
              <w:t xml:space="preserve">**$10,000**</w:t>
            </w:r>
          </w:p>
        </w:tc>
      </w:tr>
    </w:tbl>
    <w:p>
      <w:pPr>
        <w:spacing w:after="200"/>
      </w:pPr>
    </w:p>
    <w:p>
      <w:pPr>
        <w:spacing w:after="100"/>
      </w:pPr>
    </w:p>
    <w:p>
      <w:pPr>
        <w:pStyle w:val="Heading3"/>
        <w:spacing w:after="100" w:before="200"/>
      </w:pPr>
      <w:r>
        <w:rPr>
          <w:rFonts w:ascii="Arial" w:cs="Arial" w:eastAsia="Arial" w:hAnsi="Arial"/>
          <w:b/>
          <w:bCs/>
          <w:sz w:val="26"/>
          <w:szCs w:val="26"/>
        </w:rPr>
        <w:t xml:space="preserve">Cumulative Summary</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tcPr>
          <w:p>
            <w:r>
              <w:rPr>
                <w:b/>
                <w:bCs/>
                <w:sz w:val="20"/>
                <w:szCs w:val="20"/>
              </w:rPr>
              <w:t xml:space="preserve">Phase</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Low</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High</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Phase 1</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$1,000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$6,100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Phase 2</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$3,000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$5,500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Phase 3</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$4,500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$10,000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**24-Month Total**</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**$8,500**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**$21,600**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**Stated Budget**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**$10,000**</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**$25,000**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**Budget Remaining at High End**</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**$3,400**</w:t>
            </w:r>
          </w:p>
        </w:tc>
      </w:tr>
    </w:tbl>
    <w:p>
      <w:pPr>
        <w:spacing w:after="200"/>
      </w:pPr>
    </w:p>
    <w:p>
      <w:pPr>
        <w:spacing w:after="100"/>
      </w:pPr>
    </w:p>
    <w:p>
      <w:pPr>
        <w:spacing w:after="100"/>
      </w:pPr>
      <w:r>
        <w:rPr>
          <w:b w:val="false"/>
          <w:bCs w:val="false"/>
          <w:sz w:val="22"/>
          <w:szCs w:val="22"/>
        </w:rPr>
        <w:t xml:space="preserve">DCB's stated budget is sufficient to execute this plan in full, with a meaningful reserve remaining.</w:t>
      </w:r>
    </w:p>
    <w:p>
      <w:pPr>
        <w:spacing w:after="100"/>
      </w:pPr>
    </w:p>
    <w:p>
      <w:pPr>
        <w:pStyle w:val="Heading2"/>
        <w:spacing w:after="150" w:before="300"/>
      </w:pPr>
      <w:r>
        <w:rPr>
          <w:rFonts w:ascii="Arial" w:cs="Arial" w:eastAsia="Arial" w:hAnsi="Arial"/>
          <w:b/>
          <w:bCs/>
          <w:sz w:val="30"/>
          <w:szCs w:val="30"/>
        </w:rPr>
        <w:t xml:space="preserve">Build vs. Buy Analysis</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tcPr>
          <w:p>
            <w:r>
              <w:rPr>
                <w:b/>
                <w:bCs/>
                <w:sz w:val="20"/>
                <w:szCs w:val="20"/>
              </w:rPr>
              <w:t xml:space="preserve">Capability</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Recommendation</w:t>
            </w:r>
          </w:p>
        </w:tc>
        <w:tc>
          <w:tcPr>
            <w:tcW w:type="dxa" w:w="3000"/>
            <w:tcBorders>
              <w:top w:val="single" w:color="CCCCCC" w:sz="1"/>
              <w:left w:val="single" w:color="CCCCCC" w:sz="1"/>
              <w:bottom w:val="single" w:color="CCCCCC" w:sz="1"/>
              <w:right w:val="single" w:color="CCCCCC" w:sz="1"/>
            </w:tcBorders>
          </w:tcPr>
          <w:p>
            <w:r>
              <w:rPr>
                <w:b/>
                <w:bCs/>
                <w:sz w:val="20"/>
                <w:szCs w:val="20"/>
              </w:rPr>
              <w:t xml:space="preserve">Rationale</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AI Acceptable Use Policy</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**Build** (with legal review)</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Institution-specific; no off-the-shelf solution fits</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Copilot activation and training</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**Activate** (existing vendor)</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Already licensed; highest ROI per dollar</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Credit package workflow</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**Build** (using Copilot)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Proprietary to DCB's credit process; low build cost</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Regulatory reporting automation</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**Build** (using Copilot + Power Automate)</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Low complexity; high repeatability</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Meridian Link / HMDA Wiz replacement</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**Evaluate** in Phase 2; **Buy** in Phase 3 if warranted</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Requires 12+ months of organizational readiness before safe replacement</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Client-facing relationship tools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**Evaluate** in Phase 2; **Build or Buy** in Phase 3</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Scope unclear until Phase 2 intelligence is gathered</w:t>
            </w:r>
          </w:p>
        </w:tc>
      </w:tr>
    </w:tbl>
    <w:p>
      <w:pPr>
        <w:spacing w:after="200"/>
      </w:pPr>
    </w:p>
    <w:p>
      <w:pPr>
        <w:spacing w:after="100"/>
      </w:pPr>
    </w:p>
    <w:p>
      <w:pPr>
        <w:pStyle w:val="Heading2"/>
        <w:spacing w:after="150" w:before="300"/>
      </w:pPr>
      <w:r>
        <w:rPr>
          <w:rFonts w:ascii="Arial" w:cs="Arial" w:eastAsia="Arial" w:hAnsi="Arial"/>
          <w:b/>
          <w:bCs/>
          <w:sz w:val="30"/>
          <w:szCs w:val="30"/>
        </w:rPr>
        <w:t xml:space="preserve">Staffing Recommendations</w:t>
      </w:r>
    </w:p>
    <w:p>
      <w:pPr>
        <w:spacing w:after="100"/>
      </w:pPr>
    </w:p>
    <w:p>
      <w:pPr>
        <w:spacing w:after="100"/>
      </w:pPr>
      <w:r>
        <w:rPr>
          <w:b w:val="false"/>
          <w:bCs w:val="false"/>
          <w:sz w:val="22"/>
          <w:szCs w:val="22"/>
        </w:rPr>
        <w:t xml:space="preserve">No new hires are recommended in the 24-month window. The AI strategy should be executed by existing staff, with Garrett Moore serving as the primary implementation driver. This is both a budget reality and a philosophical position: </w:t>
      </w:r>
      <w:r>
        <w:rPr>
          <w:b/>
          <w:bCs/>
          <w:sz w:val="22"/>
          <w:szCs w:val="22"/>
        </w:rPr>
        <w:t xml:space="preserve">the goal of AI is to make existing staff more capable, not to create an AI department.</w:t>
      </w:r>
      <w:r>
        <w:rPr>
          <w:b w:val="false"/>
          <w:bCs w:val="false"/>
          <w:sz w:val="22"/>
          <w:szCs w:val="22"/>
        </w:rPr>
        <w:t xml:space="preserve"/>
      </w:r>
    </w:p>
    <w:p>
      <w:pPr>
        <w:spacing w:after="100"/>
      </w:pPr>
    </w:p>
    <w:p>
      <w:pPr>
        <w:spacing w:after="100"/>
      </w:pPr>
      <w:r>
        <w:rPr>
          <w:b w:val="false"/>
          <w:bCs w:val="false"/>
          <w:sz w:val="22"/>
          <w:szCs w:val="22"/>
        </w:rPr>
        <w:t xml:space="preserve">If, by Month 18, AI workload has grown significantly, a part-time AI operations role may be worth evaluating — but this decision should be informed by the Communication Hub and Working Group intelligence gathered over 18 months.</w:t>
      </w:r>
    </w:p>
    <w:p>
      <w:pPr>
        <w:spacing w:after="100"/>
      </w:pPr>
    </w:p>
    <w:p>
      <w:pPr>
        <w:pStyle w:val="Heading2"/>
        <w:spacing w:after="150" w:before="300"/>
      </w:pPr>
      <w:r>
        <w:rPr>
          <w:rFonts w:ascii="Arial" w:cs="Arial" w:eastAsia="Arial" w:hAnsi="Arial"/>
          <w:b/>
          <w:bCs/>
          <w:sz w:val="30"/>
          <w:szCs w:val="30"/>
        </w:rPr>
        <w:t xml:space="preserve">ROI Inflection Point</w:t>
      </w:r>
    </w:p>
    <w:p>
      <w:pPr>
        <w:spacing w:after="100"/>
      </w:pPr>
    </w:p>
    <w:p>
      <w:pPr>
        <w:spacing w:after="100"/>
      </w:pPr>
      <w:r>
        <w:rPr>
          <w:b w:val="false"/>
          <w:bCs w:val="false"/>
          <w:sz w:val="22"/>
          <w:szCs w:val="22"/>
        </w:rPr>
        <w:t xml:space="preserve">At the conservative estimates embedded in this plan:</w:t>
      </w:r>
    </w:p>
    <w:p>
      <w:pPr>
        <w:pStyle w:val="ListParagraph"/>
        <w:numPr>
          <w:ilvl w:val="0"/>
          <w:numId w:val="1"/>
        </w:numPr>
        <w:spacing w:after="60"/>
      </w:pPr>
      <w:r>
        <w:rPr>
          <w:b w:val="false"/>
          <w:bCs w:val="false"/>
          <w:sz w:val="22"/>
          <w:szCs w:val="22"/>
        </w:rPr>
        <w:t xml:space="preserve"/>
      </w:r>
      <w:r>
        <w:rPr>
          <w:b/>
          <w:bCs/>
          <w:sz w:val="22"/>
          <w:szCs w:val="22"/>
        </w:rPr>
        <w:t xml:space="preserve">Phase 1 regulatory reporting automation:</w:t>
      </w:r>
      <w:r>
        <w:rPr>
          <w:b w:val="false"/>
          <w:bCs w:val="false"/>
          <w:sz w:val="22"/>
          <w:szCs w:val="22"/>
        </w:rPr>
        <w:t xml:space="preserve"> $2,100/year savings</w:t>
      </w:r>
    </w:p>
    <w:p>
      <w:pPr>
        <w:pStyle w:val="ListParagraph"/>
        <w:numPr>
          <w:ilvl w:val="0"/>
          <w:numId w:val="1"/>
        </w:numPr>
        <w:spacing w:after="60"/>
      </w:pPr>
      <w:r>
        <w:rPr>
          <w:b w:val="false"/>
          <w:bCs w:val="false"/>
          <w:sz w:val="22"/>
          <w:szCs w:val="22"/>
        </w:rPr>
        <w:t xml:space="preserve"/>
      </w:r>
      <w:r>
        <w:rPr>
          <w:b/>
          <w:bCs/>
          <w:sz w:val="22"/>
          <w:szCs w:val="22"/>
        </w:rPr>
        <w:t xml:space="preserve">Phase 2 credit package efficiency (2 lenders):</w:t>
      </w:r>
      <w:r>
        <w:rPr>
          <w:b w:val="false"/>
          <w:bCs w:val="false"/>
          <w:sz w:val="22"/>
          <w:szCs w:val="22"/>
        </w:rPr>
        <w:t xml:space="preserve"> $14,400/year savings</w:t>
      </w:r>
    </w:p>
    <w:p>
      <w:pPr>
        <w:pStyle w:val="ListParagraph"/>
        <w:numPr>
          <w:ilvl w:val="0"/>
          <w:numId w:val="1"/>
        </w:numPr>
        <w:spacing w:after="60"/>
      </w:pPr>
      <w:r>
        <w:rPr>
          <w:b w:val="false"/>
          <w:bCs w:val="false"/>
          <w:sz w:val="22"/>
          <w:szCs w:val="22"/>
        </w:rPr>
        <w:t xml:space="preserve"/>
      </w:r>
      <w:r>
        <w:rPr>
          <w:b/>
          <w:bCs/>
          <w:sz w:val="22"/>
          <w:szCs w:val="22"/>
        </w:rPr>
        <w:t xml:space="preserve">Phase 2 correspondence automation (5 RMs):</w:t>
      </w:r>
      <w:r>
        <w:rPr>
          <w:b w:val="false"/>
          <w:bCs w:val="false"/>
          <w:sz w:val="22"/>
          <w:szCs w:val="22"/>
        </w:rPr>
        <w:t xml:space="preserve"> ~$9,100/year in time recovered</w:t>
      </w:r>
    </w:p>
    <w:p>
      <w:pPr>
        <w:spacing w:after="100"/>
      </w:pPr>
    </w:p>
    <w:p>
      <w:pPr>
        <w:spacing w:after="100"/>
      </w:pPr>
      <w:r>
        <w:rPr>
          <w:b w:val="false"/>
          <w:bCs w:val="false"/>
          <w:sz w:val="22"/>
          <w:szCs w:val="22"/>
        </w:rPr>
        <w:t xml:space="preserve"/>
      </w:r>
      <w:r>
        <w:rPr>
          <w:b/>
          <w:bCs/>
          <w:sz w:val="22"/>
          <w:szCs w:val="22"/>
        </w:rPr>
        <w:t xml:space="preserve">Conservative Year 1 ROI: ~$25,000+ in time value recovered</w:t>
      </w:r>
      <w:r>
        <w:rPr>
          <w:b w:val="false"/>
          <w:bCs w:val="false"/>
          <w:sz w:val="22"/>
          <w:szCs w:val="22"/>
        </w:rPr>
        <w:t xml:space="preserve">, against a $6,100–$11,600 cumulative investment through Month 9. The program pays for itself by Month 9 at the low end of impact estimates.</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X. Success Metrics &amp; KPIs</w:t>
      </w:r>
    </w:p>
    <w:p>
      <w:pPr>
        <w:spacing w:after="100"/>
      </w:pPr>
    </w:p>
    <w:p>
      <w:pPr>
        <w:pStyle w:val="Heading2"/>
        <w:spacing w:after="150" w:before="300"/>
      </w:pPr>
      <w:r>
        <w:rPr>
          <w:rFonts w:ascii="Arial" w:cs="Arial" w:eastAsia="Arial" w:hAnsi="Arial"/>
          <w:b/>
          <w:bCs/>
          <w:sz w:val="30"/>
          <w:szCs w:val="30"/>
        </w:rPr>
        <w:t xml:space="preserve">KPI Dashboard</w:t>
      </w:r>
    </w:p>
    <w:p>
      <w:pPr>
        <w:spacing w:after="100"/>
      </w:pPr>
    </w:p>
    <w:p>
      <w:pPr>
        <w:spacing w:after="100"/>
      </w:pPr>
      <w:r>
        <w:rPr>
          <w:b w:val="false"/>
          <w:bCs w:val="false"/>
          <w:sz w:val="22"/>
          <w:szCs w:val="22"/>
        </w:rPr>
        <w:t xml:space="preserve">*Reported to Kirk Goehring monthly; reviewed by Working Group bi-weekly; presented to Board quarterly.*</w:t>
      </w:r>
    </w:p>
    <w:p>
      <w:pPr>
        <w:spacing w:after="100"/>
      </w:pPr>
    </w:p>
    <w:p>
      <w:pPr>
        <w:pStyle w:val="Heading3"/>
        <w:spacing w:after="100" w:before="200"/>
      </w:pPr>
      <w:r>
        <w:rPr>
          <w:rFonts w:ascii="Arial" w:cs="Arial" w:eastAsia="Arial" w:hAnsi="Arial"/>
          <w:b/>
          <w:bCs/>
          <w:sz w:val="26"/>
          <w:szCs w:val="26"/>
        </w:rPr>
        <w:t xml:space="preserve">Time Saved</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CCCCCC" w:sz="1"/>
              <w:left w:val="single" w:color="CCCCCC" w:sz="1"/>
              <w:bottom w:val="single" w:color="CCCCCC" w:sz="1"/>
              <w:right w:val="single" w:color="CCCCCC" w:sz="1"/>
            </w:tcBorders>
          </w:tcPr>
          <w:p>
            <w:r>
              <w:rPr>
                <w:b/>
                <w:bCs/>
                <w:sz w:val="20"/>
                <w:szCs w:val="20"/>
              </w:rPr>
              <w:t xml:space="preserve">KPI</w:t>
            </w:r>
          </w:p>
        </w:tc>
        <w:tc>
          <w:tcPr>
            <w:tcW w:type="dxa" w:w="1500"/>
            <w:tcBorders>
              <w:top w:val="single" w:color="CCCCCC" w:sz="1"/>
              <w:left w:val="single" w:color="CCCCCC" w:sz="1"/>
              <w:bottom w:val="single" w:color="CCCCCC" w:sz="1"/>
              <w:right w:val="single" w:color="CCCCCC" w:sz="1"/>
            </w:tcBorders>
          </w:tcPr>
          <w:p>
            <w:r>
              <w:rPr>
                <w:b/>
                <w:bCs/>
                <w:sz w:val="20"/>
                <w:szCs w:val="20"/>
              </w:rPr>
              <w:t xml:space="preserve">Baseline</w:t>
            </w:r>
          </w:p>
        </w:tc>
        <w:tc>
          <w:tcPr>
            <w:tcW w:type="dxa" w:w="1500"/>
            <w:tcBorders>
              <w:top w:val="single" w:color="CCCCCC" w:sz="1"/>
              <w:left w:val="single" w:color="CCCCCC" w:sz="1"/>
              <w:bottom w:val="single" w:color="CCCCCC" w:sz="1"/>
              <w:right w:val="single" w:color="CCCCCC" w:sz="1"/>
            </w:tcBorders>
          </w:tcPr>
          <w:p>
            <w:r>
              <w:rPr>
                <w:b/>
                <w:bCs/>
                <w:sz w:val="20"/>
                <w:szCs w:val="20"/>
              </w:rPr>
              <w:t xml:space="preserve">Phase 1 Target (Month 3)</w:t>
            </w:r>
          </w:p>
        </w:tc>
        <w:tc>
          <w:tcPr>
            <w:tcW w:type="dxa" w:w="1500"/>
            <w:tcBorders>
              <w:top w:val="single" w:color="CCCCCC" w:sz="1"/>
              <w:left w:val="single" w:color="CCCCCC" w:sz="1"/>
              <w:bottom w:val="single" w:color="CCCCCC" w:sz="1"/>
              <w:right w:val="single" w:color="CCCCCC" w:sz="1"/>
            </w:tcBorders>
          </w:tcPr>
          <w:p>
            <w:r>
              <w:rPr>
                <w:b/>
                <w:bCs/>
                <w:sz w:val="20"/>
                <w:szCs w:val="20"/>
              </w:rPr>
              <w:t xml:space="preserve">Phase 2 Target (Month 9)</w:t>
            </w:r>
          </w:p>
        </w:tc>
        <w:tc>
          <w:tcPr>
            <w:tcW w:type="dxa" w:w="1500"/>
            <w:tcBorders>
              <w:top w:val="single" w:color="CCCCCC" w:sz="1"/>
              <w:left w:val="single" w:color="CCCCCC" w:sz="1"/>
              <w:bottom w:val="single" w:color="CCCCCC" w:sz="1"/>
              <w:right w:val="single" w:color="CCCCCC" w:sz="1"/>
            </w:tcBorders>
          </w:tcPr>
          <w:p>
            <w:r>
              <w:rPr>
                <w:b/>
                <w:bCs/>
                <w:sz w:val="20"/>
                <w:szCs w:val="20"/>
              </w:rPr>
              <w:t xml:space="preserve">Measurement Method</w:t>
            </w:r>
          </w:p>
        </w:tc>
        <w:tc>
          <w:tcPr>
            <w:tcW w:type="dxa" w:w="1500"/>
            <w:tcBorders>
              <w:top w:val="single" w:color="CCCCCC" w:sz="1"/>
              <w:left w:val="single" w:color="CCCCCC" w:sz="1"/>
              <w:bottom w:val="single" w:color="CCCCCC" w:sz="1"/>
              <w:right w:val="single" w:color="CCCCCC" w:sz="1"/>
            </w:tcBorders>
          </w:tcPr>
          <w:p>
            <w:r>
              <w:rPr>
                <w:b/>
                <w:bCs/>
                <w:sz w:val="20"/>
                <w:szCs w:val="20"/>
              </w:rPr>
              <w:t xml:space="preserve">Cadence</w:t>
            </w:r>
          </w:p>
        </w:tc>
      </w:tr>
      <w:tr>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Hours/month on regulatory report prep</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To be documented in Month 1</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25% reduction</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50% reduction</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Staff time log (pre/post)</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r>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Hours/package on credit packages</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To be documented in Month 1</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Baseline established</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30% reduction</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Lender time log</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r>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Hours/week on client correspondence</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To be documented in Month 1</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Baseline established</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40% reduction</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RM self-report</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bl>
    <w:p>
      <w:pPr>
        <w:spacing w:after="200"/>
      </w:pPr>
    </w:p>
    <w:p>
      <w:pPr>
        <w:spacing w:after="100"/>
      </w:pPr>
    </w:p>
    <w:p>
      <w:pPr>
        <w:pStyle w:val="Heading3"/>
        <w:spacing w:after="100" w:before="200"/>
      </w:pPr>
      <w:r>
        <w:rPr>
          <w:rFonts w:ascii="Arial" w:cs="Arial" w:eastAsia="Arial" w:hAnsi="Arial"/>
          <w:b/>
          <w:bCs/>
          <w:sz w:val="26"/>
          <w:szCs w:val="26"/>
        </w:rPr>
        <w:t xml:space="preserve">Communication Hub Activity</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tcPr>
          <w:p>
            <w:r>
              <w:rPr>
                <w:b/>
                <w:bCs/>
                <w:sz w:val="20"/>
                <w:szCs w:val="20"/>
              </w:rPr>
              <w:t xml:space="preserve">KPI</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Baseline</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Month 3 Target</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Measurement Method</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Cadence</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Total submissions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≥25</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Teams channel post count</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Bi-weekly</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Unique contributors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≥40% of staff</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Unique posting authors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Ideas formally evaluated</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Working Group minutes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Bi-weekly</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Ideas actioned</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Working Group decision log</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Time from submission to evaluation</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N/A</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≤2 weeks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Date posted vs. date discussed</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Bi-weekly</w:t>
            </w:r>
          </w:p>
        </w:tc>
      </w:tr>
    </w:tbl>
    <w:p>
      <w:pPr>
        <w:spacing w:after="200"/>
      </w:pPr>
    </w:p>
    <w:p>
      <w:pPr>
        <w:spacing w:after="100"/>
      </w:pPr>
    </w:p>
    <w:p>
      <w:pPr>
        <w:pStyle w:val="Heading3"/>
        <w:spacing w:after="100" w:before="200"/>
      </w:pPr>
      <w:r>
        <w:rPr>
          <w:rFonts w:ascii="Arial" w:cs="Arial" w:eastAsia="Arial" w:hAnsi="Arial"/>
          <w:b/>
          <w:bCs/>
          <w:sz w:val="26"/>
          <w:szCs w:val="26"/>
        </w:rPr>
        <w:t xml:space="preserve">Workforce Optimization</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tcPr>
          <w:p>
            <w:r>
              <w:rPr>
                <w:b/>
                <w:bCs/>
                <w:sz w:val="20"/>
                <w:szCs w:val="20"/>
              </w:rPr>
              <w:t xml:space="preserve">KPI</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Baseline</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Target</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Measurement Method</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Cadence</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Positions not needed to hire due to AI efficiency</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1 position avoided by Month 24</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Headcount plan vs. actual</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Annual</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High-value activity time recovered (RM client hours)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To be documented</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+2 hrs/week/RM by Month 9</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RM activity log</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bl>
    <w:p>
      <w:pPr>
        <w:spacing w:after="200"/>
      </w:pPr>
    </w:p>
    <w:p>
      <w:pPr>
        <w:spacing w:after="100"/>
      </w:pPr>
    </w:p>
    <w:p>
      <w:pPr>
        <w:pStyle w:val="Heading3"/>
        <w:spacing w:after="100" w:before="200"/>
      </w:pPr>
      <w:r>
        <w:rPr>
          <w:rFonts w:ascii="Arial" w:cs="Arial" w:eastAsia="Arial" w:hAnsi="Arial"/>
          <w:b/>
          <w:bCs/>
          <w:sz w:val="26"/>
          <w:szCs w:val="26"/>
        </w:rPr>
        <w:t xml:space="preserve">Cost Avoidance</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tcPr>
          <w:p>
            <w:r>
              <w:rPr>
                <w:b/>
                <w:bCs/>
                <w:sz w:val="20"/>
                <w:szCs w:val="20"/>
              </w:rPr>
              <w:t xml:space="preserve">KPI</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Baseline</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Target</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Measurement Method</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Cadence</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Vendor costs under review</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Document current spend on Meridian Link + HMDA Wiz</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Go/no-go recommendation by Month 9</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Working Group evaluation report</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Phase milestone</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Staff overtime or contractor costs related to manual reporting</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To be documented</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Eliminated by Month 9</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Payroll / contractor invoices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bl>
    <w:p>
      <w:pPr>
        <w:spacing w:after="200"/>
      </w:pPr>
    </w:p>
    <w:p>
      <w:pPr>
        <w:spacing w:after="100"/>
      </w:pPr>
    </w:p>
    <w:p>
      <w:pPr>
        <w:pStyle w:val="Heading3"/>
        <w:spacing w:after="100" w:before="200"/>
      </w:pPr>
      <w:r>
        <w:rPr>
          <w:rFonts w:ascii="Arial" w:cs="Arial" w:eastAsia="Arial" w:hAnsi="Arial"/>
          <w:b/>
          <w:bCs/>
          <w:sz w:val="26"/>
          <w:szCs w:val="26"/>
        </w:rPr>
        <w:t xml:space="preserve">Revenue Impact</w:t>
      </w:r>
    </w:p>
    <w:p>
      <w:pPr>
        <w:spacing w:after="100"/>
      </w:pP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tcPr>
          <w:p>
            <w:r>
              <w:rPr>
                <w:b/>
                <w:bCs/>
                <w:sz w:val="20"/>
                <w:szCs w:val="20"/>
              </w:rPr>
              <w:t xml:space="preserve">KPI</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Baseline</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Target</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Measurement Method</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Cadence</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RM capacity for new business development (hours/week)</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To be documented</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+10 hours/week across team by Month 9</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Activity tracking</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Monthly</w:t>
            </w:r>
          </w:p>
        </w:tc>
      </w:tr>
      <w:tr>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Loan volume influenced by efficiency gains</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Current loan volume</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Directional increase by Month 18</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Loan origination report</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Quarterly</w:t>
            </w:r>
          </w:p>
        </w:tc>
      </w:tr>
    </w:tbl>
    <w:p>
      <w:pPr>
        <w:spacing w:after="200"/>
      </w:pPr>
    </w:p>
    <w:p>
      <w:pPr>
        <w:spacing w:after="100"/>
      </w:pPr>
    </w:p>
    <w:p>
      <w:pPr>
        <w:pStyle w:val="Heading3"/>
        <w:spacing w:after="100" w:before="200"/>
      </w:pPr>
      <w:r>
        <w:rPr>
          <w:rFonts w:ascii="Arial" w:cs="Arial" w:eastAsia="Arial" w:hAnsi="Arial"/>
          <w:b/>
          <w:bCs/>
          <w:sz w:val="26"/>
          <w:szCs w:val="26"/>
        </w:rPr>
        <w:t xml:space="preserve">Sample Leadership Dashboard (Monthly View)</w:t>
      </w:r>
    </w:p>
    <w:p>
      <w:pPr>
        <w:spacing w:after="100"/>
      </w:pPr>
    </w:p>
    <w:p>
      <w:pPr>
        <w:spacing w:after="100"/>
      </w:pPr>
      <w:r>
        <w:rPr>
          <w:b w:val="false"/>
          <w:bCs w:val="false"/>
          <w:sz w:val="22"/>
          <w:szCs w:val="22"/>
        </w:rPr>
        <w:t xml:space="preserve">```</w:t>
      </w:r>
    </w:p>
    <w:p>
      <w:pPr>
        <w:spacing w:after="100"/>
      </w:pPr>
      <w:r>
        <w:rPr>
          <w:b w:val="false"/>
          <w:bCs w:val="false"/>
          <w:sz w:val="22"/>
          <w:szCs w:val="22"/>
        </w:rPr>
        <w:t xml:space="preserve">DECATUR COUNTY BANK — AI PROGRAM DASHBOARD</w:t>
      </w:r>
    </w:p>
    <w:p>
      <w:pPr>
        <w:spacing w:after="100"/>
      </w:pPr>
      <w:r>
        <w:rPr>
          <w:b w:val="false"/>
          <w:bCs w:val="false"/>
          <w:sz w:val="22"/>
          <w:szCs w:val="22"/>
        </w:rPr>
        <w:t xml:space="preserve">Month: [X] | Phase: [1/2/3] | Reported by: Garrett Moore</w:t>
      </w:r>
    </w:p>
    <w:p>
      <w:pPr>
        <w:spacing w:after="100"/>
      </w:pPr>
    </w:p>
    <w:p>
      <w:pPr>
        <w:spacing w:after="100"/>
      </w:pPr>
      <w:r>
        <w:rPr>
          <w:b w:val="false"/>
          <w:bCs w:val="false"/>
          <w:sz w:val="22"/>
          <w:szCs w:val="22"/>
        </w:rPr>
        <w:t xml:space="preserve">EFFICIENCY WINS</w:t>
      </w:r>
    </w:p>
    <w:p>
      <w:pPr>
        <w:spacing w:after="100"/>
      </w:pPr>
      <w:r>
        <w:rPr>
          <w:b w:val="false"/>
          <w:bCs w:val="false"/>
          <w:sz w:val="22"/>
          <w:szCs w:val="22"/>
        </w:rPr>
        <w:t xml:space="preserve">• Regulatory reporting time saved this month: XX hours (target: YY)</w:t>
      </w:r>
    </w:p>
    <w:p>
      <w:pPr>
        <w:spacing w:after="100"/>
      </w:pPr>
      <w:r>
        <w:rPr>
          <w:b w:val="false"/>
          <w:bCs w:val="false"/>
          <w:sz w:val="22"/>
          <w:szCs w:val="22"/>
        </w:rPr>
        <w:t xml:space="preserve">• Credit package prep time per package: XX hours (baseline: YY)</w:t>
      </w:r>
    </w:p>
    <w:p>
      <w:pPr>
        <w:spacing w:after="100"/>
      </w:pPr>
      <w:r>
        <w:rPr>
          <w:b w:val="false"/>
          <w:bCs w:val="false"/>
          <w:sz w:val="22"/>
          <w:szCs w:val="22"/>
        </w:rPr>
        <w:t xml:space="preserve">• Correspondence drafting time per document: XX min (baseline: YY)</w:t>
      </w:r>
    </w:p>
    <w:p>
      <w:pPr>
        <w:spacing w:after="100"/>
      </w:pPr>
    </w:p>
    <w:p>
      <w:pPr>
        <w:spacing w:after="100"/>
      </w:pPr>
      <w:r>
        <w:rPr>
          <w:b w:val="false"/>
          <w:bCs w:val="false"/>
          <w:sz w:val="22"/>
          <w:szCs w:val="22"/>
        </w:rPr>
        <w:t xml:space="preserve">COMMUNICATION HUB</w:t>
      </w:r>
    </w:p>
    <w:p>
      <w:pPr>
        <w:spacing w:after="100"/>
      </w:pPr>
      <w:r>
        <w:rPr>
          <w:b w:val="false"/>
          <w:bCs w:val="false"/>
          <w:sz w:val="22"/>
          <w:szCs w:val="22"/>
        </w:rPr>
        <w:t xml:space="preserve">• Submissions this month: XX | Cumulative: XX</w:t>
      </w:r>
    </w:p>
    <w:p>
      <w:pPr>
        <w:spacing w:after="100"/>
      </w:pPr>
      <w:r>
        <w:rPr>
          <w:b w:val="false"/>
          <w:bCs w:val="false"/>
          <w:sz w:val="22"/>
          <w:szCs w:val="22"/>
        </w:rPr>
        <w:t xml:space="preserve">• Staff contributors: XX% of workforce</w:t>
      </w:r>
    </w:p>
    <w:p>
      <w:pPr>
        <w:spacing w:after="100"/>
      </w:pPr>
      <w:r>
        <w:rPr>
          <w:b w:val="false"/>
          <w:bCs w:val="false"/>
          <w:sz w:val="22"/>
          <w:szCs w:val="22"/>
        </w:rPr>
        <w:t xml:space="preserve">• Ideas in Phase 2 pipeline: XX</w:t>
      </w:r>
    </w:p>
    <w:p>
      <w:pPr>
        <w:spacing w:after="100"/>
      </w:pPr>
      <w:r>
        <w:rPr>
          <w:b w:val="false"/>
          <w:bCs w:val="false"/>
          <w:sz w:val="22"/>
          <w:szCs w:val="22"/>
        </w:rPr>
        <w:t xml:space="preserve">• Ideas actioned to date: XX</w:t>
      </w:r>
    </w:p>
    <w:p>
      <w:pPr>
        <w:spacing w:after="100"/>
      </w:pPr>
    </w:p>
    <w:p>
      <w:pPr>
        <w:spacing w:after="100"/>
      </w:pPr>
      <w:r>
        <w:rPr>
          <w:b w:val="false"/>
          <w:bCs w:val="false"/>
          <w:sz w:val="22"/>
          <w:szCs w:val="22"/>
        </w:rPr>
        <w:t xml:space="preserve">COST AVOIDANCE</w:t>
      </w:r>
    </w:p>
    <w:p>
      <w:pPr>
        <w:spacing w:after="100"/>
      </w:pPr>
      <w:r>
        <w:rPr>
          <w:b w:val="false"/>
          <w:bCs w:val="false"/>
          <w:sz w:val="22"/>
          <w:szCs w:val="22"/>
        </w:rPr>
        <w:t xml:space="preserve">• Vendor evaluation status: [On track / At risk]</w:t>
      </w:r>
    </w:p>
    <w:p>
      <w:pPr>
        <w:spacing w:after="100"/>
      </w:pPr>
      <w:r>
        <w:rPr>
          <w:b w:val="false"/>
          <w:bCs w:val="false"/>
          <w:sz w:val="22"/>
          <w:szCs w:val="22"/>
        </w:rPr>
        <w:t xml:space="preserve">• Estimated annual savings if vendor change proceeds: $XX,XXX</w:t>
      </w:r>
    </w:p>
    <w:p>
      <w:pPr>
        <w:spacing w:after="100"/>
      </w:pPr>
    </w:p>
    <w:p>
      <w:pPr>
        <w:spacing w:after="100"/>
      </w:pPr>
      <w:r>
        <w:rPr>
          <w:b w:val="false"/>
          <w:bCs w:val="false"/>
          <w:sz w:val="22"/>
          <w:szCs w:val="22"/>
        </w:rPr>
        <w:t xml:space="preserve">WORKFORCE</w:t>
      </w:r>
    </w:p>
    <w:p>
      <w:pPr>
        <w:spacing w:after="100"/>
      </w:pPr>
      <w:r>
        <w:rPr>
          <w:b w:val="false"/>
          <w:bCs w:val="false"/>
          <w:sz w:val="22"/>
          <w:szCs w:val="22"/>
        </w:rPr>
        <w:t xml:space="preserve">• High-value hours recovered this month: XX</w:t>
      </w:r>
    </w:p>
    <w:p>
      <w:pPr>
        <w:spacing w:after="100"/>
      </w:pPr>
      <w:r>
        <w:rPr>
          <w:b w:val="false"/>
          <w:bCs w:val="false"/>
          <w:sz w:val="22"/>
          <w:szCs w:val="22"/>
        </w:rPr>
        <w:t xml:space="preserve">• Positions not hired due to efficiency: X</w:t>
      </w:r>
    </w:p>
    <w:p>
      <w:pPr>
        <w:spacing w:after="100"/>
      </w:pPr>
    </w:p>
    <w:p>
      <w:pPr>
        <w:spacing w:after="100"/>
      </w:pPr>
      <w:r>
        <w:rPr>
          <w:b w:val="false"/>
          <w:bCs w:val="false"/>
          <w:sz w:val="22"/>
          <w:szCs w:val="22"/>
        </w:rPr>
        <w:t xml:space="preserve">WORKING GROUP</w:t>
      </w:r>
    </w:p>
    <w:p>
      <w:pPr>
        <w:spacing w:after="100"/>
      </w:pPr>
      <w:r>
        <w:rPr>
          <w:b w:val="false"/>
          <w:bCs w:val="false"/>
          <w:sz w:val="22"/>
          <w:szCs w:val="22"/>
        </w:rPr>
        <w:t xml:space="preserve">• Meetings held this month: X</w:t>
      </w:r>
    </w:p>
    <w:p>
      <w:pPr>
        <w:spacing w:after="100"/>
      </w:pPr>
      <w:r>
        <w:rPr>
          <w:b w:val="false"/>
          <w:bCs w:val="false"/>
          <w:sz w:val="22"/>
          <w:szCs w:val="22"/>
        </w:rPr>
        <w:t xml:space="preserve">• Decisions made: X</w:t>
      </w:r>
    </w:p>
    <w:p>
      <w:pPr>
        <w:spacing w:after="100"/>
      </w:pPr>
      <w:r>
        <w:rPr>
          <w:b w:val="false"/>
          <w:bCs w:val="false"/>
          <w:sz w:val="22"/>
          <w:szCs w:val="22"/>
        </w:rPr>
        <w:t xml:space="preserve">• Open items: X</w:t>
      </w: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w:t>
      </w:r>
    </w:p>
    <w:p>
      <w:pPr>
        <w:spacing w:after="100"/>
      </w:pPr>
    </w:p>
    <w:p>
      <w:pPr>
        <w:pStyle w:val="Heading1"/>
        <w:pageBreakBefore/>
        <w:spacing w:after="200" w:before="400"/>
      </w:pPr>
      <w:r>
        <w:rPr>
          <w:rFonts w:ascii="Arial" w:cs="Arial" w:eastAsia="Arial" w:hAnsi="Arial"/>
          <w:b/>
          <w:bCs/>
          <w:sz w:val="36"/>
          <w:szCs w:val="36"/>
        </w:rPr>
        <w:t xml:space="preserve">XI. Areas for Deeper Exploration</w:t>
      </w:r>
    </w:p>
    <w:p>
      <w:pPr>
        <w:spacing w:after="100"/>
      </w:pPr>
    </w:p>
    <w:p>
      <w:pPr>
        <w:spacing w:after="100"/>
      </w:pPr>
      <w:r>
        <w:rPr>
          <w:b w:val="false"/>
          <w:bCs w:val="false"/>
          <w:sz w:val="22"/>
          <w:szCs w:val="22"/>
        </w:rPr>
        <w:t xml:space="preserve">These are genuine gaps that the intake process could not capture — but that would materially change one or more recommendations if the answers differ from the assumptions embedded in this plan. Leadership should discuss these in the first Working Group meeting.</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1. What is DCB's current annual spend on Meridian Link and HMDA Wiz?</w:t>
      </w:r>
      <w:r>
        <w:rPr>
          <w:b w:val="false"/>
          <w:bCs w:val="false"/>
          <w:sz w:val="22"/>
          <w:szCs w:val="22"/>
        </w:rPr>
        <w:t xml:space="preserve"/>
      </w:r>
    </w:p>
    <w:p>
      <w:pPr>
        <w:spacing w:after="100"/>
      </w:pPr>
    </w:p>
    <w:p>
      <w:pPr>
        <w:spacing w:after="100"/>
      </w:pPr>
      <w:r>
        <w:rPr>
          <w:b w:val="false"/>
          <w:bCs w:val="false"/>
          <w:sz w:val="22"/>
          <w:szCs w:val="22"/>
        </w:rPr>
        <w:t xml:space="preserve">*Why it matters:* The ROI case for vendor replacement — named as a 3-month priority — cannot be built without knowing the current cost. If DCB is paying $30,000/year combined for these tools, replacement ROI is compelling and worth accelerating. If the combined cost is $8,000/year, the effort-to-savings ratio may not justify the operational risk of replacement. The Working Group's first agenda item should be documenting all vendor contract values and renewal dates.</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2. What are the current Copilot license counts, which staff hold them, and what is the per-user-per-month cost under DCB's Microsoft contract?</w:t>
      </w:r>
      <w:r>
        <w:rPr>
          <w:b w:val="false"/>
          <w:bCs w:val="false"/>
          <w:sz w:val="22"/>
          <w:szCs w:val="22"/>
        </w:rPr>
        <w:t xml:space="preserve"/>
      </w:r>
    </w:p>
    <w:p>
      <w:pPr>
        <w:spacing w:after="100"/>
      </w:pPr>
    </w:p>
    <w:p>
      <w:pPr>
        <w:spacing w:after="100"/>
      </w:pPr>
      <w:r>
        <w:rPr>
          <w:b w:val="false"/>
          <w:bCs w:val="false"/>
          <w:sz w:val="22"/>
          <w:szCs w:val="22"/>
        </w:rPr>
        <w:t xml:space="preserve">*Why it matters:* If DCB currently holds, say, 10 Copilot licenses for 150 staff, the cost and sequencing of expanding access changes significantly. If the existing Microsoft 365 contract includes Copilot for all users at no additional cost, the Phase 1 training program can move faster and the budget picture improves materially.</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3. Has DCB's IT team confirmed the Microsoft 365 tenant data governance settings that prevent Copilot from sending bank data to Microsoft for model training?</w:t>
      </w:r>
      <w:r>
        <w:rPr>
          <w:b w:val="false"/>
          <w:bCs w:val="false"/>
          <w:sz w:val="22"/>
          <w:szCs w:val="22"/>
        </w:rPr>
        <w:t xml:space="preserve"/>
      </w:r>
    </w:p>
    <w:p>
      <w:pPr>
        <w:spacing w:after="100"/>
      </w:pPr>
    </w:p>
    <w:p>
      <w:pPr>
        <w:spacing w:after="100"/>
      </w:pPr>
      <w:r>
        <w:rPr>
          <w:b w:val="false"/>
          <w:bCs w:val="false"/>
          <w:sz w:val="22"/>
          <w:szCs w:val="22"/>
        </w:rPr>
        <w:t xml:space="preserve">*Why it matters:* This is the single most important data security configuration question for the entire plan. If the tenant is not configured correctly, every Copilot use case carries data exposure risk. This is a 30-minute IT audit task that should happen in Week 1, before any expanded Copilot usage is encouraged.</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4. How does DCB's Board of Directors currently view AI — and has AI been discussed at the board level?</w:t>
      </w:r>
      <w:r>
        <w:rPr>
          <w:b w:val="false"/>
          <w:bCs w:val="false"/>
          <w:sz w:val="22"/>
          <w:szCs w:val="22"/>
        </w:rPr>
        <w:t xml:space="preserve"/>
      </w:r>
    </w:p>
    <w:p>
      <w:pPr>
        <w:spacing w:after="100"/>
      </w:pPr>
    </w:p>
    <w:p>
      <w:pPr>
        <w:spacing w:after="100"/>
      </w:pPr>
      <w:r>
        <w:rPr>
          <w:b w:val="false"/>
          <w:bCs w:val="false"/>
          <w:sz w:val="22"/>
          <w:szCs w:val="22"/>
        </w:rPr>
        <w:t xml:space="preserve">*Why it matters:* FDIC examiners increasingly expect board-level awareness of material technology risks, and AI is increasingly considered material. If the board has not discussed AI, a brief orientation should be planned for the next board meeting. This is also a governance documentation milestone that protects DCB in examination.</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5. Are there specific Fiserv Premier data export capabilities available that would support AI-assisted reporting workflows?</w:t>
      </w:r>
      <w:r>
        <w:rPr>
          <w:b w:val="false"/>
          <w:bCs w:val="false"/>
          <w:sz w:val="22"/>
          <w:szCs w:val="22"/>
        </w:rPr>
        <w:t xml:space="preserve"/>
      </w:r>
    </w:p>
    <w:p>
      <w:pPr>
        <w:spacing w:after="100"/>
      </w:pPr>
    </w:p>
    <w:p>
      <w:pPr>
        <w:spacing w:after="100"/>
      </w:pPr>
      <w:r>
        <w:rPr>
          <w:b w:val="false"/>
          <w:bCs w:val="false"/>
          <w:sz w:val="22"/>
          <w:szCs w:val="22"/>
        </w:rPr>
        <w:t xml:space="preserve">*Why it matters:* The regulatory reporting automation use case (Initiative 1.5) is most powerful if data can flow from Fiserv Premier into Excel/Word formats that Copilot can work with. If Fiserv exports are limited, the workflow may require manual data extraction steps. An IT and Finance conversation about Fiserv's reporting APIs and export formats should happen in Month 1.</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6. What is the current staff turnover rate, and which departments face the most recruitment difficulty?</w:t>
      </w:r>
      <w:r>
        <w:rPr>
          <w:b w:val="false"/>
          <w:bCs w:val="false"/>
          <w:sz w:val="22"/>
          <w:szCs w:val="22"/>
        </w:rPr>
        <w:t xml:space="preserve"/>
      </w:r>
    </w:p>
    <w:p>
      <w:pPr>
        <w:spacing w:after="100"/>
      </w:pPr>
    </w:p>
    <w:p>
      <w:pPr>
        <w:spacing w:after="100"/>
      </w:pPr>
      <w:r>
        <w:rPr>
          <w:b w:val="false"/>
          <w:bCs w:val="false"/>
          <w:sz w:val="22"/>
          <w:szCs w:val="22"/>
        </w:rPr>
        <w:t xml:space="preserve">*Why it matters:* One of the most compelling AI ROI arguments for a community bank of DCB's size is </w:t>
      </w:r>
      <w:r>
        <w:rPr>
          <w:b/>
          <w:bCs/>
          <w:sz w:val="22"/>
          <w:szCs w:val="22"/>
        </w:rPr>
        <w:t xml:space="preserve">positions not needed to hire</w:t>
      </w:r>
      <w:r>
        <w:rPr>
          <w:b w:val="false"/>
          <w:bCs w:val="false"/>
          <w:sz w:val="22"/>
          <w:szCs w:val="22"/>
        </w:rPr>
        <w:t xml:space="preserve"> — the ability to grow without proportional headcount growth. Knowing where DCB currently struggles to hire (or retain) sharpens the AI use case prioritization. If loan operations is chronically understaffed, credit package automation is even higher priority.</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7. Has the Compliance Officer been engaged in the AI strategy conversation, and what is their perspective?</w:t>
      </w:r>
      <w:r>
        <w:rPr>
          <w:b w:val="false"/>
          <w:bCs w:val="false"/>
          <w:sz w:val="22"/>
          <w:szCs w:val="22"/>
        </w:rPr>
        <w:t xml:space="preserve"/>
      </w:r>
    </w:p>
    <w:p>
      <w:pPr>
        <w:spacing w:after="100"/>
      </w:pPr>
    </w:p>
    <w:p>
      <w:pPr>
        <w:spacing w:after="100"/>
      </w:pPr>
      <w:r>
        <w:rPr>
          <w:b w:val="false"/>
          <w:bCs w:val="false"/>
          <w:sz w:val="22"/>
          <w:szCs w:val="22"/>
        </w:rPr>
        <w:t xml:space="preserve">*Why it matters:* The Compliance Officer will be both a key beneficiary (BSA, HMDA reporting automation) and a key governance voice (AUP review, regulatory examination readiness). If they are not yet part of the AI strategy conversation, they should be in the Working Group from Day 1. Their buy-in is also critical for exam readiness documentation.</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8. What is Garrett Moore's current role, bandwidth, and technical background?</w:t>
      </w:r>
      <w:r>
        <w:rPr>
          <w:b w:val="false"/>
          <w:bCs w:val="false"/>
          <w:sz w:val="22"/>
          <w:szCs w:val="22"/>
        </w:rPr>
        <w:t xml:space="preserve"/>
      </w:r>
    </w:p>
    <w:p>
      <w:pPr>
        <w:spacing w:after="100"/>
      </w:pPr>
    </w:p>
    <w:p>
      <w:pPr>
        <w:spacing w:after="100"/>
      </w:pPr>
      <w:r>
        <w:rPr>
          <w:b w:val="false"/>
          <w:bCs w:val="false"/>
          <w:sz w:val="22"/>
          <w:szCs w:val="22"/>
        </w:rPr>
        <w:t xml:space="preserve">*Why it matters:* Garrett Moore is named as a co-implementation owner, but the plan places significant facilitation responsibility on this person — Working Group facilitation, Communication Hub oversight, training delivery, and Phase 2 workflow development. If Garrett is already at full capacity in a current role, the plan needs to either reduce scope or identify additional capacity. This is the most likely execution constraint in the plan.</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9. Are there any existing AI-related examination findings or supervisory guidance letters from TDFI or FDIC that have already been issued to DCB?</w:t>
      </w:r>
      <w:r>
        <w:rPr>
          <w:b w:val="false"/>
          <w:bCs w:val="false"/>
          <w:sz w:val="22"/>
          <w:szCs w:val="22"/>
        </w:rPr>
        <w:t xml:space="preserve"/>
      </w:r>
    </w:p>
    <w:p>
      <w:pPr>
        <w:spacing w:after="100"/>
      </w:pPr>
    </w:p>
    <w:p>
      <w:pPr>
        <w:spacing w:after="100"/>
      </w:pPr>
      <w:r>
        <w:rPr>
          <w:b w:val="false"/>
          <w:bCs w:val="false"/>
          <w:sz w:val="22"/>
          <w:szCs w:val="22"/>
        </w:rPr>
        <w:t xml:space="preserve">*Why it matters:* If DCB has already received examiner comments about technology governance, AI usage, or model risk management, this plan's governance sequencing should be significantly accelerated. The AUP and governance framework become Day 1 deliverables rather than Month 1 initiatives.</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10. What is the current state of employee awareness and sentiment about AI — and has it been formally measured?</w:t>
      </w:r>
      <w:r>
        <w:rPr>
          <w:b w:val="false"/>
          <w:bCs w:val="false"/>
          <w:sz w:val="22"/>
          <w:szCs w:val="22"/>
        </w:rPr>
        <w:t xml:space="preserve"/>
      </w:r>
    </w:p>
    <w:p>
      <w:pPr>
        <w:spacing w:after="100"/>
      </w:pPr>
    </w:p>
    <w:p>
      <w:pPr>
        <w:spacing w:after="100"/>
      </w:pPr>
      <w:r>
        <w:rPr>
          <w:b w:val="false"/>
          <w:bCs w:val="false"/>
          <w:sz w:val="22"/>
          <w:szCs w:val="22"/>
        </w:rPr>
        <w:t xml:space="preserve">*Why it matters:* Kirk Goehring identified staff anxiety about AI and employment as a genuine risk. But "I think staff are worried" is different from "we surveyed staff and here is what they actually said." A brief anonymous pulse survey in Week 1 — five questions, five minutes — would give the Working Group real data to work with on training design and communication strategy. It also signals to staff that their perspective matters, which itself reduces resistance.</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*This plan is a living document. It should be reviewed and updated by the AI Working Group at the end of each phase. The Communication Hub will surface the intelligence needed to keep it current and grounded in operational reality.*</w:t>
      </w:r>
    </w:p>
    <w:p>
      <w:pPr>
        <w:spacing w:after="100"/>
      </w:pPr>
    </w:p>
    <w:p>
      <w:pPr>
        <w:spacing w:after="100"/>
      </w:pPr>
      <w:r>
        <w:rPr>
          <w:b w:val="false"/>
          <w:bCs w:val="false"/>
          <w:sz w:val="22"/>
          <w:szCs w:val="22"/>
        </w:rPr>
        <w:t xml:space="preserve">---</w:t>
      </w:r>
    </w:p>
    <w:p>
      <w:pPr>
        <w:spacing w:after="100"/>
      </w:pPr>
    </w:p>
    <w:p>
      <w:pPr>
        <w:spacing w:after="100"/>
      </w:pPr>
      <w:r>
        <w:rPr>
          <w:b w:val="false"/>
          <w:bCs w:val="false"/>
          <w:sz w:val="22"/>
          <w:szCs w:val="22"/>
        </w:rPr>
        <w:t xml:space="preserve"/>
      </w:r>
      <w:r>
        <w:rPr>
          <w:b/>
          <w:bCs/>
          <w:sz w:val="22"/>
          <w:szCs w:val="22"/>
        </w:rPr>
        <w:t xml:space="preserve">Document Control</w:t>
      </w:r>
      <w:r>
        <w:rPr>
          <w:b w:val="false"/>
          <w:bCs w:val="false"/>
          <w:sz w:val="22"/>
          <w:szCs w:val="22"/>
        </w:rPr>
        <w:t xml:space="preserve"/>
      </w:r>
    </w:p>
    <w:p>
      <w:pPr>
        <w:spacing w:after="100"/>
      </w:pPr>
      <w:r>
        <w:rPr>
          <w:b w:val="false"/>
          <w:bCs w:val="false"/>
          <w:sz w:val="22"/>
          <w:szCs w:val="22"/>
        </w:rPr>
        <w:t xml:space="preserve">Prepared for: Decatur County Bank | Kirk Goehring, EVP, CCO</w:t>
      </w:r>
    </w:p>
    <w:p>
      <w:pPr>
        <w:spacing w:after="100"/>
      </w:pPr>
      <w:r>
        <w:rPr>
          <w:b w:val="false"/>
          <w:bCs w:val="false"/>
          <w:sz w:val="22"/>
          <w:szCs w:val="22"/>
        </w:rPr>
        <w:t xml:space="preserve">Implementation Lead: Garrett Moore</w:t>
      </w:r>
    </w:p>
    <w:p>
      <w:pPr>
        <w:spacing w:after="100"/>
      </w:pPr>
      <w:r>
        <w:rPr>
          <w:b w:val="false"/>
          <w:bCs w:val="false"/>
          <w:sz w:val="22"/>
          <w:szCs w:val="22"/>
        </w:rPr>
        <w:t xml:space="preserve">Plan Version: 1.0 — Confidential</w:t>
      </w:r>
    </w:p>
    <w:p>
      <w:pPr>
        <w:spacing w:after="100"/>
      </w:pPr>
      <w:r>
        <w:rPr>
          <w:b w:val="false"/>
          <w:bCs w:val="false"/>
          <w:sz w:val="22"/>
          <w:szCs w:val="22"/>
        </w:rPr>
        <w:t xml:space="preserve">*This document is intended for internal strategic use only and should not be distributed externally without executive approval.*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Decatur County Bank — AI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2026-03-04T19:33:52.046Z</dcterms:created>
  <dcterms:modified xsi:type="dcterms:W3CDTF">2026-03-04T19:33:52.046Z</dcterms:modified>
</cp:coreProperties>
</file>

<file path=docProps/custom.xml><?xml version="1.0" encoding="utf-8"?>
<Properties xmlns="http://schemas.openxmlformats.org/officeDocument/2006/custom-properties" xmlns:vt="http://schemas.openxmlformats.org/officeDocument/2006/docPropsVTypes"/>
</file>