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7E3" w:rsidRDefault="005D32CE" w:rsidP="001C4C9E">
      <w:pPr>
        <w:pStyle w:val="Ttulo1"/>
      </w:pPr>
      <w:bookmarkStart w:id="0" w:name="_Toc19032180"/>
      <w:r>
        <w:t xml:space="preserve">II. </w:t>
      </w:r>
      <w:r w:rsidR="001F7583">
        <w:t>CONTENIDO</w:t>
      </w:r>
      <w:bookmarkEnd w:id="0"/>
    </w:p>
    <w:p w:rsidR="00DB223E" w:rsidRDefault="00DB223E" w:rsidP="00DB223E"/>
    <w:p w:rsidR="00DB223E" w:rsidRDefault="00DB223E" w:rsidP="00DB223E"/>
    <w:tbl>
      <w:tblPr>
        <w:tblStyle w:val="Tablaconcuadrcula"/>
        <w:tblW w:w="0" w:type="auto"/>
        <w:tblLook w:val="04A0" w:firstRow="1" w:lastRow="0" w:firstColumn="1" w:lastColumn="0" w:noHBand="0" w:noVBand="1"/>
      </w:tblPr>
      <w:tblGrid>
        <w:gridCol w:w="2547"/>
        <w:gridCol w:w="2361"/>
        <w:gridCol w:w="2317"/>
        <w:gridCol w:w="6095"/>
        <w:gridCol w:w="3969"/>
      </w:tblGrid>
      <w:tr w:rsidR="009F4B12" w:rsidTr="008800CE">
        <w:trPr>
          <w:trHeight w:val="464"/>
        </w:trPr>
        <w:tc>
          <w:tcPr>
            <w:tcW w:w="2547" w:type="dxa"/>
            <w:shd w:val="clear" w:color="auto" w:fill="CCFFFF"/>
          </w:tcPr>
          <w:p w:rsidR="009F4B12" w:rsidRPr="00D62729" w:rsidRDefault="009F4B12" w:rsidP="00127774">
            <w:pPr>
              <w:jc w:val="center"/>
              <w:rPr>
                <w:b/>
              </w:rPr>
            </w:pPr>
            <w:r w:rsidRPr="00D62729">
              <w:rPr>
                <w:b/>
              </w:rPr>
              <w:t>Área de T.I.</w:t>
            </w:r>
          </w:p>
        </w:tc>
        <w:tc>
          <w:tcPr>
            <w:tcW w:w="2361" w:type="dxa"/>
            <w:shd w:val="clear" w:color="auto" w:fill="CCFFFF"/>
          </w:tcPr>
          <w:p w:rsidR="009F4B12" w:rsidRPr="00D62729" w:rsidRDefault="009F4B12" w:rsidP="00127774">
            <w:pPr>
              <w:jc w:val="center"/>
              <w:rPr>
                <w:b/>
              </w:rPr>
            </w:pPr>
            <w:r w:rsidRPr="00D62729">
              <w:rPr>
                <w:b/>
              </w:rPr>
              <w:t>Nombre</w:t>
            </w:r>
          </w:p>
          <w:p w:rsidR="009F4B12" w:rsidRPr="00D62729" w:rsidRDefault="009F4B12" w:rsidP="00127774">
            <w:pPr>
              <w:jc w:val="center"/>
              <w:rPr>
                <w:b/>
              </w:rPr>
            </w:pPr>
            <w:r w:rsidRPr="00D62729">
              <w:rPr>
                <w:b/>
              </w:rPr>
              <w:t>Tecnología</w:t>
            </w:r>
          </w:p>
        </w:tc>
        <w:tc>
          <w:tcPr>
            <w:tcW w:w="2317" w:type="dxa"/>
            <w:shd w:val="clear" w:color="auto" w:fill="CCFFFF"/>
          </w:tcPr>
          <w:p w:rsidR="009F4B12" w:rsidRPr="00D62729" w:rsidRDefault="009F4B12" w:rsidP="00127774">
            <w:pPr>
              <w:jc w:val="center"/>
              <w:rPr>
                <w:b/>
              </w:rPr>
            </w:pPr>
            <w:r w:rsidRPr="00D62729">
              <w:rPr>
                <w:b/>
              </w:rPr>
              <w:t>Empresa</w:t>
            </w:r>
          </w:p>
          <w:p w:rsidR="009F4B12" w:rsidRPr="00D62729" w:rsidRDefault="009F4B12" w:rsidP="00127774">
            <w:pPr>
              <w:jc w:val="center"/>
              <w:rPr>
                <w:b/>
              </w:rPr>
            </w:pPr>
            <w:r w:rsidRPr="00D62729">
              <w:rPr>
                <w:b/>
              </w:rPr>
              <w:t>Desarrollador</w:t>
            </w:r>
          </w:p>
        </w:tc>
        <w:tc>
          <w:tcPr>
            <w:tcW w:w="6095" w:type="dxa"/>
            <w:shd w:val="clear" w:color="auto" w:fill="CCFFFF"/>
          </w:tcPr>
          <w:p w:rsidR="009F4B12" w:rsidRPr="00D62729" w:rsidRDefault="009F4B12" w:rsidP="00D62729">
            <w:pPr>
              <w:jc w:val="center"/>
              <w:rPr>
                <w:b/>
              </w:rPr>
            </w:pPr>
            <w:r w:rsidRPr="00D62729">
              <w:rPr>
                <w:b/>
              </w:rPr>
              <w:t>Descripción</w:t>
            </w:r>
          </w:p>
        </w:tc>
        <w:tc>
          <w:tcPr>
            <w:tcW w:w="3969" w:type="dxa"/>
            <w:shd w:val="clear" w:color="auto" w:fill="CCFFFF"/>
          </w:tcPr>
          <w:p w:rsidR="009F4B12" w:rsidRPr="00D62729" w:rsidRDefault="009F4B12" w:rsidP="00127774">
            <w:pPr>
              <w:jc w:val="center"/>
              <w:rPr>
                <w:b/>
              </w:rPr>
            </w:pPr>
            <w:r w:rsidRPr="00D62729">
              <w:rPr>
                <w:b/>
              </w:rPr>
              <w:t>Aplicación</w:t>
            </w:r>
          </w:p>
        </w:tc>
      </w:tr>
      <w:tr w:rsidR="009F4B12" w:rsidTr="008800CE">
        <w:trPr>
          <w:trHeight w:val="464"/>
        </w:trPr>
        <w:tc>
          <w:tcPr>
            <w:tcW w:w="2547" w:type="dxa"/>
          </w:tcPr>
          <w:p w:rsidR="009F4B12" w:rsidRDefault="009F4B12" w:rsidP="006052BE">
            <w:pPr>
              <w:jc w:val="both"/>
            </w:pPr>
            <w:r>
              <w:t>Seguridad Física</w:t>
            </w:r>
          </w:p>
        </w:tc>
        <w:tc>
          <w:tcPr>
            <w:tcW w:w="2361" w:type="dxa"/>
          </w:tcPr>
          <w:p w:rsidR="009F4B12" w:rsidRDefault="00127774" w:rsidP="006052BE">
            <w:pPr>
              <w:jc w:val="both"/>
            </w:pPr>
            <w:r>
              <w:t xml:space="preserve">Cámara térmica </w:t>
            </w:r>
            <w:proofErr w:type="spellStart"/>
            <w:r>
              <w:t>biespectral</w:t>
            </w:r>
            <w:proofErr w:type="spellEnd"/>
            <w:r>
              <w:t xml:space="preserve"> (emergente)</w:t>
            </w:r>
          </w:p>
        </w:tc>
        <w:tc>
          <w:tcPr>
            <w:tcW w:w="2317" w:type="dxa"/>
          </w:tcPr>
          <w:p w:rsidR="009F4B12" w:rsidRDefault="00127774" w:rsidP="006052BE">
            <w:pPr>
              <w:jc w:val="both"/>
            </w:pPr>
            <w:proofErr w:type="spellStart"/>
            <w:r>
              <w:t>Hikvision</w:t>
            </w:r>
            <w:proofErr w:type="spellEnd"/>
          </w:p>
        </w:tc>
        <w:tc>
          <w:tcPr>
            <w:tcW w:w="6095" w:type="dxa"/>
          </w:tcPr>
          <w:p w:rsidR="009F4B12" w:rsidRDefault="00127774" w:rsidP="006052BE">
            <w:pPr>
              <w:jc w:val="both"/>
            </w:pPr>
            <w:r>
              <w:t xml:space="preserve">Permite la detección de incendios mediante componentes internos de hardware de alta calidad para capturar imágenes utilizando luz visible y luz infrarroja, lo que permite generar una imagen </w:t>
            </w:r>
            <w:proofErr w:type="spellStart"/>
            <w:r>
              <w:t>biespectral</w:t>
            </w:r>
            <w:proofErr w:type="spellEnd"/>
            <w:r>
              <w:t xml:space="preserve"> que supervisa anomalías cuando sube la temperatura.</w:t>
            </w:r>
          </w:p>
        </w:tc>
        <w:tc>
          <w:tcPr>
            <w:tcW w:w="3969" w:type="dxa"/>
          </w:tcPr>
          <w:p w:rsidR="009F4B12" w:rsidRDefault="00127774" w:rsidP="006052BE">
            <w:pPr>
              <w:jc w:val="both"/>
            </w:pPr>
            <w:r>
              <w:t xml:space="preserve">En edificios, casas o cualquier sitio que se quiera prever de algún incidente incendios </w:t>
            </w:r>
          </w:p>
        </w:tc>
      </w:tr>
      <w:tr w:rsidR="00D62729" w:rsidTr="008800CE">
        <w:trPr>
          <w:trHeight w:val="450"/>
        </w:trPr>
        <w:tc>
          <w:tcPr>
            <w:tcW w:w="2547" w:type="dxa"/>
          </w:tcPr>
          <w:p w:rsidR="00D62729" w:rsidRDefault="00D62729" w:rsidP="006052BE">
            <w:pPr>
              <w:jc w:val="both"/>
            </w:pPr>
            <w:r>
              <w:t>Seguridad Física</w:t>
            </w:r>
          </w:p>
        </w:tc>
        <w:tc>
          <w:tcPr>
            <w:tcW w:w="2361" w:type="dxa"/>
          </w:tcPr>
          <w:p w:rsidR="00D62729" w:rsidRDefault="00D62729" w:rsidP="006052BE">
            <w:pPr>
              <w:jc w:val="both"/>
            </w:pPr>
            <w:r>
              <w:t xml:space="preserve">sensores inteligentes </w:t>
            </w:r>
            <w:proofErr w:type="spellStart"/>
            <w:r>
              <w:t>Intrepid</w:t>
            </w:r>
            <w:proofErr w:type="spellEnd"/>
            <w:r w:rsidR="001F7583">
              <w:t xml:space="preserve"> (moderna)</w:t>
            </w:r>
          </w:p>
        </w:tc>
        <w:tc>
          <w:tcPr>
            <w:tcW w:w="2317" w:type="dxa"/>
          </w:tcPr>
          <w:p w:rsidR="00D62729" w:rsidRDefault="00D62729" w:rsidP="006052BE">
            <w:pPr>
              <w:jc w:val="both"/>
            </w:pPr>
            <w:proofErr w:type="spellStart"/>
            <w:r>
              <w:t>Southwest</w:t>
            </w:r>
            <w:proofErr w:type="spellEnd"/>
            <w:r>
              <w:t xml:space="preserve"> </w:t>
            </w:r>
            <w:proofErr w:type="spellStart"/>
            <w:r>
              <w:t>Microwave</w:t>
            </w:r>
            <w:proofErr w:type="spellEnd"/>
          </w:p>
        </w:tc>
        <w:tc>
          <w:tcPr>
            <w:tcW w:w="6095" w:type="dxa"/>
          </w:tcPr>
          <w:p w:rsidR="00D62729" w:rsidRDefault="00D62729" w:rsidP="006052BE">
            <w:pPr>
              <w:jc w:val="both"/>
            </w:pPr>
            <w:r>
              <w:t xml:space="preserve">funcionan a través de microondas para garantizar la seguridad de los edificios, Los sensores emplean algoritmos avanzados de procesamiento de señales digitales para optimizar la discriminación entre intentos de intrusión y perturbaciones ambientales, mitigando el riesgo de compromiso del sitio y previniendo alarmas molestas. El sistema reconoce perfiles únicos de intrusos que caminan, corren o saltan a través del campo de detección, ofrece rastreo mejorado y </w:t>
            </w:r>
            <w:r>
              <w:lastRenderedPageBreak/>
              <w:t>detección de vehículos, y optimiza el rendimiento en pasillos estrechos</w:t>
            </w:r>
          </w:p>
        </w:tc>
        <w:tc>
          <w:tcPr>
            <w:tcW w:w="3969" w:type="dxa"/>
          </w:tcPr>
          <w:p w:rsidR="00D62729" w:rsidRDefault="00D62729" w:rsidP="006052BE">
            <w:pPr>
              <w:jc w:val="both"/>
            </w:pPr>
            <w:r>
              <w:lastRenderedPageBreak/>
              <w:t>Idóneo para asegurar el perímetro de áreas abiertas, puertas, entradas, paredes o tejados.</w:t>
            </w:r>
          </w:p>
        </w:tc>
      </w:tr>
      <w:tr w:rsidR="001F7583" w:rsidTr="008800CE">
        <w:trPr>
          <w:trHeight w:val="450"/>
        </w:trPr>
        <w:tc>
          <w:tcPr>
            <w:tcW w:w="2547" w:type="dxa"/>
          </w:tcPr>
          <w:p w:rsidR="001F7583" w:rsidRDefault="005F65AD" w:rsidP="006052BE">
            <w:pPr>
              <w:jc w:val="both"/>
            </w:pPr>
            <w:r>
              <w:t xml:space="preserve">Redes de datos </w:t>
            </w:r>
          </w:p>
        </w:tc>
        <w:tc>
          <w:tcPr>
            <w:tcW w:w="2361" w:type="dxa"/>
          </w:tcPr>
          <w:p w:rsidR="001F7583" w:rsidRDefault="00F13E85" w:rsidP="006052BE">
            <w:pPr>
              <w:jc w:val="both"/>
            </w:pPr>
            <w:r>
              <w:t>D</w:t>
            </w:r>
            <w:r w:rsidRPr="0093056B">
              <w:t>omótica</w:t>
            </w:r>
          </w:p>
        </w:tc>
        <w:tc>
          <w:tcPr>
            <w:tcW w:w="2317" w:type="dxa"/>
          </w:tcPr>
          <w:p w:rsidR="001F7583" w:rsidRDefault="00F13E85" w:rsidP="006052BE">
            <w:pPr>
              <w:jc w:val="both"/>
            </w:pPr>
            <w:r w:rsidRPr="0093056B">
              <w:t>FRITZ</w:t>
            </w:r>
          </w:p>
        </w:tc>
        <w:tc>
          <w:tcPr>
            <w:tcW w:w="6095" w:type="dxa"/>
          </w:tcPr>
          <w:p w:rsidR="001F7583" w:rsidRDefault="005F0A26" w:rsidP="006052BE">
            <w:pPr>
              <w:jc w:val="both"/>
            </w:pPr>
            <w:r>
              <w:t>M</w:t>
            </w:r>
            <w:r w:rsidRPr="00425F85">
              <w:t>ejora la velocidad de transmisión de datos y los tiempos de reacción cuando varios dispositivos utilizan la red inalámbrica al mismo tiempo</w:t>
            </w:r>
            <w:r>
              <w:t>.</w:t>
            </w:r>
            <w:r w:rsidRPr="00A00B74">
              <w:t xml:space="preserve"> </w:t>
            </w:r>
            <w:r>
              <w:t>P</w:t>
            </w:r>
            <w:r w:rsidR="00A00B74" w:rsidRPr="00A00B74">
              <w:t xml:space="preserve">reparado para la nueva generación de redes móviles 5G. Con </w:t>
            </w:r>
            <w:proofErr w:type="spellStart"/>
            <w:r w:rsidR="00A00B74" w:rsidRPr="00A00B74">
              <w:t>Wi</w:t>
            </w:r>
            <w:proofErr w:type="spellEnd"/>
            <w:r w:rsidR="00A00B74" w:rsidRPr="00A00B74">
              <w:t>-Fi rápido, LAN Gigabit y una base para telefonía y domótica, garantiza un confort total para las futuras conexiones 5G y las 4G actuales</w:t>
            </w:r>
          </w:p>
        </w:tc>
        <w:tc>
          <w:tcPr>
            <w:tcW w:w="3969" w:type="dxa"/>
          </w:tcPr>
          <w:p w:rsidR="001F7583" w:rsidRDefault="001F7583" w:rsidP="006052BE">
            <w:pPr>
              <w:jc w:val="both"/>
            </w:pPr>
          </w:p>
        </w:tc>
      </w:tr>
      <w:tr w:rsidR="00F13E85" w:rsidRPr="00685113" w:rsidTr="008800CE">
        <w:trPr>
          <w:trHeight w:val="450"/>
        </w:trPr>
        <w:tc>
          <w:tcPr>
            <w:tcW w:w="2547" w:type="dxa"/>
          </w:tcPr>
          <w:p w:rsidR="00F13E85" w:rsidRDefault="00C32F14" w:rsidP="006052BE">
            <w:pPr>
              <w:jc w:val="both"/>
            </w:pPr>
            <w:r>
              <w:t>Seguridad Lógica</w:t>
            </w:r>
          </w:p>
        </w:tc>
        <w:tc>
          <w:tcPr>
            <w:tcW w:w="2361" w:type="dxa"/>
          </w:tcPr>
          <w:p w:rsidR="00F13E85" w:rsidRDefault="00E20E1C" w:rsidP="006052BE">
            <w:pPr>
              <w:jc w:val="both"/>
            </w:pPr>
            <w:proofErr w:type="spellStart"/>
            <w:r>
              <w:t>Trusted</w:t>
            </w:r>
            <w:proofErr w:type="spellEnd"/>
            <w:r>
              <w:t xml:space="preserve"> </w:t>
            </w:r>
            <w:proofErr w:type="spellStart"/>
            <w:r>
              <w:t>tag</w:t>
            </w:r>
            <w:proofErr w:type="spellEnd"/>
          </w:p>
        </w:tc>
        <w:tc>
          <w:tcPr>
            <w:tcW w:w="2317" w:type="dxa"/>
          </w:tcPr>
          <w:p w:rsidR="00F13E85" w:rsidRPr="00E20E1C" w:rsidRDefault="00E20E1C" w:rsidP="00E20E1C">
            <w:pPr>
              <w:rPr>
                <w:lang w:val="en-US"/>
              </w:rPr>
            </w:pPr>
            <w:r w:rsidRPr="00E20E1C">
              <w:rPr>
                <w:shd w:val="clear" w:color="auto" w:fill="FFFFFF"/>
              </w:rPr>
              <w:t>la compañía HID Global </w:t>
            </w:r>
          </w:p>
        </w:tc>
        <w:tc>
          <w:tcPr>
            <w:tcW w:w="6095" w:type="dxa"/>
          </w:tcPr>
          <w:p w:rsidR="00E20E1C" w:rsidRPr="00E20E1C" w:rsidRDefault="00E20E1C" w:rsidP="00E20E1C">
            <w:r w:rsidRPr="00E20E1C">
              <w:t xml:space="preserve">Esto se hace a través de un servicio llamado </w:t>
            </w:r>
            <w:proofErr w:type="spellStart"/>
            <w:r w:rsidRPr="00E20E1C">
              <w:t>Trusted</w:t>
            </w:r>
            <w:proofErr w:type="spellEnd"/>
            <w:r w:rsidRPr="00E20E1C">
              <w:t xml:space="preserve"> </w:t>
            </w:r>
            <w:proofErr w:type="spellStart"/>
            <w:r w:rsidRPr="00E20E1C">
              <w:t>Tag</w:t>
            </w:r>
            <w:proofErr w:type="spellEnd"/>
            <w:r w:rsidRPr="00E20E1C">
              <w:t>® que autentifican de forma confiable los productos desde su producción, pasando por las etapas de distribución hasta llegar al punto de venta, donde el consumidor puede comprobar su originalidad con un simple toque de un teléfono Android o iOS.</w:t>
            </w:r>
          </w:p>
          <w:p w:rsidR="00E20E1C" w:rsidRPr="00E20E1C" w:rsidRDefault="00E20E1C" w:rsidP="00E20E1C">
            <w:r w:rsidRPr="00E20E1C">
              <w:t xml:space="preserve">Esta solución fue creada con la intención de proteger a las marcas contra las actividades del mercado negro y será presentada en </w:t>
            </w:r>
            <w:proofErr w:type="spellStart"/>
            <w:r w:rsidRPr="00E20E1C">
              <w:t>IoT</w:t>
            </w:r>
            <w:proofErr w:type="spellEnd"/>
            <w:r w:rsidRPr="00E20E1C">
              <w:t xml:space="preserve"> </w:t>
            </w:r>
            <w:proofErr w:type="spellStart"/>
            <w:r w:rsidRPr="00E20E1C">
              <w:t>Latin</w:t>
            </w:r>
            <w:proofErr w:type="spellEnd"/>
            <w:r w:rsidRPr="00E20E1C">
              <w:t xml:space="preserve"> América 2019, una feria de tecnología que se realizará en Sao Paulo, Brasil, los días 17 y 18 de septiembre.</w:t>
            </w:r>
          </w:p>
          <w:p w:rsidR="00E20E1C" w:rsidRPr="00E20E1C" w:rsidRDefault="00E20E1C" w:rsidP="00E20E1C">
            <w:r w:rsidRPr="00E20E1C">
              <w:lastRenderedPageBreak/>
              <w:t xml:space="preserve">“El servicio </w:t>
            </w:r>
            <w:proofErr w:type="spellStart"/>
            <w:r w:rsidRPr="00E20E1C">
              <w:t>Trusted</w:t>
            </w:r>
            <w:proofErr w:type="spellEnd"/>
            <w:r w:rsidRPr="00E20E1C">
              <w:t xml:space="preserve"> </w:t>
            </w:r>
            <w:proofErr w:type="spellStart"/>
            <w:r w:rsidRPr="00E20E1C">
              <w:t>Tag</w:t>
            </w:r>
            <w:proofErr w:type="spellEnd"/>
            <w:r w:rsidRPr="00E20E1C">
              <w:t xml:space="preserve"> combina la autenticación en la nube de HID con sus etiquetas NFC, las cuales vienen en muchas presentaciones para una amplia variedad de formas y tamaños de productos que requieren verificación de marca”, indicó la empresa.</w:t>
            </w:r>
          </w:p>
          <w:p w:rsidR="00F13E85" w:rsidRPr="00E20E1C" w:rsidRDefault="00F13E85" w:rsidP="00E20E1C">
            <w:pPr>
              <w:rPr>
                <w:lang w:val="es-ES"/>
              </w:rPr>
            </w:pPr>
          </w:p>
        </w:tc>
        <w:tc>
          <w:tcPr>
            <w:tcW w:w="3969" w:type="dxa"/>
          </w:tcPr>
          <w:p w:rsidR="00E20E1C" w:rsidRPr="00E20E1C" w:rsidRDefault="00E20E1C" w:rsidP="00E20E1C">
            <w:r w:rsidRPr="00E20E1C">
              <w:lastRenderedPageBreak/>
              <w:t>permite a los usuarios comprobar si un producto es original o no a partir de un simple toque desde el celular.</w:t>
            </w:r>
            <w:sdt>
              <w:sdtPr>
                <w:id w:val="1282769112"/>
                <w:citation/>
              </w:sdtPr>
              <w:sdtContent>
                <w:r>
                  <w:fldChar w:fldCharType="begin"/>
                </w:r>
                <w:r>
                  <w:instrText xml:space="preserve"> CITATION MS19 \l 2058 </w:instrText>
                </w:r>
                <w:r>
                  <w:fldChar w:fldCharType="separate"/>
                </w:r>
                <w:r>
                  <w:rPr>
                    <w:noProof/>
                  </w:rPr>
                  <w:t xml:space="preserve"> (M'S, 2019)</w:t>
                </w:r>
                <w:r>
                  <w:fldChar w:fldCharType="end"/>
                </w:r>
              </w:sdtContent>
            </w:sdt>
          </w:p>
          <w:p w:rsidR="00F13E85" w:rsidRPr="00685113" w:rsidRDefault="00F13E85" w:rsidP="006052BE">
            <w:pPr>
              <w:jc w:val="both"/>
            </w:pPr>
          </w:p>
        </w:tc>
      </w:tr>
      <w:tr w:rsidR="00C32F14" w:rsidTr="008800CE">
        <w:trPr>
          <w:trHeight w:val="450"/>
        </w:trPr>
        <w:tc>
          <w:tcPr>
            <w:tcW w:w="2547" w:type="dxa"/>
          </w:tcPr>
          <w:p w:rsidR="00C32F14" w:rsidRDefault="005F65AD" w:rsidP="006052BE">
            <w:pPr>
              <w:jc w:val="both"/>
            </w:pPr>
            <w:r>
              <w:t xml:space="preserve">Redes </w:t>
            </w:r>
            <w:r w:rsidR="008800CE">
              <w:t>de Datos</w:t>
            </w:r>
          </w:p>
        </w:tc>
        <w:tc>
          <w:tcPr>
            <w:tcW w:w="2361" w:type="dxa"/>
          </w:tcPr>
          <w:p w:rsidR="00C32F14" w:rsidRPr="003A0463" w:rsidRDefault="008800CE" w:rsidP="006052BE">
            <w:pPr>
              <w:jc w:val="both"/>
            </w:pPr>
            <w:r>
              <w:t xml:space="preserve">Enterprise </w:t>
            </w:r>
            <w:proofErr w:type="spellStart"/>
            <w:r>
              <w:t>Building</w:t>
            </w:r>
            <w:proofErr w:type="spellEnd"/>
            <w:r>
              <w:t xml:space="preserve"> </w:t>
            </w:r>
            <w:proofErr w:type="spellStart"/>
            <w:r>
              <w:t>Integration</w:t>
            </w:r>
            <w:proofErr w:type="spellEnd"/>
          </w:p>
        </w:tc>
        <w:tc>
          <w:tcPr>
            <w:tcW w:w="2317" w:type="dxa"/>
          </w:tcPr>
          <w:p w:rsidR="00C32F14" w:rsidRDefault="008800CE" w:rsidP="006052BE">
            <w:pPr>
              <w:jc w:val="both"/>
            </w:pPr>
            <w:proofErr w:type="spellStart"/>
            <w:r w:rsidRPr="00425F85">
              <w:t>Honeywell</w:t>
            </w:r>
            <w:proofErr w:type="spellEnd"/>
            <w:r w:rsidRPr="00425F85">
              <w:t xml:space="preserve"> </w:t>
            </w:r>
            <w:proofErr w:type="spellStart"/>
            <w:r w:rsidRPr="00425F85">
              <w:t>Building</w:t>
            </w:r>
            <w:proofErr w:type="spellEnd"/>
            <w:r w:rsidRPr="00425F85">
              <w:t xml:space="preserve"> </w:t>
            </w:r>
            <w:proofErr w:type="spellStart"/>
            <w:r w:rsidRPr="00425F85">
              <w:t>Solutions</w:t>
            </w:r>
            <w:proofErr w:type="spellEnd"/>
          </w:p>
        </w:tc>
        <w:tc>
          <w:tcPr>
            <w:tcW w:w="6095" w:type="dxa"/>
          </w:tcPr>
          <w:p w:rsidR="00C32F14" w:rsidRDefault="008800CE" w:rsidP="006052BE">
            <w:pPr>
              <w:jc w:val="both"/>
            </w:pPr>
            <w:r w:rsidRPr="00425F85">
              <w:t xml:space="preserve">Estas tecnologías aprovechan la conectividad </w:t>
            </w:r>
            <w:proofErr w:type="spellStart"/>
            <w:r w:rsidRPr="00425F85">
              <w:t>IoT</w:t>
            </w:r>
            <w:proofErr w:type="spellEnd"/>
            <w:r w:rsidRPr="00425F85">
              <w:t>, los sistemas interoperables, el intercambio de datos y los flujos de trabajo adaptativos para ayudar a transformar las entradas y la información en resultados procesables. Las mejoras clave incluyen</w:t>
            </w:r>
          </w:p>
        </w:tc>
        <w:tc>
          <w:tcPr>
            <w:tcW w:w="3969" w:type="dxa"/>
          </w:tcPr>
          <w:p w:rsidR="00C32F14" w:rsidRDefault="008800CE" w:rsidP="006052BE">
            <w:pPr>
              <w:jc w:val="both"/>
            </w:pPr>
            <w:r>
              <w:t>A</w:t>
            </w:r>
            <w:r w:rsidRPr="00425F85">
              <w:t>yudan a mantener a las personas seguras, mejorar la experiencia de construcción y proteger los datos y procesos que impulsan las operaciones</w:t>
            </w:r>
          </w:p>
        </w:tc>
      </w:tr>
      <w:tr w:rsidR="00C32F14" w:rsidTr="008800CE">
        <w:trPr>
          <w:trHeight w:val="450"/>
        </w:trPr>
        <w:tc>
          <w:tcPr>
            <w:tcW w:w="2547" w:type="dxa"/>
          </w:tcPr>
          <w:p w:rsidR="00C32F14" w:rsidRDefault="0043100F" w:rsidP="006052BE">
            <w:pPr>
              <w:jc w:val="both"/>
            </w:pPr>
            <w:r>
              <w:t xml:space="preserve">Seguridad </w:t>
            </w:r>
            <w:proofErr w:type="spellStart"/>
            <w:r>
              <w:t>logica</w:t>
            </w:r>
            <w:proofErr w:type="spellEnd"/>
          </w:p>
        </w:tc>
        <w:tc>
          <w:tcPr>
            <w:tcW w:w="2361" w:type="dxa"/>
          </w:tcPr>
          <w:p w:rsidR="0043100F" w:rsidRPr="0043100F" w:rsidRDefault="0043100F" w:rsidP="0043100F">
            <w:r w:rsidRPr="0043100F">
              <w:t> F-</w:t>
            </w:r>
            <w:proofErr w:type="spellStart"/>
            <w:r w:rsidRPr="0043100F">
              <w:t>Secure</w:t>
            </w:r>
            <w:proofErr w:type="spellEnd"/>
            <w:r w:rsidRPr="0043100F">
              <w:t xml:space="preserve"> Rapid </w:t>
            </w:r>
            <w:proofErr w:type="spellStart"/>
            <w:r w:rsidRPr="0043100F">
              <w:t>Detection</w:t>
            </w:r>
            <w:proofErr w:type="spellEnd"/>
            <w:r w:rsidRPr="0043100F">
              <w:t xml:space="preserve"> &amp; Response</w:t>
            </w:r>
          </w:p>
          <w:p w:rsidR="00C32F14" w:rsidRPr="003A0463" w:rsidRDefault="00C32F14" w:rsidP="006052BE">
            <w:pPr>
              <w:jc w:val="both"/>
            </w:pPr>
          </w:p>
        </w:tc>
        <w:tc>
          <w:tcPr>
            <w:tcW w:w="2317" w:type="dxa"/>
          </w:tcPr>
          <w:p w:rsidR="00C32F14" w:rsidRDefault="0043100F" w:rsidP="006052BE">
            <w:pPr>
              <w:jc w:val="both"/>
            </w:pPr>
            <w:r w:rsidRPr="0043100F">
              <w:t>F-</w:t>
            </w:r>
            <w:proofErr w:type="spellStart"/>
            <w:r w:rsidRPr="0043100F">
              <w:t>Secure</w:t>
            </w:r>
            <w:proofErr w:type="spellEnd"/>
            <w:r>
              <w:t xml:space="preserve"> </w:t>
            </w:r>
            <w:proofErr w:type="spellStart"/>
            <w:r>
              <w:t>corporation</w:t>
            </w:r>
            <w:proofErr w:type="spellEnd"/>
          </w:p>
        </w:tc>
        <w:tc>
          <w:tcPr>
            <w:tcW w:w="6095" w:type="dxa"/>
          </w:tcPr>
          <w:p w:rsidR="0043100F" w:rsidRDefault="0043100F" w:rsidP="0043100F">
            <w:pPr>
              <w:pStyle w:val="NormalWeb"/>
              <w:shd w:val="clear" w:color="auto" w:fill="FFFFFF"/>
              <w:spacing w:before="0" w:beforeAutospacing="0" w:after="150" w:afterAutospacing="0" w:line="330" w:lineRule="atLeast"/>
              <w:jc w:val="both"/>
              <w:rPr>
                <w:rFonts w:ascii="Arial" w:hAnsi="Arial" w:cs="Arial"/>
                <w:color w:val="212121"/>
              </w:rPr>
            </w:pPr>
            <w:r>
              <w:rPr>
                <w:rFonts w:ascii="Arial" w:hAnsi="Arial" w:cs="Arial"/>
                <w:color w:val="212121"/>
              </w:rPr>
              <w:t>plataforma de análisis de comportamiento e inteligencia artificial, formada por expertos F-</w:t>
            </w:r>
            <w:proofErr w:type="spellStart"/>
            <w:r>
              <w:rPr>
                <w:rFonts w:ascii="Arial" w:hAnsi="Arial" w:cs="Arial"/>
                <w:color w:val="212121"/>
              </w:rPr>
              <w:t>Secure</w:t>
            </w:r>
            <w:proofErr w:type="spellEnd"/>
            <w:r>
              <w:rPr>
                <w:rFonts w:ascii="Arial" w:hAnsi="Arial" w:cs="Arial"/>
                <w:color w:val="212121"/>
              </w:rPr>
              <w:t xml:space="preserve"> en ciberseguridad, detecta todas las amenazas conocidas y desconocidas. Nuestro machine </w:t>
            </w:r>
            <w:proofErr w:type="spellStart"/>
            <w:r>
              <w:rPr>
                <w:rFonts w:ascii="Arial" w:hAnsi="Arial" w:cs="Arial"/>
                <w:color w:val="212121"/>
              </w:rPr>
              <w:t>learningmejora</w:t>
            </w:r>
            <w:proofErr w:type="spellEnd"/>
            <w:r>
              <w:rPr>
                <w:rFonts w:ascii="Arial" w:hAnsi="Arial" w:cs="Arial"/>
                <w:color w:val="212121"/>
              </w:rPr>
              <w:t xml:space="preserve"> continuamente las detecciones al reconocer nuevas tácticas, técnicas y procedimientos emergentes con lanzamientos de procesos asociados, conexiones de red y tipos de aplicaciones.</w:t>
            </w:r>
          </w:p>
          <w:p w:rsidR="0043100F" w:rsidRDefault="0043100F" w:rsidP="0043100F">
            <w:pPr>
              <w:pStyle w:val="NormalWeb"/>
              <w:shd w:val="clear" w:color="auto" w:fill="FFFFFF"/>
              <w:spacing w:before="0" w:beforeAutospacing="0" w:after="150" w:afterAutospacing="0" w:line="330" w:lineRule="atLeast"/>
              <w:jc w:val="both"/>
              <w:rPr>
                <w:rFonts w:ascii="Arial" w:hAnsi="Arial" w:cs="Arial"/>
                <w:color w:val="212121"/>
              </w:rPr>
            </w:pPr>
            <w:r>
              <w:rPr>
                <w:rFonts w:ascii="Arial" w:hAnsi="Arial" w:cs="Arial"/>
                <w:color w:val="212121"/>
              </w:rPr>
              <w:t xml:space="preserve">Una vez que se detectan amenazas reales, nuestra solución EDR puede usar la automatización para detenerlas inmediatamente, también proporciona una visualización del ataque con todos los </w:t>
            </w:r>
            <w:proofErr w:type="spellStart"/>
            <w:r>
              <w:rPr>
                <w:rFonts w:ascii="Arial" w:hAnsi="Arial" w:cs="Arial"/>
                <w:color w:val="212121"/>
              </w:rPr>
              <w:t>endpoints</w:t>
            </w:r>
            <w:proofErr w:type="spellEnd"/>
            <w:r>
              <w:rPr>
                <w:rFonts w:ascii="Arial" w:hAnsi="Arial" w:cs="Arial"/>
                <w:color w:val="212121"/>
              </w:rPr>
              <w:t xml:space="preserve"> </w:t>
            </w:r>
            <w:r>
              <w:rPr>
                <w:rFonts w:ascii="Arial" w:hAnsi="Arial" w:cs="Arial"/>
                <w:color w:val="212121"/>
              </w:rPr>
              <w:lastRenderedPageBreak/>
              <w:t xml:space="preserve">impactados y orientación sobre cómo remediar la </w:t>
            </w:r>
            <w:bookmarkStart w:id="1" w:name="_GoBack"/>
            <w:bookmarkEnd w:id="1"/>
            <w:r>
              <w:rPr>
                <w:rFonts w:ascii="Arial" w:hAnsi="Arial" w:cs="Arial"/>
                <w:color w:val="212121"/>
              </w:rPr>
              <w:t>amenaza. Los socios de servicios EDR con certificación F-</w:t>
            </w:r>
            <w:proofErr w:type="spellStart"/>
            <w:r>
              <w:rPr>
                <w:rFonts w:ascii="Arial" w:hAnsi="Arial" w:cs="Arial"/>
                <w:color w:val="212121"/>
              </w:rPr>
              <w:t>Secure</w:t>
            </w:r>
            <w:proofErr w:type="spellEnd"/>
            <w:r>
              <w:rPr>
                <w:rFonts w:ascii="Arial" w:hAnsi="Arial" w:cs="Arial"/>
                <w:color w:val="212121"/>
              </w:rPr>
              <w:t>, junto con nuestros propios expertos en ciberseguridad, lo respaldarán para garantizar que sus recursos existentes sean suficientes para responder de manera rápida y efectiva.</w:t>
            </w:r>
          </w:p>
          <w:p w:rsidR="00C32F14" w:rsidRPr="0043100F" w:rsidRDefault="00C32F14" w:rsidP="0043100F">
            <w:pPr>
              <w:jc w:val="both"/>
              <w:rPr>
                <w:lang w:val="es-ES"/>
              </w:rPr>
            </w:pPr>
          </w:p>
        </w:tc>
        <w:tc>
          <w:tcPr>
            <w:tcW w:w="3969" w:type="dxa"/>
          </w:tcPr>
          <w:p w:rsidR="00C32F14" w:rsidRDefault="0043100F" w:rsidP="0043100F">
            <w:pPr>
              <w:jc w:val="both"/>
            </w:pPr>
            <w:r>
              <w:rPr>
                <w:shd w:val="clear" w:color="auto" w:fill="FFFFFF"/>
              </w:rPr>
              <w:lastRenderedPageBreak/>
              <w:t>brinda visibilidad total de su seguridad. Con nuestra avanzada identificación automática de amenazas, su equipo de TI o su proveedor de servicios administrados puede detectar y detener ataques dirigidos de manera rápida y eficiente.</w:t>
            </w:r>
            <w:sdt>
              <w:sdtPr>
                <w:rPr>
                  <w:shd w:val="clear" w:color="auto" w:fill="FFFFFF"/>
                </w:rPr>
                <w:id w:val="74484137"/>
                <w:citation/>
              </w:sdtPr>
              <w:sdtContent>
                <w:r w:rsidR="008C75A1">
                  <w:rPr>
                    <w:shd w:val="clear" w:color="auto" w:fill="FFFFFF"/>
                  </w:rPr>
                  <w:fldChar w:fldCharType="begin"/>
                </w:r>
                <w:r w:rsidR="008C75A1">
                  <w:rPr>
                    <w:shd w:val="clear" w:color="auto" w:fill="FFFFFF"/>
                  </w:rPr>
                  <w:instrText xml:space="preserve"> CITATION FSe19 \l 2058 </w:instrText>
                </w:r>
                <w:r w:rsidR="008C75A1">
                  <w:rPr>
                    <w:shd w:val="clear" w:color="auto" w:fill="FFFFFF"/>
                  </w:rPr>
                  <w:fldChar w:fldCharType="separate"/>
                </w:r>
                <w:r w:rsidR="008C75A1">
                  <w:rPr>
                    <w:noProof/>
                    <w:shd w:val="clear" w:color="auto" w:fill="FFFFFF"/>
                  </w:rPr>
                  <w:t xml:space="preserve"> </w:t>
                </w:r>
                <w:r w:rsidR="008C75A1" w:rsidRPr="008C75A1">
                  <w:rPr>
                    <w:noProof/>
                    <w:shd w:val="clear" w:color="auto" w:fill="FFFFFF"/>
                  </w:rPr>
                  <w:t>(Corporation, 2019)</w:t>
                </w:r>
                <w:r w:rsidR="008C75A1">
                  <w:rPr>
                    <w:shd w:val="clear" w:color="auto" w:fill="FFFFFF"/>
                  </w:rPr>
                  <w:fldChar w:fldCharType="end"/>
                </w:r>
              </w:sdtContent>
            </w:sdt>
          </w:p>
        </w:tc>
      </w:tr>
      <w:tr w:rsidR="0068076E" w:rsidTr="008800CE">
        <w:trPr>
          <w:trHeight w:val="450"/>
        </w:trPr>
        <w:tc>
          <w:tcPr>
            <w:tcW w:w="2547" w:type="dxa"/>
          </w:tcPr>
          <w:p w:rsidR="0068076E" w:rsidRDefault="00BE131A" w:rsidP="006052BE">
            <w:pPr>
              <w:jc w:val="both"/>
            </w:pPr>
            <w:r w:rsidRPr="00BE131A">
              <w:t>Realidad aumentada, Virtual y Mixta</w:t>
            </w:r>
          </w:p>
        </w:tc>
        <w:tc>
          <w:tcPr>
            <w:tcW w:w="2361" w:type="dxa"/>
          </w:tcPr>
          <w:p w:rsidR="0068076E" w:rsidRPr="00D47CBA" w:rsidRDefault="00CC4300" w:rsidP="006052BE">
            <w:pPr>
              <w:jc w:val="both"/>
            </w:pPr>
            <w:r w:rsidRPr="00B96EBD">
              <w:t xml:space="preserve">Art </w:t>
            </w:r>
            <w:proofErr w:type="spellStart"/>
            <w:r w:rsidRPr="00B96EBD">
              <w:t>Glass</w:t>
            </w:r>
            <w:proofErr w:type="spellEnd"/>
          </w:p>
        </w:tc>
        <w:tc>
          <w:tcPr>
            <w:tcW w:w="2317" w:type="dxa"/>
          </w:tcPr>
          <w:p w:rsidR="0068076E" w:rsidRDefault="00CC4300" w:rsidP="006052BE">
            <w:pPr>
              <w:jc w:val="both"/>
            </w:pPr>
            <w:r>
              <w:t xml:space="preserve">AR </w:t>
            </w:r>
            <w:proofErr w:type="spellStart"/>
            <w:r>
              <w:t>soft</w:t>
            </w:r>
            <w:proofErr w:type="spellEnd"/>
          </w:p>
        </w:tc>
        <w:tc>
          <w:tcPr>
            <w:tcW w:w="6095" w:type="dxa"/>
          </w:tcPr>
          <w:p w:rsidR="0068076E" w:rsidRDefault="00CC4300" w:rsidP="00CC4300">
            <w:pPr>
              <w:jc w:val="both"/>
            </w:pPr>
            <w:r w:rsidRPr="00B96EBD">
              <w:t>El visitante podrá obtener explicaciones acerca de las obras que más cautiven su atención adaptándolas al idioma que éste desee. Además, se cuenta con un potente sistema de localización gracias al cual el visitante podrá saber en qué punto del museo se encuentra en cualquier momento, conociendo la localización del nuevo punto de interés hacia el cual desee dirigirse dentro del museo.</w:t>
            </w:r>
          </w:p>
        </w:tc>
        <w:tc>
          <w:tcPr>
            <w:tcW w:w="3969" w:type="dxa"/>
          </w:tcPr>
          <w:p w:rsidR="0068076E" w:rsidRDefault="00D75B92" w:rsidP="00D75B92">
            <w:pPr>
              <w:jc w:val="both"/>
            </w:pPr>
            <w:r w:rsidRPr="00B96EBD">
              <w:t>Cuyo principal objetivo consiste en hacer que el usuario obtenga un nuevo concepto de experiencia de visita guiada mediante la visualización de contenidos virtuales basados en el vanguardista paradigma de la Realidad Aumentada.</w:t>
            </w:r>
          </w:p>
        </w:tc>
      </w:tr>
      <w:tr w:rsidR="0068076E" w:rsidTr="008800CE">
        <w:trPr>
          <w:trHeight w:val="450"/>
        </w:trPr>
        <w:tc>
          <w:tcPr>
            <w:tcW w:w="2547" w:type="dxa"/>
          </w:tcPr>
          <w:p w:rsidR="0068076E" w:rsidRDefault="004127DD" w:rsidP="006052BE">
            <w:pPr>
              <w:jc w:val="both"/>
            </w:pPr>
            <w:r w:rsidRPr="00BE131A">
              <w:t>Realidad aumentada, Virtual y Mixta</w:t>
            </w:r>
          </w:p>
        </w:tc>
        <w:tc>
          <w:tcPr>
            <w:tcW w:w="2361" w:type="dxa"/>
          </w:tcPr>
          <w:p w:rsidR="0068076E" w:rsidRPr="00D47CBA" w:rsidRDefault="004127DD" w:rsidP="006052BE">
            <w:pPr>
              <w:jc w:val="both"/>
            </w:pPr>
            <w:proofErr w:type="spellStart"/>
            <w:r w:rsidRPr="00B96EBD">
              <w:t>Minecraft</w:t>
            </w:r>
            <w:proofErr w:type="spellEnd"/>
            <w:r w:rsidRPr="00B96EBD">
              <w:t xml:space="preserve"> </w:t>
            </w:r>
            <w:proofErr w:type="spellStart"/>
            <w:r w:rsidRPr="00B96EBD">
              <w:t>Eart</w:t>
            </w:r>
            <w:proofErr w:type="spellEnd"/>
          </w:p>
        </w:tc>
        <w:tc>
          <w:tcPr>
            <w:tcW w:w="2317" w:type="dxa"/>
          </w:tcPr>
          <w:p w:rsidR="0068076E" w:rsidRDefault="004127DD" w:rsidP="006052BE">
            <w:pPr>
              <w:jc w:val="both"/>
            </w:pPr>
            <w:r w:rsidRPr="00B96EBD">
              <w:t>Microsoft</w:t>
            </w:r>
          </w:p>
        </w:tc>
        <w:tc>
          <w:tcPr>
            <w:tcW w:w="6095" w:type="dxa"/>
          </w:tcPr>
          <w:p w:rsidR="0068076E" w:rsidRDefault="004127DD" w:rsidP="004127DD">
            <w:r>
              <w:t>E</w:t>
            </w:r>
            <w:r w:rsidRPr="00B96EBD">
              <w:t xml:space="preserve">s un nuevo juego de realidad aumentada para dispositivos móviles que te permite llevar </w:t>
            </w:r>
            <w:proofErr w:type="spellStart"/>
            <w:r w:rsidRPr="00B96EBD">
              <w:t>Minecraft</w:t>
            </w:r>
            <w:proofErr w:type="spellEnd"/>
            <w:r w:rsidRPr="00B96EBD">
              <w:t xml:space="preserve"> al mundo real. Embárcate en emocionantes aventuras, realiza construcciones increíbles con tus amigos y entra en tus creaciones en tamaño real.</w:t>
            </w:r>
          </w:p>
        </w:tc>
        <w:tc>
          <w:tcPr>
            <w:tcW w:w="3969" w:type="dxa"/>
          </w:tcPr>
          <w:p w:rsidR="0068076E" w:rsidRDefault="004127DD" w:rsidP="006052BE">
            <w:pPr>
              <w:jc w:val="both"/>
            </w:pPr>
            <w:r>
              <w:t>Dispositivos móviles, como juego en dichos dispositivos.</w:t>
            </w:r>
          </w:p>
        </w:tc>
      </w:tr>
      <w:tr w:rsidR="00D75B92" w:rsidTr="008800CE">
        <w:trPr>
          <w:trHeight w:val="450"/>
        </w:trPr>
        <w:tc>
          <w:tcPr>
            <w:tcW w:w="2547" w:type="dxa"/>
          </w:tcPr>
          <w:p w:rsidR="00D75B92" w:rsidRDefault="00E62B0F" w:rsidP="006052BE">
            <w:pPr>
              <w:jc w:val="both"/>
            </w:pPr>
            <w:proofErr w:type="spellStart"/>
            <w:r w:rsidRPr="00E62B0F">
              <w:t>Busines</w:t>
            </w:r>
            <w:proofErr w:type="spellEnd"/>
            <w:r w:rsidRPr="00E62B0F">
              <w:t xml:space="preserve"> </w:t>
            </w:r>
            <w:proofErr w:type="spellStart"/>
            <w:r w:rsidRPr="00E62B0F">
              <w:t>Intelligence</w:t>
            </w:r>
            <w:proofErr w:type="spellEnd"/>
          </w:p>
        </w:tc>
        <w:tc>
          <w:tcPr>
            <w:tcW w:w="2361" w:type="dxa"/>
          </w:tcPr>
          <w:p w:rsidR="00D75B92" w:rsidRPr="00D47CBA" w:rsidRDefault="00E62B0F" w:rsidP="006052BE">
            <w:pPr>
              <w:jc w:val="both"/>
            </w:pPr>
            <w:proofErr w:type="spellStart"/>
            <w:r>
              <w:t>Periscope</w:t>
            </w:r>
            <w:proofErr w:type="spellEnd"/>
            <w:r>
              <w:t xml:space="preserve"> Data</w:t>
            </w:r>
          </w:p>
        </w:tc>
        <w:tc>
          <w:tcPr>
            <w:tcW w:w="2317" w:type="dxa"/>
          </w:tcPr>
          <w:p w:rsidR="00D75B92" w:rsidRDefault="00E62B0F" w:rsidP="006052BE">
            <w:pPr>
              <w:jc w:val="both"/>
            </w:pPr>
            <w:proofErr w:type="spellStart"/>
            <w:r>
              <w:t>Periscope</w:t>
            </w:r>
            <w:proofErr w:type="spellEnd"/>
            <w:r>
              <w:t xml:space="preserve"> Data</w:t>
            </w:r>
          </w:p>
        </w:tc>
        <w:tc>
          <w:tcPr>
            <w:tcW w:w="6095" w:type="dxa"/>
          </w:tcPr>
          <w:p w:rsidR="00D75B92" w:rsidRDefault="00E62B0F" w:rsidP="006052BE">
            <w:pPr>
              <w:jc w:val="both"/>
            </w:pPr>
            <w:r>
              <w:t>R</w:t>
            </w:r>
            <w:r w:rsidRPr="006F43A3">
              <w:t xml:space="preserve">eúne a los equipos de datos y sus partes interesadas en una única plataforma unificada, los equipos pueden </w:t>
            </w:r>
            <w:r w:rsidRPr="006F43A3">
              <w:lastRenderedPageBreak/>
              <w:t>moverse más rápido, tomar mejores decisiones y respaldar los resultados comerciales exitosos.</w:t>
            </w:r>
          </w:p>
        </w:tc>
        <w:tc>
          <w:tcPr>
            <w:tcW w:w="3969" w:type="dxa"/>
          </w:tcPr>
          <w:p w:rsidR="00D75B92" w:rsidRDefault="00E62B0F" w:rsidP="006052BE">
            <w:pPr>
              <w:jc w:val="both"/>
            </w:pPr>
            <w:r>
              <w:lastRenderedPageBreak/>
              <w:t>En empresas donde se maneja grandes cantidades de datos</w:t>
            </w:r>
          </w:p>
        </w:tc>
      </w:tr>
      <w:tr w:rsidR="00E62B0F" w:rsidTr="008800CE">
        <w:trPr>
          <w:trHeight w:val="450"/>
        </w:trPr>
        <w:tc>
          <w:tcPr>
            <w:tcW w:w="2547" w:type="dxa"/>
          </w:tcPr>
          <w:p w:rsidR="00E62B0F" w:rsidRDefault="00E62B0F" w:rsidP="00E62B0F">
            <w:pPr>
              <w:jc w:val="both"/>
            </w:pPr>
            <w:proofErr w:type="spellStart"/>
            <w:r w:rsidRPr="00E62B0F">
              <w:t>Busines</w:t>
            </w:r>
            <w:proofErr w:type="spellEnd"/>
            <w:r w:rsidRPr="00E62B0F">
              <w:t xml:space="preserve"> </w:t>
            </w:r>
            <w:proofErr w:type="spellStart"/>
            <w:r w:rsidRPr="00E62B0F">
              <w:t>Intelligence</w:t>
            </w:r>
            <w:proofErr w:type="spellEnd"/>
          </w:p>
        </w:tc>
        <w:tc>
          <w:tcPr>
            <w:tcW w:w="2361" w:type="dxa"/>
          </w:tcPr>
          <w:p w:rsidR="00E62B0F" w:rsidRDefault="00E62B0F" w:rsidP="00E62B0F">
            <w:r>
              <w:t xml:space="preserve">Data </w:t>
            </w:r>
            <w:proofErr w:type="spellStart"/>
            <w:r>
              <w:t>Storitelling</w:t>
            </w:r>
            <w:proofErr w:type="spellEnd"/>
          </w:p>
          <w:p w:rsidR="00E62B0F" w:rsidRPr="00D47CBA" w:rsidRDefault="00E62B0F" w:rsidP="00E62B0F">
            <w:pPr>
              <w:jc w:val="both"/>
            </w:pPr>
          </w:p>
        </w:tc>
        <w:tc>
          <w:tcPr>
            <w:tcW w:w="2317" w:type="dxa"/>
          </w:tcPr>
          <w:p w:rsidR="00E62B0F" w:rsidRDefault="00E62B0F" w:rsidP="00E62B0F">
            <w:r>
              <w:t xml:space="preserve">Data </w:t>
            </w:r>
            <w:proofErr w:type="spellStart"/>
            <w:r>
              <w:t>Storitelling</w:t>
            </w:r>
            <w:proofErr w:type="spellEnd"/>
          </w:p>
          <w:p w:rsidR="00E62B0F" w:rsidRDefault="00E62B0F" w:rsidP="00E62B0F">
            <w:pPr>
              <w:jc w:val="both"/>
            </w:pPr>
          </w:p>
        </w:tc>
        <w:tc>
          <w:tcPr>
            <w:tcW w:w="6095" w:type="dxa"/>
          </w:tcPr>
          <w:p w:rsidR="00E62B0F" w:rsidRDefault="00E62B0F" w:rsidP="00E62B0F">
            <w:pPr>
              <w:jc w:val="both"/>
            </w:pPr>
            <w:r>
              <w:rPr>
                <w:rFonts w:cs="Arial"/>
                <w:color w:val="222222"/>
                <w:shd w:val="clear" w:color="auto" w:fill="FFFFFF"/>
              </w:rPr>
              <w:t xml:space="preserve">Consiste en comunicar la información (los </w:t>
            </w:r>
            <w:proofErr w:type="spellStart"/>
            <w:r>
              <w:rPr>
                <w:rFonts w:cs="Arial"/>
                <w:color w:val="222222"/>
                <w:shd w:val="clear" w:color="auto" w:fill="FFFFFF"/>
              </w:rPr>
              <w:t>Insights</w:t>
            </w:r>
            <w:proofErr w:type="spellEnd"/>
            <w:r>
              <w:rPr>
                <w:rFonts w:cs="Arial"/>
                <w:color w:val="222222"/>
                <w:shd w:val="clear" w:color="auto" w:fill="FFFFFF"/>
              </w:rPr>
              <w:t>) o los resultados del análisis que hemos hecho sobre un conjunto de datos por medio de una narración.</w:t>
            </w:r>
          </w:p>
        </w:tc>
        <w:tc>
          <w:tcPr>
            <w:tcW w:w="3969" w:type="dxa"/>
          </w:tcPr>
          <w:p w:rsidR="00E62B0F" w:rsidRDefault="00E62B0F" w:rsidP="00E62B0F">
            <w:pPr>
              <w:jc w:val="both"/>
            </w:pPr>
            <w:r>
              <w:t>Reportes y presentaciones</w:t>
            </w:r>
          </w:p>
        </w:tc>
      </w:tr>
      <w:tr w:rsidR="00E62B0F" w:rsidTr="008800CE">
        <w:trPr>
          <w:trHeight w:val="450"/>
        </w:trPr>
        <w:tc>
          <w:tcPr>
            <w:tcW w:w="2547" w:type="dxa"/>
          </w:tcPr>
          <w:p w:rsidR="00E62B0F" w:rsidRDefault="00311374" w:rsidP="00E62B0F">
            <w:pPr>
              <w:jc w:val="both"/>
            </w:pPr>
            <w:r>
              <w:t xml:space="preserve">Cloud </w:t>
            </w:r>
            <w:proofErr w:type="spellStart"/>
            <w:r>
              <w:t>computing</w:t>
            </w:r>
            <w:proofErr w:type="spellEnd"/>
          </w:p>
        </w:tc>
        <w:tc>
          <w:tcPr>
            <w:tcW w:w="2361" w:type="dxa"/>
          </w:tcPr>
          <w:p w:rsidR="00E62B0F" w:rsidRPr="00311374" w:rsidRDefault="00311374" w:rsidP="003D2729">
            <w:pPr>
              <w:rPr>
                <w:rFonts w:cs="Arial"/>
                <w:sz w:val="28"/>
              </w:rPr>
            </w:pPr>
            <w:r>
              <w:rPr>
                <w:rFonts w:cs="Arial"/>
                <w:sz w:val="28"/>
              </w:rPr>
              <w:t>IBM Q SYSTEM ONE</w:t>
            </w:r>
            <w:r w:rsidR="003D2729">
              <w:rPr>
                <w:rFonts w:cs="Arial"/>
                <w:sz w:val="28"/>
              </w:rPr>
              <w:t xml:space="preserve"> (computadora cuántica)</w:t>
            </w:r>
          </w:p>
        </w:tc>
        <w:tc>
          <w:tcPr>
            <w:tcW w:w="2317" w:type="dxa"/>
          </w:tcPr>
          <w:p w:rsidR="00E62B0F" w:rsidRDefault="00311374" w:rsidP="00E62B0F">
            <w:pPr>
              <w:jc w:val="both"/>
            </w:pPr>
            <w:r>
              <w:t>IBM</w:t>
            </w:r>
          </w:p>
        </w:tc>
        <w:tc>
          <w:tcPr>
            <w:tcW w:w="6095" w:type="dxa"/>
          </w:tcPr>
          <w:p w:rsidR="00E62B0F" w:rsidRDefault="00311374" w:rsidP="00E62B0F">
            <w:pPr>
              <w:jc w:val="both"/>
            </w:pPr>
            <w:r w:rsidRPr="001D5517">
              <w:rPr>
                <w:rFonts w:cs="Arial"/>
              </w:rPr>
              <w:t>Los sistemas IBM Q están diseñados para algún día abordar problemas que actualmente se consideran de naturaleza demasiado compleja y exponencial para que los sistemas clásicos los manejen. Las aplicaciones futuras de la computación cuántica pueden incluir encontrar nuevas formas de modelar datos financieros y aislar factores de riesgo globales clave para hacer mejores inversiones, o encontrar la ruta óptima a través de sistemas globales para una logística ultra eficiente y optimizar las operaciones de flota para las entregas</w:t>
            </w:r>
            <w:r>
              <w:rPr>
                <w:rFonts w:cs="Arial"/>
              </w:rPr>
              <w:t>.</w:t>
            </w:r>
          </w:p>
        </w:tc>
        <w:tc>
          <w:tcPr>
            <w:tcW w:w="3969" w:type="dxa"/>
          </w:tcPr>
          <w:p w:rsidR="00E62B0F" w:rsidRDefault="00FF7AE6" w:rsidP="00E62B0F">
            <w:pPr>
              <w:jc w:val="both"/>
            </w:pPr>
            <w:r w:rsidRPr="001D5517">
              <w:rPr>
                <w:rFonts w:cs="Arial"/>
              </w:rPr>
              <w:t>permite que las computadoras cuánticas superconductoras aproximadas universales funcionen más allá de los límites del laboratorio de investigación</w:t>
            </w:r>
          </w:p>
        </w:tc>
      </w:tr>
      <w:tr w:rsidR="00AA799B" w:rsidTr="008800CE">
        <w:trPr>
          <w:trHeight w:val="450"/>
        </w:trPr>
        <w:tc>
          <w:tcPr>
            <w:tcW w:w="2547" w:type="dxa"/>
          </w:tcPr>
          <w:p w:rsidR="00AA799B" w:rsidRDefault="00AA799B" w:rsidP="00AA799B">
            <w:pPr>
              <w:jc w:val="both"/>
            </w:pPr>
            <w:r>
              <w:t xml:space="preserve">Cloud </w:t>
            </w:r>
            <w:proofErr w:type="spellStart"/>
            <w:r>
              <w:t>computing</w:t>
            </w:r>
            <w:proofErr w:type="spellEnd"/>
          </w:p>
        </w:tc>
        <w:tc>
          <w:tcPr>
            <w:tcW w:w="2361" w:type="dxa"/>
          </w:tcPr>
          <w:p w:rsidR="00AA799B" w:rsidRPr="003D2729" w:rsidRDefault="00AA799B" w:rsidP="003D2729">
            <w:pPr>
              <w:jc w:val="center"/>
              <w:rPr>
                <w:rFonts w:cs="Arial"/>
                <w:sz w:val="28"/>
              </w:rPr>
            </w:pPr>
            <w:r w:rsidRPr="001D5517">
              <w:rPr>
                <w:rFonts w:cs="Arial"/>
                <w:sz w:val="28"/>
              </w:rPr>
              <w:t>AMAZON S3</w:t>
            </w:r>
            <w:r w:rsidR="003D2729">
              <w:rPr>
                <w:rFonts w:cs="Arial"/>
                <w:sz w:val="28"/>
              </w:rPr>
              <w:t xml:space="preserve"> </w:t>
            </w:r>
          </w:p>
        </w:tc>
        <w:tc>
          <w:tcPr>
            <w:tcW w:w="2317" w:type="dxa"/>
          </w:tcPr>
          <w:p w:rsidR="00AA799B" w:rsidRDefault="005714F2" w:rsidP="00AA799B">
            <w:pPr>
              <w:jc w:val="both"/>
            </w:pPr>
            <w:r w:rsidRPr="001D5517">
              <w:rPr>
                <w:rFonts w:cs="Arial"/>
              </w:rPr>
              <w:t>Amazon</w:t>
            </w:r>
          </w:p>
        </w:tc>
        <w:tc>
          <w:tcPr>
            <w:tcW w:w="6095" w:type="dxa"/>
          </w:tcPr>
          <w:p w:rsidR="00AA799B" w:rsidRDefault="00C55F36" w:rsidP="00460031">
            <w:pPr>
              <w:jc w:val="both"/>
            </w:pPr>
            <w:r>
              <w:rPr>
                <w:rFonts w:cs="Arial"/>
              </w:rPr>
              <w:t>U</w:t>
            </w:r>
            <w:r w:rsidR="00460031" w:rsidRPr="001D5517">
              <w:rPr>
                <w:rFonts w:cs="Arial"/>
              </w:rPr>
              <w:t xml:space="preserve">n servicio de almacenamiento de objetos que ofrece escalabilidad, disponibilidad de datos, seguridad y rendimiento líderes en el sector. Esto significa que clientes de todos los tamaños y sectores pueden utilizarlo para almacenar y proteger cualquier cantidad de datos para diversos casos de uso, como sitios web, </w:t>
            </w:r>
            <w:r w:rsidR="00460031" w:rsidRPr="001D5517">
              <w:rPr>
                <w:rFonts w:cs="Arial"/>
              </w:rPr>
              <w:lastRenderedPageBreak/>
              <w:t xml:space="preserve">aplicaciones móviles, procesos de copia de seguridad y restauración, operaciones de archivado, aplicaciones empresariales, dispositivos </w:t>
            </w:r>
            <w:proofErr w:type="spellStart"/>
            <w:r w:rsidR="00460031" w:rsidRPr="001D5517">
              <w:rPr>
                <w:rFonts w:cs="Arial"/>
              </w:rPr>
              <w:t>iot</w:t>
            </w:r>
            <w:proofErr w:type="spellEnd"/>
            <w:r w:rsidR="00460031" w:rsidRPr="001D5517">
              <w:rPr>
                <w:rFonts w:cs="Arial"/>
              </w:rPr>
              <w:t xml:space="preserve"> y análisis de </w:t>
            </w:r>
            <w:proofErr w:type="spellStart"/>
            <w:r w:rsidR="00460031" w:rsidRPr="001D5517">
              <w:rPr>
                <w:rFonts w:cs="Arial"/>
              </w:rPr>
              <w:t>big</w:t>
            </w:r>
            <w:proofErr w:type="spellEnd"/>
            <w:r w:rsidR="00460031" w:rsidRPr="001D5517">
              <w:rPr>
                <w:rFonts w:cs="Arial"/>
              </w:rPr>
              <w:t xml:space="preserve"> data</w:t>
            </w:r>
          </w:p>
        </w:tc>
        <w:tc>
          <w:tcPr>
            <w:tcW w:w="3969" w:type="dxa"/>
          </w:tcPr>
          <w:p w:rsidR="00AA799B" w:rsidRDefault="008846AD" w:rsidP="00AA799B">
            <w:pPr>
              <w:jc w:val="both"/>
            </w:pPr>
            <w:r w:rsidRPr="001D5517">
              <w:rPr>
                <w:rFonts w:cs="Arial"/>
              </w:rPr>
              <w:lastRenderedPageBreak/>
              <w:t>Almacene los datos en Amazon S3 y protéjalos frente al acceso no autorizado con características de cifrado y herramientas de administración de acceso</w:t>
            </w:r>
            <w:r w:rsidR="00FF7AE6">
              <w:rPr>
                <w:rFonts w:cs="Arial"/>
              </w:rPr>
              <w:t>.</w:t>
            </w:r>
          </w:p>
        </w:tc>
      </w:tr>
      <w:tr w:rsidR="00B60D7C" w:rsidTr="008800CE">
        <w:trPr>
          <w:trHeight w:val="450"/>
        </w:trPr>
        <w:tc>
          <w:tcPr>
            <w:tcW w:w="2547" w:type="dxa"/>
          </w:tcPr>
          <w:p w:rsidR="00B60D7C" w:rsidRDefault="00B60D7C" w:rsidP="00B60D7C">
            <w:pPr>
              <w:jc w:val="both"/>
            </w:pPr>
            <w:r>
              <w:lastRenderedPageBreak/>
              <w:t>Almacenamiento</w:t>
            </w:r>
          </w:p>
        </w:tc>
        <w:tc>
          <w:tcPr>
            <w:tcW w:w="2361" w:type="dxa"/>
          </w:tcPr>
          <w:p w:rsidR="00491727" w:rsidRPr="001D5517" w:rsidRDefault="00491727" w:rsidP="00491727">
            <w:pPr>
              <w:jc w:val="center"/>
              <w:rPr>
                <w:rFonts w:cs="Arial"/>
              </w:rPr>
            </w:pPr>
            <w:r w:rsidRPr="001D5517">
              <w:rPr>
                <w:rFonts w:cs="Arial"/>
              </w:rPr>
              <w:t>ALL-IN-ONE</w:t>
            </w:r>
          </w:p>
          <w:p w:rsidR="00B60D7C" w:rsidRPr="001D5517" w:rsidRDefault="00B60D7C" w:rsidP="00B60D7C">
            <w:pPr>
              <w:jc w:val="center"/>
              <w:rPr>
                <w:rFonts w:cs="Arial"/>
                <w:sz w:val="28"/>
              </w:rPr>
            </w:pPr>
          </w:p>
        </w:tc>
        <w:tc>
          <w:tcPr>
            <w:tcW w:w="2317" w:type="dxa"/>
          </w:tcPr>
          <w:p w:rsidR="00B60D7C" w:rsidRPr="001D5517" w:rsidRDefault="003D2729" w:rsidP="00B60D7C">
            <w:pPr>
              <w:jc w:val="center"/>
              <w:rPr>
                <w:rFonts w:cs="Arial"/>
              </w:rPr>
            </w:pPr>
            <w:r>
              <w:rPr>
                <w:rFonts w:cs="Arial"/>
              </w:rPr>
              <w:t>Microsoft</w:t>
            </w:r>
          </w:p>
          <w:p w:rsidR="00B60D7C" w:rsidRDefault="00B60D7C" w:rsidP="00B60D7C">
            <w:pPr>
              <w:jc w:val="both"/>
            </w:pPr>
          </w:p>
        </w:tc>
        <w:tc>
          <w:tcPr>
            <w:tcW w:w="6095" w:type="dxa"/>
          </w:tcPr>
          <w:p w:rsidR="00B60D7C" w:rsidRPr="001D5517" w:rsidRDefault="00B60D7C" w:rsidP="00B60D7C">
            <w:pPr>
              <w:jc w:val="both"/>
              <w:rPr>
                <w:rFonts w:cs="Arial"/>
              </w:rPr>
            </w:pPr>
            <w:r>
              <w:rPr>
                <w:rFonts w:cs="Arial"/>
              </w:rPr>
              <w:t>U</w:t>
            </w:r>
            <w:r w:rsidRPr="001D5517">
              <w:rPr>
                <w:rFonts w:cs="Arial"/>
              </w:rPr>
              <w:t>n dispositivo del tamaño de una computadora de escritorio que lleva a cabo todo el proceso automáticamente. Primero, el software convierte los datos digitales en las cuatro bases de ADN (las letras A, T, C y G) que forman los bloques de construcción individuales del código genético.</w:t>
            </w:r>
          </w:p>
          <w:p w:rsidR="00B60D7C" w:rsidRDefault="00B60D7C" w:rsidP="00B60D7C">
            <w:pPr>
              <w:jc w:val="both"/>
              <w:rPr>
                <w:rFonts w:cs="Arial"/>
              </w:rPr>
            </w:pPr>
          </w:p>
        </w:tc>
        <w:tc>
          <w:tcPr>
            <w:tcW w:w="3969" w:type="dxa"/>
          </w:tcPr>
          <w:p w:rsidR="00B60D7C" w:rsidRDefault="00B60D7C" w:rsidP="00B60D7C">
            <w:pPr>
              <w:jc w:val="both"/>
            </w:pPr>
            <w:r w:rsidRPr="001D5517">
              <w:rPr>
                <w:rFonts w:cs="Arial"/>
              </w:rPr>
              <w:t>ADN de un disco duro que le permita cargar y descargar datos de una manera simple e intuitiva.</w:t>
            </w:r>
          </w:p>
        </w:tc>
      </w:tr>
      <w:tr w:rsidR="00491727" w:rsidTr="008800CE">
        <w:trPr>
          <w:trHeight w:val="450"/>
        </w:trPr>
        <w:tc>
          <w:tcPr>
            <w:tcW w:w="2547" w:type="dxa"/>
          </w:tcPr>
          <w:p w:rsidR="00491727" w:rsidRDefault="00491727" w:rsidP="00B60D7C">
            <w:pPr>
              <w:jc w:val="both"/>
            </w:pPr>
            <w:r>
              <w:t>Almacenamiento</w:t>
            </w:r>
          </w:p>
        </w:tc>
        <w:tc>
          <w:tcPr>
            <w:tcW w:w="2361" w:type="dxa"/>
          </w:tcPr>
          <w:p w:rsidR="00491727" w:rsidRPr="001D5517" w:rsidRDefault="00491727" w:rsidP="00491727">
            <w:pPr>
              <w:jc w:val="center"/>
              <w:rPr>
                <w:rFonts w:cs="Arial"/>
              </w:rPr>
            </w:pPr>
            <w:r w:rsidRPr="00491727">
              <w:rPr>
                <w:rFonts w:cs="Arial"/>
              </w:rPr>
              <w:t>EDGE COMPUTING</w:t>
            </w:r>
          </w:p>
        </w:tc>
        <w:tc>
          <w:tcPr>
            <w:tcW w:w="2317" w:type="dxa"/>
          </w:tcPr>
          <w:p w:rsidR="00491727" w:rsidRPr="001D5517" w:rsidRDefault="00491727" w:rsidP="00B60D7C">
            <w:pPr>
              <w:jc w:val="center"/>
              <w:rPr>
                <w:rFonts w:cs="Arial"/>
              </w:rPr>
            </w:pPr>
          </w:p>
        </w:tc>
        <w:tc>
          <w:tcPr>
            <w:tcW w:w="6095" w:type="dxa"/>
          </w:tcPr>
          <w:p w:rsidR="00491727" w:rsidRDefault="007475DE" w:rsidP="00B60D7C">
            <w:pPr>
              <w:jc w:val="both"/>
              <w:rPr>
                <w:rFonts w:cs="Arial"/>
              </w:rPr>
            </w:pPr>
            <w:r>
              <w:rPr>
                <w:rFonts w:cs="Arial"/>
              </w:rPr>
              <w:t>s</w:t>
            </w:r>
            <w:r w:rsidRPr="001D5517">
              <w:rPr>
                <w:rFonts w:cs="Arial"/>
              </w:rPr>
              <w:t xml:space="preserve">e refiere a cómo los procesos computacionales se realizan al interior de los dispositivos </w:t>
            </w:r>
            <w:proofErr w:type="spellStart"/>
            <w:r w:rsidRPr="001D5517">
              <w:rPr>
                <w:rFonts w:cs="Arial"/>
              </w:rPr>
              <w:t>edge</w:t>
            </w:r>
            <w:proofErr w:type="spellEnd"/>
            <w:r w:rsidRPr="001D5517">
              <w:rPr>
                <w:rFonts w:cs="Arial"/>
              </w:rPr>
              <w:t xml:space="preserve">: aparatos </w:t>
            </w:r>
            <w:r>
              <w:rPr>
                <w:rFonts w:cs="Arial"/>
              </w:rPr>
              <w:t>IOT</w:t>
            </w:r>
            <w:r w:rsidRPr="001D5517">
              <w:rPr>
                <w:rFonts w:cs="Arial"/>
              </w:rPr>
              <w:t xml:space="preserve"> con capacidad de análisis y procesamiento como </w:t>
            </w:r>
            <w:proofErr w:type="spellStart"/>
            <w:r w:rsidRPr="001D5517">
              <w:rPr>
                <w:rFonts w:cs="Arial"/>
              </w:rPr>
              <w:t>routers</w:t>
            </w:r>
            <w:proofErr w:type="spellEnd"/>
            <w:r w:rsidRPr="001D5517">
              <w:rPr>
                <w:rFonts w:cs="Arial"/>
              </w:rPr>
              <w:t xml:space="preserve"> o </w:t>
            </w:r>
            <w:proofErr w:type="spellStart"/>
            <w:r w:rsidRPr="001D5517">
              <w:rPr>
                <w:rFonts w:cs="Arial"/>
              </w:rPr>
              <w:t>gateways</w:t>
            </w:r>
            <w:proofErr w:type="spellEnd"/>
            <w:r w:rsidRPr="001D5517">
              <w:rPr>
                <w:rFonts w:cs="Arial"/>
              </w:rPr>
              <w:t xml:space="preserve"> de red, la «periferia» (</w:t>
            </w:r>
            <w:proofErr w:type="spellStart"/>
            <w:r w:rsidRPr="001D5517">
              <w:rPr>
                <w:rFonts w:cs="Arial"/>
              </w:rPr>
              <w:t>edge</w:t>
            </w:r>
            <w:proofErr w:type="spellEnd"/>
            <w:r w:rsidRPr="001D5517">
              <w:rPr>
                <w:rFonts w:cs="Arial"/>
              </w:rPr>
              <w:t>) de la red. Al procesar la información obtenida cerca de donde fue creada, sin tener que enviarla a centros de datos lejanos se reducen latencias, se consume un menor ancho de banda y se puede hacer análisis y evaluación inmediata de la información generada por los sensores y dispositivos.</w:t>
            </w:r>
          </w:p>
        </w:tc>
        <w:tc>
          <w:tcPr>
            <w:tcW w:w="3969" w:type="dxa"/>
          </w:tcPr>
          <w:p w:rsidR="00491727" w:rsidRPr="001D5517" w:rsidRDefault="00B47E90" w:rsidP="00B60D7C">
            <w:pPr>
              <w:jc w:val="both"/>
              <w:rPr>
                <w:rFonts w:cs="Arial"/>
              </w:rPr>
            </w:pPr>
            <w:r w:rsidRPr="001D5517">
              <w:rPr>
                <w:rFonts w:cs="Arial"/>
              </w:rPr>
              <w:t>Ejemplos de dichas aplicaciones son la telemedicina, la gestión de flotas de vehículos, los camiones auto-pilotados, el reconocimiento de voz, la realidad aumentada, entre otras.</w:t>
            </w:r>
          </w:p>
        </w:tc>
      </w:tr>
    </w:tbl>
    <w:p w:rsidR="00DB223E" w:rsidRPr="00DB223E" w:rsidRDefault="00DB223E" w:rsidP="006052BE">
      <w:pPr>
        <w:jc w:val="both"/>
      </w:pPr>
    </w:p>
    <w:sectPr w:rsidR="00DB223E" w:rsidRPr="00DB223E" w:rsidSect="007B0945">
      <w:headerReference w:type="default" r:id="rId7"/>
      <w:footerReference w:type="default" r:id="rId8"/>
      <w:pgSz w:w="20163" w:h="12242" w:orient="landscape" w:code="5"/>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6B4" w:rsidRDefault="001A36B4" w:rsidP="00DB223E">
      <w:pPr>
        <w:spacing w:after="0" w:line="240" w:lineRule="auto"/>
      </w:pPr>
      <w:r>
        <w:separator/>
      </w:r>
    </w:p>
  </w:endnote>
  <w:endnote w:type="continuationSeparator" w:id="0">
    <w:p w:rsidR="001A36B4" w:rsidRDefault="001A36B4" w:rsidP="00DB2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23E" w:rsidRDefault="00DB22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6B4" w:rsidRDefault="001A36B4" w:rsidP="00DB223E">
      <w:pPr>
        <w:spacing w:after="0" w:line="240" w:lineRule="auto"/>
      </w:pPr>
      <w:r>
        <w:separator/>
      </w:r>
    </w:p>
  </w:footnote>
  <w:footnote w:type="continuationSeparator" w:id="0">
    <w:p w:rsidR="001A36B4" w:rsidRDefault="001A36B4" w:rsidP="00DB2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23E" w:rsidRDefault="00DB223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0A"/>
    <w:rsid w:val="00127774"/>
    <w:rsid w:val="00143F27"/>
    <w:rsid w:val="00151CF7"/>
    <w:rsid w:val="001A36B4"/>
    <w:rsid w:val="001C4C9E"/>
    <w:rsid w:val="001F7583"/>
    <w:rsid w:val="002B07E3"/>
    <w:rsid w:val="00311374"/>
    <w:rsid w:val="00313648"/>
    <w:rsid w:val="003647DC"/>
    <w:rsid w:val="003D2729"/>
    <w:rsid w:val="004127DD"/>
    <w:rsid w:val="0043100F"/>
    <w:rsid w:val="00435232"/>
    <w:rsid w:val="00460031"/>
    <w:rsid w:val="00475512"/>
    <w:rsid w:val="00491727"/>
    <w:rsid w:val="004E6A20"/>
    <w:rsid w:val="005714F2"/>
    <w:rsid w:val="005D32CE"/>
    <w:rsid w:val="005F0A26"/>
    <w:rsid w:val="005F65AD"/>
    <w:rsid w:val="006052BE"/>
    <w:rsid w:val="00611EC5"/>
    <w:rsid w:val="0068076E"/>
    <w:rsid w:val="00685113"/>
    <w:rsid w:val="007475DE"/>
    <w:rsid w:val="00751DB8"/>
    <w:rsid w:val="007B0945"/>
    <w:rsid w:val="0080012B"/>
    <w:rsid w:val="00835A52"/>
    <w:rsid w:val="008800CE"/>
    <w:rsid w:val="008846AD"/>
    <w:rsid w:val="008C75A1"/>
    <w:rsid w:val="00955C45"/>
    <w:rsid w:val="009C720A"/>
    <w:rsid w:val="009D0F58"/>
    <w:rsid w:val="009D4A54"/>
    <w:rsid w:val="009F4B12"/>
    <w:rsid w:val="00A00B74"/>
    <w:rsid w:val="00AA799B"/>
    <w:rsid w:val="00B47E90"/>
    <w:rsid w:val="00B60D7C"/>
    <w:rsid w:val="00B85762"/>
    <w:rsid w:val="00B908E1"/>
    <w:rsid w:val="00BE131A"/>
    <w:rsid w:val="00C32F14"/>
    <w:rsid w:val="00C55F36"/>
    <w:rsid w:val="00CC4300"/>
    <w:rsid w:val="00D62729"/>
    <w:rsid w:val="00D75B92"/>
    <w:rsid w:val="00DB223E"/>
    <w:rsid w:val="00E20E1C"/>
    <w:rsid w:val="00E537FC"/>
    <w:rsid w:val="00E62B0F"/>
    <w:rsid w:val="00EB5CC1"/>
    <w:rsid w:val="00F13E85"/>
    <w:rsid w:val="00FF7AE6"/>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15E8"/>
  <w15:chartTrackingRefBased/>
  <w15:docId w15:val="{E5EE524F-13F5-4887-B8ED-4354EF16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12B"/>
    <w:pPr>
      <w:spacing w:line="360" w:lineRule="auto"/>
    </w:pPr>
    <w:rPr>
      <w:rFonts w:ascii="Arial" w:hAnsi="Arial"/>
      <w:sz w:val="24"/>
    </w:rPr>
  </w:style>
  <w:style w:type="paragraph" w:styleId="Ttulo1">
    <w:name w:val="heading 1"/>
    <w:basedOn w:val="Normal"/>
    <w:next w:val="Normal"/>
    <w:link w:val="Ttulo1Car"/>
    <w:autoRedefine/>
    <w:uiPriority w:val="9"/>
    <w:qFormat/>
    <w:rsid w:val="001C4C9E"/>
    <w:pPr>
      <w:keepNext/>
      <w:keepLines/>
      <w:spacing w:before="240" w:after="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autoRedefine/>
    <w:uiPriority w:val="9"/>
    <w:unhideWhenUsed/>
    <w:qFormat/>
    <w:rsid w:val="0043100F"/>
    <w:pPr>
      <w:keepNext/>
      <w:keepLines/>
      <w:shd w:val="clear" w:color="auto" w:fill="FFFFFF"/>
      <w:spacing w:before="40" w:after="120" w:line="480" w:lineRule="atLeast"/>
      <w:jc w:val="center"/>
      <w:outlineLvl w:val="1"/>
    </w:pPr>
    <w:rPr>
      <w:rFonts w:eastAsiaTheme="majorEastAsia" w:cs="Arial"/>
      <w:bCs/>
      <w:color w:val="21212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C9E"/>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43100F"/>
    <w:rPr>
      <w:rFonts w:ascii="Arial" w:eastAsiaTheme="majorEastAsia" w:hAnsi="Arial" w:cs="Arial"/>
      <w:bCs/>
      <w:color w:val="212121"/>
      <w:sz w:val="24"/>
      <w:szCs w:val="24"/>
      <w:shd w:val="clear" w:color="auto" w:fill="FFFFFF"/>
    </w:rPr>
  </w:style>
  <w:style w:type="table" w:styleId="Tablaconcuadrcula">
    <w:name w:val="Table Grid"/>
    <w:basedOn w:val="Tablanormal"/>
    <w:uiPriority w:val="39"/>
    <w:rsid w:val="00DB2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B22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223E"/>
    <w:rPr>
      <w:rFonts w:ascii="Arial" w:hAnsi="Arial"/>
      <w:sz w:val="24"/>
    </w:rPr>
  </w:style>
  <w:style w:type="paragraph" w:styleId="Piedepgina">
    <w:name w:val="footer"/>
    <w:basedOn w:val="Normal"/>
    <w:link w:val="PiedepginaCar"/>
    <w:uiPriority w:val="99"/>
    <w:unhideWhenUsed/>
    <w:rsid w:val="00DB22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223E"/>
    <w:rPr>
      <w:rFonts w:ascii="Arial" w:hAnsi="Arial"/>
      <w:sz w:val="24"/>
    </w:rPr>
  </w:style>
  <w:style w:type="paragraph" w:styleId="TtuloTDC">
    <w:name w:val="TOC Heading"/>
    <w:basedOn w:val="Ttulo1"/>
    <w:next w:val="Normal"/>
    <w:uiPriority w:val="39"/>
    <w:unhideWhenUsed/>
    <w:qFormat/>
    <w:rsid w:val="00835A52"/>
    <w:pPr>
      <w:spacing w:line="259" w:lineRule="auto"/>
      <w:jc w:val="left"/>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835A52"/>
    <w:pPr>
      <w:spacing w:after="100"/>
    </w:pPr>
  </w:style>
  <w:style w:type="character" w:styleId="Hipervnculo">
    <w:name w:val="Hyperlink"/>
    <w:basedOn w:val="Fuentedeprrafopredeter"/>
    <w:uiPriority w:val="99"/>
    <w:unhideWhenUsed/>
    <w:rsid w:val="00835A52"/>
    <w:rPr>
      <w:color w:val="0563C1" w:themeColor="hyperlink"/>
      <w:u w:val="single"/>
    </w:rPr>
  </w:style>
  <w:style w:type="paragraph" w:styleId="NormalWeb">
    <w:name w:val="Normal (Web)"/>
    <w:basedOn w:val="Normal"/>
    <w:uiPriority w:val="99"/>
    <w:semiHidden/>
    <w:unhideWhenUsed/>
    <w:rsid w:val="00E20E1C"/>
    <w:pPr>
      <w:spacing w:before="100" w:beforeAutospacing="1" w:after="100" w:afterAutospacing="1" w:line="240" w:lineRule="auto"/>
    </w:pPr>
    <w:rPr>
      <w:rFonts w:ascii="Times New Roman" w:eastAsia="Times New Roman" w:hAnsi="Times New Roman" w:cs="Times New Roman"/>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803030">
      <w:bodyDiv w:val="1"/>
      <w:marLeft w:val="0"/>
      <w:marRight w:val="0"/>
      <w:marTop w:val="0"/>
      <w:marBottom w:val="0"/>
      <w:divBdr>
        <w:top w:val="none" w:sz="0" w:space="0" w:color="auto"/>
        <w:left w:val="none" w:sz="0" w:space="0" w:color="auto"/>
        <w:bottom w:val="none" w:sz="0" w:space="0" w:color="auto"/>
        <w:right w:val="none" w:sz="0" w:space="0" w:color="auto"/>
      </w:divBdr>
    </w:div>
    <w:div w:id="516962387">
      <w:bodyDiv w:val="1"/>
      <w:marLeft w:val="0"/>
      <w:marRight w:val="0"/>
      <w:marTop w:val="0"/>
      <w:marBottom w:val="0"/>
      <w:divBdr>
        <w:top w:val="none" w:sz="0" w:space="0" w:color="auto"/>
        <w:left w:val="none" w:sz="0" w:space="0" w:color="auto"/>
        <w:bottom w:val="none" w:sz="0" w:space="0" w:color="auto"/>
        <w:right w:val="none" w:sz="0" w:space="0" w:color="auto"/>
      </w:divBdr>
    </w:div>
    <w:div w:id="802310927">
      <w:bodyDiv w:val="1"/>
      <w:marLeft w:val="0"/>
      <w:marRight w:val="0"/>
      <w:marTop w:val="0"/>
      <w:marBottom w:val="0"/>
      <w:divBdr>
        <w:top w:val="none" w:sz="0" w:space="0" w:color="auto"/>
        <w:left w:val="none" w:sz="0" w:space="0" w:color="auto"/>
        <w:bottom w:val="none" w:sz="0" w:space="0" w:color="auto"/>
        <w:right w:val="none" w:sz="0" w:space="0" w:color="auto"/>
      </w:divBdr>
    </w:div>
    <w:div w:id="986402257">
      <w:bodyDiv w:val="1"/>
      <w:marLeft w:val="0"/>
      <w:marRight w:val="0"/>
      <w:marTop w:val="0"/>
      <w:marBottom w:val="0"/>
      <w:divBdr>
        <w:top w:val="none" w:sz="0" w:space="0" w:color="auto"/>
        <w:left w:val="none" w:sz="0" w:space="0" w:color="auto"/>
        <w:bottom w:val="none" w:sz="0" w:space="0" w:color="auto"/>
        <w:right w:val="none" w:sz="0" w:space="0" w:color="auto"/>
      </w:divBdr>
    </w:div>
    <w:div w:id="13531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MS19</b:Tag>
    <b:SourceType>InternetSite</b:SourceType>
    <b:Guid>{92AD63C9-39A9-4DF6-8BE1-6FDA2E6E9414}</b:Guid>
    <b:Author>
      <b:Author>
        <b:NameList>
          <b:Person>
            <b:Last>M'S</b:Last>
          </b:Person>
        </b:NameList>
      </b:Author>
    </b:Author>
    <b:Title>hytera</b:Title>
    <b:InternetSiteTitle>hytera</b:InternetSiteTitle>
    <b:Year>2019</b:Year>
    <b:Month>septiembre</b:Month>
    <b:Day>10</b:Day>
    <b:URL>https://www.revistamasseguridad.com.mx/desarrolla-hid-global-servicio-la-pirateria/</b:URL>
    <b:RefOrder>1</b:RefOrder>
  </b:Source>
  <b:Source>
    <b:Tag>FSe19</b:Tag>
    <b:SourceType>InternetSite</b:SourceType>
    <b:Guid>{8B01FEF2-40F3-4586-8BCC-5A1D262BD050}</b:Guid>
    <b:Author>
      <b:Author>
        <b:NameList>
          <b:Person>
            <b:Last>Corporation</b:Last>
            <b:First>F-Secure</b:First>
          </b:Person>
        </b:NameList>
      </b:Author>
    </b:Author>
    <b:Title>F-Secure </b:Title>
    <b:InternetSiteTitle>F-Secure</b:InternetSiteTitle>
    <b:Year>2019</b:Year>
    <b:Month>Mayo</b:Month>
    <b:Day>29</b:Day>
    <b:URL>https://www.f-secure.com/es_MX/web/business_mx/rapid-detection-and-response</b:URL>
    <b:RefOrder>2</b:RefOrder>
  </b:Source>
</b:Sources>
</file>

<file path=customXml/itemProps1.xml><?xml version="1.0" encoding="utf-8"?>
<ds:datastoreItem xmlns:ds="http://schemas.openxmlformats.org/officeDocument/2006/customXml" ds:itemID="{A4987CE7-63A3-4BEE-A872-D2E3EB0F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1291</Words>
  <Characters>7102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Cecy Tapia</cp:lastModifiedBy>
  <cp:revision>2</cp:revision>
  <dcterms:created xsi:type="dcterms:W3CDTF">2019-09-12T17:34:00Z</dcterms:created>
  <dcterms:modified xsi:type="dcterms:W3CDTF">2019-09-12T17:34:00Z</dcterms:modified>
</cp:coreProperties>
</file>