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706DC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706DC8" w:rsidRPr="00E472FF" w:rsidRDefault="000A4003" w:rsidP="00E464FD">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00706DC8" w:rsidRPr="00E472FF">
              <w:rPr>
                <w:rFonts w:eastAsia="Times New Roman" w:cs="Arial"/>
                <w:color w:val="000000"/>
                <w:szCs w:val="24"/>
                <w:lang w:eastAsia="es-MX"/>
              </w:rPr>
              <w:t>.0</w:t>
            </w:r>
          </w:p>
        </w:tc>
        <w:tc>
          <w:tcPr>
            <w:tcW w:w="1707" w:type="dxa"/>
            <w:noWrap/>
          </w:tcPr>
          <w:p w:rsidR="00706DC8" w:rsidRPr="00E472FF" w:rsidRDefault="00706DC8"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FJHH</w:t>
            </w:r>
          </w:p>
        </w:tc>
        <w:tc>
          <w:tcPr>
            <w:tcW w:w="1894" w:type="dxa"/>
            <w:noWrap/>
          </w:tcPr>
          <w:p w:rsidR="00706DC8" w:rsidRPr="00E472FF" w:rsidRDefault="001F42A0"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706DC8" w:rsidRPr="00E472FF" w:rsidRDefault="001F42A0"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706DC8" w:rsidRPr="00E472FF" w:rsidRDefault="000A4003" w:rsidP="0087608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03</w:t>
            </w:r>
            <w:r w:rsidR="00706DC8" w:rsidRPr="00E472FF">
              <w:rPr>
                <w:rFonts w:eastAsia="Times New Roman" w:cs="Arial"/>
                <w:color w:val="000000"/>
                <w:szCs w:val="24"/>
                <w:lang w:eastAsia="es-MX"/>
              </w:rPr>
              <w:t>/</w:t>
            </w:r>
            <w:r>
              <w:rPr>
                <w:rFonts w:eastAsia="Times New Roman" w:cs="Arial"/>
                <w:color w:val="000000"/>
                <w:szCs w:val="24"/>
                <w:lang w:eastAsia="es-MX"/>
              </w:rPr>
              <w:t>Junio</w:t>
            </w:r>
            <w:r w:rsidR="00706DC8" w:rsidRPr="00E472FF">
              <w:rPr>
                <w:rFonts w:eastAsia="Times New Roman" w:cs="Arial"/>
                <w:color w:val="000000"/>
                <w:szCs w:val="24"/>
                <w:lang w:eastAsia="es-MX"/>
              </w:rPr>
              <w:t>/2019</w:t>
            </w:r>
          </w:p>
        </w:tc>
        <w:tc>
          <w:tcPr>
            <w:tcW w:w="2213" w:type="dxa"/>
            <w:noWrap/>
          </w:tcPr>
          <w:p w:rsidR="00706DC8" w:rsidRPr="00E472FF" w:rsidRDefault="000A4003" w:rsidP="000A4003">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bookmarkStart w:id="0" w:name="_GoBack"/>
      <w:bookmarkEnd w:id="0"/>
    </w:p>
    <w:p w:rsidR="007467E4" w:rsidRDefault="004B1C30" w:rsidP="00C86A88">
      <w:pPr>
        <w:tabs>
          <w:tab w:val="left" w:pos="5387"/>
        </w:tabs>
        <w:ind w:left="708"/>
        <w:jc w:val="center"/>
        <w:rPr>
          <w:b/>
        </w:rPr>
      </w:pPr>
      <w:r>
        <w:rPr>
          <w:b/>
        </w:rPr>
        <w:lastRenderedPageBreak/>
        <w:t>COSTOS</w:t>
      </w:r>
    </w:p>
    <w:p w:rsidR="00C57C15" w:rsidRDefault="00C57C15" w:rsidP="00C86A88">
      <w:pPr>
        <w:tabs>
          <w:tab w:val="left" w:pos="5387"/>
        </w:tabs>
        <w:ind w:left="708"/>
        <w:jc w:val="center"/>
        <w:rPr>
          <w:b/>
        </w:rPr>
      </w:pPr>
    </w:p>
    <w:p w:rsidR="00C57C15" w:rsidRPr="004B1C30" w:rsidRDefault="00C57C15" w:rsidP="00C86A88">
      <w:pPr>
        <w:tabs>
          <w:tab w:val="left" w:pos="5387"/>
        </w:tabs>
        <w:ind w:left="708"/>
        <w:jc w:val="center"/>
        <w:rPr>
          <w:b/>
        </w:rPr>
      </w:pPr>
    </w:p>
    <w:tbl>
      <w:tblPr>
        <w:tblW w:w="0" w:type="auto"/>
        <w:tblInd w:w="-10" w:type="dxa"/>
        <w:tblLayout w:type="fixed"/>
        <w:tblCellMar>
          <w:left w:w="70" w:type="dxa"/>
          <w:right w:w="70" w:type="dxa"/>
        </w:tblCellMar>
        <w:tblLook w:val="04A0" w:firstRow="1" w:lastRow="0" w:firstColumn="1" w:lastColumn="0" w:noHBand="0" w:noVBand="1"/>
      </w:tblPr>
      <w:tblGrid>
        <w:gridCol w:w="1080"/>
        <w:gridCol w:w="5629"/>
      </w:tblGrid>
      <w:tr w:rsidR="000A4003" w:rsidRPr="00931497" w:rsidTr="00931497">
        <w:trPr>
          <w:trHeight w:val="327"/>
        </w:trPr>
        <w:tc>
          <w:tcPr>
            <w:tcW w:w="1080" w:type="dxa"/>
            <w:tcBorders>
              <w:top w:val="single" w:sz="8" w:space="0" w:color="auto"/>
              <w:left w:val="single" w:sz="8" w:space="0" w:color="auto"/>
              <w:bottom w:val="single" w:sz="8" w:space="0" w:color="auto"/>
              <w:right w:val="nil"/>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93149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93149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93149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93149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93149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p w:rsidR="00C86A88" w:rsidRDefault="00C86A88" w:rsidP="00DB5069">
      <w:pPr>
        <w:tabs>
          <w:tab w:val="left" w:pos="5387"/>
        </w:tabs>
      </w:pPr>
    </w:p>
    <w:p w:rsidR="00C86A88" w:rsidRDefault="00C86A88" w:rsidP="00DB5069">
      <w:pPr>
        <w:tabs>
          <w:tab w:val="left" w:pos="5387"/>
        </w:tabs>
      </w:pP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C57C15">
        <w:trPr>
          <w:trHeight w:val="671"/>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1.9  Project </w:t>
            </w:r>
            <w:proofErr w:type="spellStart"/>
            <w:r w:rsidRPr="00931497">
              <w:rPr>
                <w:rFonts w:eastAsia="Times New Roman" w:cs="Arial"/>
                <w:color w:val="000000"/>
                <w:sz w:val="20"/>
                <w:szCs w:val="20"/>
                <w:lang w:eastAsia="zh-TW"/>
              </w:rPr>
              <w:t>Charter</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0A4003" w:rsidRPr="000A4003" w:rsidTr="00C57C15">
        <w:trPr>
          <w:trHeight w:val="334"/>
        </w:trPr>
        <w:tc>
          <w:tcPr>
            <w:tcW w:w="1975" w:type="dxa"/>
            <w:tcBorders>
              <w:top w:val="nil"/>
              <w:left w:val="single" w:sz="8" w:space="0" w:color="auto"/>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217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50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00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58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79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75"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hideMark/>
          </w:tcPr>
          <w:p w:rsidR="000A4003" w:rsidRPr="00931497" w:rsidRDefault="000A4003" w:rsidP="000A4003">
            <w:pPr>
              <w:spacing w:after="0" w:line="240" w:lineRule="auto"/>
              <w:jc w:val="right"/>
              <w:rPr>
                <w:rFonts w:eastAsia="Times New Roman" w:cs="Arial"/>
                <w:color w:val="000000"/>
                <w:sz w:val="20"/>
                <w:szCs w:val="20"/>
                <w:lang w:eastAsia="zh-TW"/>
              </w:rPr>
            </w:pPr>
            <w:r w:rsidRPr="00931497">
              <w:rPr>
                <w:rFonts w:eastAsia="Times New Roman" w:cs="Arial"/>
                <w:color w:val="000000"/>
                <w:sz w:val="20"/>
                <w:szCs w:val="20"/>
                <w:lang w:eastAsia="zh-TW"/>
              </w:rPr>
              <w:t>$60,143.40</w:t>
            </w:r>
          </w:p>
        </w:tc>
      </w:tr>
    </w:tbl>
    <w:p w:rsidR="00C86A88" w:rsidRDefault="00C86A88" w:rsidP="00DB5069">
      <w:pPr>
        <w:tabs>
          <w:tab w:val="left" w:pos="5387"/>
        </w:tabs>
      </w:pPr>
    </w:p>
    <w:p w:rsidR="000A4003" w:rsidRDefault="000A4003" w:rsidP="00DB5069">
      <w:pPr>
        <w:tabs>
          <w:tab w:val="left" w:pos="5387"/>
        </w:tabs>
      </w:pPr>
    </w:p>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Tener un control de las ventas generadas por mes permite a la empresa administrar la información y concentrarse en el factor ganancias y factor perdidas.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931497"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$86,865.48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E84D79" w:rsidP="00E84D79">
            <w:pPr>
              <w:spacing w:line="360" w:lineRule="auto"/>
              <w:rPr>
                <w:rFonts w:cs="Arial"/>
                <w:color w:val="000000"/>
              </w:rPr>
            </w:pPr>
            <w:r>
              <w:rPr>
                <w:rFonts w:cs="Arial"/>
                <w:color w:val="000000"/>
              </w:rPr>
              <w:t>1.444306119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End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D0D" w:rsidRDefault="00F31D0D" w:rsidP="00932DB4">
      <w:pPr>
        <w:spacing w:after="0" w:line="240" w:lineRule="auto"/>
      </w:pPr>
      <w:r>
        <w:separator/>
      </w:r>
    </w:p>
  </w:endnote>
  <w:endnote w:type="continuationSeparator" w:id="0">
    <w:p w:rsidR="00F31D0D" w:rsidRDefault="00F31D0D"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D0D" w:rsidRDefault="00F31D0D" w:rsidP="00932DB4">
      <w:pPr>
        <w:spacing w:after="0" w:line="240" w:lineRule="auto"/>
      </w:pPr>
      <w:r>
        <w:separator/>
      </w:r>
    </w:p>
  </w:footnote>
  <w:footnote w:type="continuationSeparator" w:id="0">
    <w:p w:rsidR="00F31D0D" w:rsidRDefault="00F31D0D"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1A2A9D">
      <w:rPr>
        <w:noProof/>
        <w:lang w:eastAsia="zh-TW"/>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A4003" w:rsidRDefault="000A400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987C57">
    <w:pPr>
      <w:pStyle w:val="Encabezado"/>
      <w:rPr>
        <w:noProof/>
        <w:lang w:eastAsia="es-MX"/>
      </w:rPr>
    </w:pPr>
    <w:r w:rsidRPr="001A2A9D">
      <w:rPr>
        <w:noProof/>
        <w:lang w:eastAsia="zh-TW"/>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4003" w:rsidRPr="00B53799">
      <w:rPr>
        <w:noProof/>
        <w:lang w:eastAsia="zh-TW"/>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003">
      <w:rPr>
        <w:noProof/>
        <w:lang w:eastAsia="zh-TW"/>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000A4003" w:rsidRPr="001A2A9D">
      <w:rPr>
        <w:noProof/>
        <w:lang w:eastAsia="zh-TW"/>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B53799">
      <w:rPr>
        <w:noProof/>
        <w:lang w:eastAsia="zh-TW"/>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84735"/>
    <w:rsid w:val="0029219C"/>
    <w:rsid w:val="00297023"/>
    <w:rsid w:val="002C66DF"/>
    <w:rsid w:val="002D621D"/>
    <w:rsid w:val="002D7B16"/>
    <w:rsid w:val="002F048F"/>
    <w:rsid w:val="002F06B0"/>
    <w:rsid w:val="00336FB3"/>
    <w:rsid w:val="00340844"/>
    <w:rsid w:val="003428F7"/>
    <w:rsid w:val="00343013"/>
    <w:rsid w:val="00347BFD"/>
    <w:rsid w:val="00353A71"/>
    <w:rsid w:val="0036091B"/>
    <w:rsid w:val="00366D84"/>
    <w:rsid w:val="00373B0E"/>
    <w:rsid w:val="003927F7"/>
    <w:rsid w:val="003A47BE"/>
    <w:rsid w:val="003C123B"/>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EF9"/>
    <w:rsid w:val="00500753"/>
    <w:rsid w:val="00532191"/>
    <w:rsid w:val="00554CE3"/>
    <w:rsid w:val="00566C8A"/>
    <w:rsid w:val="00571340"/>
    <w:rsid w:val="0058439A"/>
    <w:rsid w:val="00585620"/>
    <w:rsid w:val="005B1C81"/>
    <w:rsid w:val="005E2163"/>
    <w:rsid w:val="005F1892"/>
    <w:rsid w:val="00611210"/>
    <w:rsid w:val="0061488A"/>
    <w:rsid w:val="00626DDD"/>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6663"/>
    <w:rsid w:val="00792995"/>
    <w:rsid w:val="007A6A5A"/>
    <w:rsid w:val="007C2DD4"/>
    <w:rsid w:val="007D314B"/>
    <w:rsid w:val="007E21F6"/>
    <w:rsid w:val="007E7A42"/>
    <w:rsid w:val="00804CC9"/>
    <w:rsid w:val="00804D88"/>
    <w:rsid w:val="00824F1A"/>
    <w:rsid w:val="008306CA"/>
    <w:rsid w:val="00844939"/>
    <w:rsid w:val="00857536"/>
    <w:rsid w:val="00865C74"/>
    <w:rsid w:val="0087608B"/>
    <w:rsid w:val="00876ED0"/>
    <w:rsid w:val="00877A9E"/>
    <w:rsid w:val="00877EB7"/>
    <w:rsid w:val="00887E34"/>
    <w:rsid w:val="00892CBC"/>
    <w:rsid w:val="00897F59"/>
    <w:rsid w:val="008A5CF7"/>
    <w:rsid w:val="008D0113"/>
    <w:rsid w:val="008D53A7"/>
    <w:rsid w:val="008E149B"/>
    <w:rsid w:val="008E323C"/>
    <w:rsid w:val="00910E99"/>
    <w:rsid w:val="00915EE4"/>
    <w:rsid w:val="00930B7D"/>
    <w:rsid w:val="00931497"/>
    <w:rsid w:val="00932DB4"/>
    <w:rsid w:val="00934150"/>
    <w:rsid w:val="00941847"/>
    <w:rsid w:val="00977920"/>
    <w:rsid w:val="00987C24"/>
    <w:rsid w:val="00987C57"/>
    <w:rsid w:val="009912C6"/>
    <w:rsid w:val="009B1F75"/>
    <w:rsid w:val="009B5128"/>
    <w:rsid w:val="009C2B57"/>
    <w:rsid w:val="009C5FDD"/>
    <w:rsid w:val="009D22E9"/>
    <w:rsid w:val="009D25BA"/>
    <w:rsid w:val="009F0F33"/>
    <w:rsid w:val="009F1977"/>
    <w:rsid w:val="00A0751E"/>
    <w:rsid w:val="00A178E5"/>
    <w:rsid w:val="00A22810"/>
    <w:rsid w:val="00A31B42"/>
    <w:rsid w:val="00A35D0E"/>
    <w:rsid w:val="00A667BE"/>
    <w:rsid w:val="00A7225C"/>
    <w:rsid w:val="00A843F2"/>
    <w:rsid w:val="00AA4419"/>
    <w:rsid w:val="00AC6623"/>
    <w:rsid w:val="00AE4BC5"/>
    <w:rsid w:val="00AE5EBA"/>
    <w:rsid w:val="00B00FDC"/>
    <w:rsid w:val="00B02DCB"/>
    <w:rsid w:val="00B03AEC"/>
    <w:rsid w:val="00B36478"/>
    <w:rsid w:val="00B51D1B"/>
    <w:rsid w:val="00B53799"/>
    <w:rsid w:val="00B83EE3"/>
    <w:rsid w:val="00B848F9"/>
    <w:rsid w:val="00B90F9A"/>
    <w:rsid w:val="00BC1B6C"/>
    <w:rsid w:val="00BD1B44"/>
    <w:rsid w:val="00C1492B"/>
    <w:rsid w:val="00C234B6"/>
    <w:rsid w:val="00C57C15"/>
    <w:rsid w:val="00C8190F"/>
    <w:rsid w:val="00C86A88"/>
    <w:rsid w:val="00CB1F0A"/>
    <w:rsid w:val="00CC3E1B"/>
    <w:rsid w:val="00CD3EB7"/>
    <w:rsid w:val="00CE40F0"/>
    <w:rsid w:val="00CE7034"/>
    <w:rsid w:val="00D05890"/>
    <w:rsid w:val="00D61A1D"/>
    <w:rsid w:val="00D61F34"/>
    <w:rsid w:val="00D75484"/>
    <w:rsid w:val="00DA0FB2"/>
    <w:rsid w:val="00DB0638"/>
    <w:rsid w:val="00DB5069"/>
    <w:rsid w:val="00DC5E23"/>
    <w:rsid w:val="00E116B6"/>
    <w:rsid w:val="00E126E0"/>
    <w:rsid w:val="00E2412E"/>
    <w:rsid w:val="00E464FD"/>
    <w:rsid w:val="00E619CD"/>
    <w:rsid w:val="00E63D62"/>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3A25A7ED-4DB3-4D5C-8DF0-55F0A713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8</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115</cp:revision>
  <dcterms:created xsi:type="dcterms:W3CDTF">2019-05-29T00:47:00Z</dcterms:created>
  <dcterms:modified xsi:type="dcterms:W3CDTF">2019-06-26T00:40:00Z</dcterms:modified>
</cp:coreProperties>
</file>