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4E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4E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4E2D0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55DCE" w:rsidP="0005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4E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E2D0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E2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4E2D0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4E2D03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4E2D03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bookmarkStart w:id="0" w:name="_GoBack"/>
            <w:bookmarkEnd w:id="0"/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  <w:p w:rsidR="00E95002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CA0415">
              <w:rPr>
                <w:rFonts w:eastAsia="Tahoma" w:cs="Arial"/>
                <w:szCs w:val="18"/>
              </w:rPr>
              <w:t>Programador)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(tester)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lastRenderedPageBreak/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>Francisco Javier Hernández Hernández</w:t>
            </w:r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D03" w:rsidRDefault="004E2D03" w:rsidP="00932DB4">
      <w:pPr>
        <w:spacing w:after="0" w:line="240" w:lineRule="auto"/>
      </w:pPr>
      <w:r>
        <w:separator/>
      </w:r>
    </w:p>
  </w:endnote>
  <w:endnote w:type="continuationSeparator" w:id="0">
    <w:p w:rsidR="004E2D03" w:rsidRDefault="004E2D0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E2D03" w:rsidRDefault="004E2D03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62CC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05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05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E2D03" w:rsidRDefault="004E2D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D03" w:rsidRDefault="004E2D03" w:rsidP="00932DB4">
      <w:pPr>
        <w:spacing w:after="0" w:line="240" w:lineRule="auto"/>
      </w:pPr>
      <w:r>
        <w:separator/>
      </w:r>
    </w:p>
  </w:footnote>
  <w:footnote w:type="continuationSeparator" w:id="0">
    <w:p w:rsidR="004E2D03" w:rsidRDefault="004E2D0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D03" w:rsidRDefault="004E2D0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7043C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E2D03" w:rsidRDefault="004E2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80562"/>
    <w:rsid w:val="002B0217"/>
    <w:rsid w:val="002C66DF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4E2D03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34B"/>
    <w:rsid w:val="00AA4419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E598A"/>
    <w:rsid w:val="00E95002"/>
    <w:rsid w:val="00EC3431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5:chartTrackingRefBased/>
  <w15:docId w15:val="{F40FA163-D92B-43FC-8D05-EB9583A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166A-8357-444B-9D4D-4F076695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</cp:revision>
  <dcterms:created xsi:type="dcterms:W3CDTF">2019-05-28T03:00:00Z</dcterms:created>
  <dcterms:modified xsi:type="dcterms:W3CDTF">2019-06-16T00:00:00Z</dcterms:modified>
</cp:coreProperties>
</file>