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b/>
          <w:bCs/>
          <w:sz w:val="56"/>
          <w:szCs w:val="56"/>
        </w:rPr>
        <w:t xml:space="preserve">Validation Report</w:t>
      </w:r>
    </w:p>
    <w:p>
      <w:pPr>
        <w:spacing w:before="120"/>
        <w:jc w:val="center"/>
      </w:pPr>
      <w:r>
        <w:rPr>
          <w:sz w:val="32"/>
          <w:szCs w:val="32"/>
        </w:rPr>
        <w:t xml:space="preserve">ECRMDP Data Quality &amp; Integrity Checks</w:t>
      </w:r>
    </w:p>
    <w:p/>
    <w:p/>
    <w:p/>
    <w:p/>
    <w:p>
      <w:pPr>
        <w:jc w:val="center"/>
      </w:pPr>
      <w:r>
        <w:rPr>
          <w:sz w:val="28"/>
          <w:szCs w:val="28"/>
        </w:rPr>
        <w:t xml:space="preserve">Team Members:</w:t>
      </w:r>
      <w:r>
        <w:rPr>
          <w:sz w:val="28"/>
          <w:szCs w:val="28"/>
        </w:rPr>
        <w:br/>
        <w:t xml:space="preserve">Sriviknesh T</w:t>
      </w:r>
      <w:r>
        <w:rPr>
          <w:sz w:val="28"/>
          <w:szCs w:val="28"/>
        </w:rPr>
        <w:br/>
        <w:t xml:space="preserve">Sharan S M</w:t>
      </w:r>
      <w:r>
        <w:rPr>
          <w:sz w:val="28"/>
          <w:szCs w:val="28"/>
        </w:rPr>
        <w:br/>
        <w:t xml:space="preserve">Siddharth P</w:t>
      </w:r>
      <w:r>
        <w:rPr>
          <w:sz w:val="28"/>
          <w:szCs w:val="28"/>
        </w:rPr>
        <w:br/>
        <w:t xml:space="preserve">School of Computer Science and Engineering</w:t>
      </w:r>
      <w:r>
        <w:rPr>
          <w:sz w:val="28"/>
          <w:szCs w:val="28"/>
        </w:rPr>
        <w:br/>
        <w:t xml:space="preserve">VIT Chennai</w:t>
      </w:r>
    </w:p>
    <w:p>
      <w:r>
        <w:br w:type="page"/>
      </w:r>
    </w:p>
    <w:p>
      <w:pPr>
        <w:pStyle w:val="Heading1"/>
        <w:spacing w:after="120" w:before="300"/>
      </w:pPr>
      <w:r>
        <w:t xml:space="preserve">1. Executive Summary</w:t>
      </w:r>
    </w:p>
    <w:p>
      <w:pPr>
        <w:spacing w:after="120" w:line="276"/>
      </w:pPr>
      <w:r>
        <w:t xml:space="preserve">Every layer of ECRMDP is reconciled: </w:t>
      </w:r>
      <w:r>
        <w:rPr>
          <w:rFonts w:ascii="Consolas" w:cs="Consolas" w:eastAsia="Consolas" w:hAnsi="Consolas"/>
          <w:sz w:val="20"/>
          <w:szCs w:val="20"/>
        </w:rPr>
        <w:t xml:space="preserve">python/reconciliation.py</w:t>
      </w:r>
      <w:r>
        <w:t xml:space="preserve"> ran 121 checks and recorded </w:t>
      </w:r>
      <w:r>
        <w:rPr>
          <w:b/>
          <w:bCs/>
        </w:rPr>
        <w:t xml:space="preserve">110 PASS, 0 FAIL and 11 INFO</w:t>
      </w:r>
      <w:r>
        <w:t xml:space="preserve">. The 11 INFO results are expected outcomes, not defects. In addition, all 24 Power BI KPIs matched their SQL-tested reference values, and the master ETL job ends with a post-load check that fails the run if any warehouse table is empty or a required key is missing.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3415"/>
        <w:gridCol w:w="2440"/>
      </w:tblGrid>
      <w:tr>
        <w:trPr>
          <w:tblHeader/>
        </w:trP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Validation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Layer reconciliation (raw, bronze, silver, warehouse)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python/reconciliation.py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110 PASS, 0 FAIL, 11 INFO</w:t>
            </w:r>
          </w:p>
        </w:tc>
      </w:tr>
      <w:t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Post-load check after every ETL run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sql/post_load_check.sql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(last step of the master job)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Passes when all 13 tables are loaded and keys are filled</w:t>
            </w:r>
          </w:p>
        </w:tc>
      </w:tr>
      <w:t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data quality profiling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silver/cleansing/data_quality.py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data_profiling.py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Findings recorded as DQ1–DQ6</w:t>
            </w:r>
          </w:p>
        </w:tc>
      </w:tr>
      <w:t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KPI reconciliation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Power BI measures vs Business Glossary SQL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 of 24 KPIs match</w:t>
            </w:r>
          </w:p>
        </w:tc>
      </w:tr>
      <w:tr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 schema deployment</w:t>
            </w:r>
          </w:p>
        </w:tc>
        <w:tc>
          <w:tcPr>
            <w:tcW w:type="dxa" w:w="3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Actions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deploy.yml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Fails on any SQL error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detailed results are in </w:t>
      </w:r>
      <w:r>
        <w:rPr>
          <w:rFonts w:ascii="Consolas" w:cs="Consolas" w:eastAsia="Consolas" w:hAnsi="Consolas"/>
          <w:sz w:val="20"/>
          <w:szCs w:val="20"/>
        </w:rPr>
        <w:t xml:space="preserve">docs/ECRMDP_Validation_Report.xlsx</w:t>
      </w:r>
      <w:r>
        <w:t xml:space="preserve"> (Summary and Checks sheets), generated by the reconciliation script on 10 October 2026 against </w:t>
      </w:r>
      <w:r>
        <w:rPr>
          <w:rFonts w:ascii="Consolas" w:cs="Consolas" w:eastAsia="Consolas" w:hAnsi="Consolas"/>
          <w:sz w:val="20"/>
          <w:szCs w:val="20"/>
        </w:rPr>
        <w:t xml:space="preserve">ecrmdp_dw</w:t>
      </w:r>
      <w:r>
        <w:t xml:space="preserve"> on localhost:5432.</w:t>
      </w:r>
    </w:p>
    <w:p>
      <w:pPr>
        <w:pStyle w:val="Heading1"/>
        <w:spacing w:after="120" w:before="300"/>
      </w:pPr>
      <w:r>
        <w:t xml:space="preserve">2. Python-Based Profiling and Data Quality (Sprint 2)</w:t>
      </w:r>
    </w:p>
    <w:p>
      <w:pPr>
        <w:spacing w:after="120" w:line="276"/>
      </w:pPr>
      <w:r>
        <w:t xml:space="preserve">Three scripts in </w:t>
      </w:r>
      <w:r>
        <w:rPr>
          <w:rFonts w:ascii="Consolas" w:cs="Consolas" w:eastAsia="Consolas" w:hAnsi="Consolas"/>
          <w:sz w:val="20"/>
          <w:szCs w:val="20"/>
        </w:rPr>
        <w:t xml:space="preserve">silver/cleansing/</w:t>
      </w:r>
      <w:r>
        <w:t xml:space="preserve"> assess and clean the raw source files: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7074"/>
      </w:tblGrid>
      <w:tr>
        <w:trPr>
          <w:tblHeader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Script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data_profiling.py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each of the 10 sources: shape, columns, data types, missing values (count and %), duplicate rows, unique values per column, numeric statistics, categorical value counts and a sample of rows.</w:t>
            </w:r>
          </w:p>
        </w:tc>
      </w:tr>
      <w:t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data_quality.py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 counts per source; duplicate rows; duplicate primary keys; foreign-key checks between sources; range checks (age 18–100, lead score 0–100, probability 0–100, support and contact ratings 1–5); deals whose close date is before the engage date.</w:t>
            </w:r>
          </w:p>
        </w:tc>
      </w:tr>
      <w:t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data_cleaning.py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Removes duplicate rows and duplicate business IDs; standardises text (trim, case); parses dates; fills missing income, age, lead score and probability with the median; writes the 10 silver files.</w:t>
            </w:r>
          </w:p>
        </w:tc>
      </w:tr>
    </w:tbl>
    <w:p>
      <w:pPr>
        <w:spacing w:after="120"/>
      </w:pPr>
    </w:p>
    <w:p>
      <w:pPr>
        <w:pStyle w:val="Heading1"/>
        <w:spacing w:after="120" w:before="300"/>
      </w:pPr>
      <w:r>
        <w:t xml:space="preserve">3. SQL-Based Validation</w:t>
      </w:r>
    </w:p>
    <w:p>
      <w:pPr>
        <w:spacing w:after="120" w:line="276"/>
      </w:pPr>
      <w:r>
        <w:t xml:space="preserve">The scripts in </w:t>
      </w:r>
      <w:r>
        <w:rPr>
          <w:rFonts w:ascii="Consolas" w:cs="Consolas" w:eastAsia="Consolas" w:hAnsi="Consolas"/>
          <w:sz w:val="20"/>
          <w:szCs w:val="20"/>
        </w:rPr>
        <w:t xml:space="preserve">sql/</w:t>
      </w:r>
      <w:r>
        <w:t xml:space="preserve"> validate both the bronze staging tables and the gold warehouse.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7"/>
        <w:gridCol w:w="1098"/>
        <w:gridCol w:w="5001"/>
      </w:tblGrid>
      <w:tr>
        <w:trPr>
          <w:tblHeader/>
        </w:trP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Script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Runs on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database_table_validation.sql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Bronze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Lists all tables in the public schema and counts rows in the 10 staging tables</w:t>
            </w:r>
          </w:p>
        </w:tc>
      </w:tr>
      <w:t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null_validation.sql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Bronze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Null counts for every column of every staging table</w:t>
            </w:r>
          </w:p>
        </w:tc>
      </w:tr>
      <w:t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duplicate_primary_key validation.sql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Bronze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business IDs (customer, lead, opportunity, deal, campaign and others)</w:t>
            </w:r>
          </w:p>
        </w:tc>
      </w:tr>
      <w:t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relationship_validation.sql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Bronze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Unmatched references between sources, e.g. leads whose customer_id is not in customer master, opportunities whose lead_id is not in lead management</w:t>
            </w:r>
          </w:p>
        </w:tc>
      </w:tr>
      <w:t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gold_validation.sql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sections: customer, product, sales-agent, campaign and date key integrity; null check; duplicate checks on dimensions and facts; fact–dimension relationship check</w:t>
            </w:r>
          </w:p>
        </w:tc>
      </w:tr>
      <w:tr>
        <w:tc>
          <w:tcPr>
            <w:tcW w:type="dxa" w:w="2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post_load_check.sql</w:t>
            </w:r>
          </w:p>
        </w:tc>
        <w:tc>
          <w:tcPr>
            <w:tcW w:type="dxa" w:w="1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5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Fails if any of the 13 star-schema tables is empty or any required surrogate key is null (fact_support.date_key excluded: DQ5)</w:t>
            </w:r>
          </w:p>
        </w:tc>
      </w:tr>
    </w:tbl>
    <w:p>
      <w:pPr>
        <w:spacing w:after="120"/>
      </w:pPr>
    </w:p>
    <w:p>
      <w:pPr>
        <w:pStyle w:val="Heading1"/>
        <w:spacing w:after="120" w:before="300"/>
      </w:pPr>
      <w:r>
        <w:t xml:space="preserve">4. Layer Reconciliation Results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reconciliation.py</w:t>
      </w:r>
      <w:r>
        <w:t xml:space="preserve"> compares each layer with the one before it. Row counts must match exactly; money and numeric totals must match within ±0.01; business IDs must match in both directions.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504"/>
        <w:gridCol w:w="1504"/>
        <w:gridCol w:w="1505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 checked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FAIL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Raw → Bronze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Raw → Silver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Silver → Warehouse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Key integrity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110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4.1 What each layer 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7074"/>
      </w:tblGrid>
      <w:tr>
        <w:trPr>
          <w:tblHeader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Checks</w:t>
            </w:r>
          </w:p>
        </w:tc>
      </w:tr>
      <w:t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Raw → Bronze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 count for all 10 sources; column totals for income, age, lead score, opportunity value, close value, acquisition cost, ROI, resolution hours, duration minutes, session minutes, impressions and clicks</w:t>
            </w:r>
          </w:p>
        </w:tc>
      </w:tr>
      <w:t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Raw → Silver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 removed by cleansing for each source (reported, not judged)</w:t>
            </w:r>
          </w:p>
        </w:tc>
      </w:tr>
      <w:t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Silver → Warehouse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 counts; the same column totals; business IDs missing from the warehouse and warehouse IDs not in silver; distinct products and agents vs dimension rows; 731 calendar rows in dim_date; no duplicate date keys</w:t>
            </w:r>
          </w:p>
        </w:tc>
      </w:tr>
      <w:t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Key integrity</w:t>
            </w:r>
          </w:p>
        </w:tc>
        <w:tc>
          <w:tcPr>
            <w:tcW w:type="dxa" w:w="7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and orphan surrogate keys for every fact–dimension pair (customer, sales agent, product, campaign, date)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4.2 The 11 INFO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 × Raw → Silver:</w:t>
      </w:r>
      <w:r>
        <w:t xml:space="preserve"> cleansing removed 0 duplicate rows from each source (2,000 kept, 0 removed).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 × Key integrity:</w:t>
      </w:r>
      <w:r>
        <w:t xml:space="preserve"> all 2,000 </w:t>
      </w:r>
      <w:r>
        <w:rPr>
          <w:rFonts w:ascii="Consolas" w:cs="Consolas" w:eastAsia="Consolas" w:hAnsi="Consolas"/>
          <w:sz w:val="20"/>
          <w:szCs w:val="20"/>
        </w:rPr>
        <w:t xml:space="preserve">fact_support.date_key</w:t>
      </w:r>
      <w:r>
        <w:t xml:space="preserve"> values are empty, because the support source has no ticket date (DQ5).</w:t>
      </w:r>
    </w:p>
    <w:p>
      <w:pPr>
        <w:pStyle w:val="Heading1"/>
        <w:spacing w:after="120" w:before="300"/>
      </w:pPr>
      <w:r>
        <w:t xml:space="preserve">5. Pentaho ETL Execution Validation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pentaho/jobs/ECRMDP_Master_ETL.kjb</w:t>
      </w:r>
      <w:r>
        <w:t xml:space="preserve"> runs reset → 10 bronze loads → dim_date → 4 dimensions → 8 facts → post-load checks. Every hop follows only on success, so any failing transformation stops the job, and the final post-load check fails the job if the warehouse is incomplete. The transformations write to the Pentaho log through Write to log steps (25 in total).</w:t>
      </w:r>
    </w:p>
    <w:p>
      <w:pPr>
        <w:spacing w:after="120" w:line="276"/>
      </w:pPr>
      <w:r>
        <w:t xml:space="preserve">The transformations do not redirect failed rows to error tables; a failure stops the run instead. Row-level error handling is a possible future improvement.</w:t>
      </w:r>
    </w:p>
    <w:p>
      <w:pPr>
        <w:pStyle w:val="Heading1"/>
        <w:spacing w:after="120" w:before="300"/>
      </w:pPr>
      <w:r>
        <w:t xml:space="preserve">6. Dashboard KPI Reconciliation</w:t>
      </w:r>
    </w:p>
    <w:p>
      <w:pPr>
        <w:spacing w:after="120" w:line="276"/>
      </w:pPr>
      <w:r>
        <w:t xml:space="preserve">Each of the 24 KPIs in </w:t>
      </w:r>
      <w:r>
        <w:rPr>
          <w:rFonts w:ascii="Consolas" w:cs="Consolas" w:eastAsia="Consolas" w:hAnsi="Consolas"/>
          <w:sz w:val="20"/>
          <w:szCs w:val="20"/>
        </w:rPr>
        <w:t xml:space="preserve">metadata/ECRMDP_Business_Glossary.xlsx</w:t>
      </w:r>
      <w:r>
        <w:t xml:space="preserve"> has a SQL formula tested against the warehouse and a reference value. Before building the dashboard pages, every Power BI DAX measure was placed on a card and compared with its reference value. All 24 matched, for example: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1"/>
        <w:gridCol w:w="2758"/>
        <w:gridCol w:w="2507"/>
      </w:tblGrid>
      <w:tr>
        <w:trPr>
          <w:tblHeader/>
        </w:trPr>
        <w:tc>
          <w:tcPr>
            <w:tcW w:type="dxa" w:w="3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W w:type="dxa" w:w="2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Reference value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Power BI</w:t>
            </w:r>
          </w:p>
        </w:tc>
      </w:tr>
      <w:tr>
        <w:tc>
          <w:tcPr>
            <w:tcW w:type="dxa" w:w="3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K01 Total customers</w:t>
            </w:r>
          </w:p>
        </w:tc>
        <w:tc>
          <w:tcPr>
            <w:tcW w:type="dxa" w:w="2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2K</w:t>
            </w:r>
          </w:p>
        </w:tc>
      </w:tr>
      <w:tr>
        <w:tc>
          <w:tcPr>
            <w:tcW w:type="dxa" w:w="3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K08 Deal win rate</w:t>
            </w:r>
          </w:p>
        </w:tc>
        <w:tc>
          <w:tcPr>
            <w:tcW w:type="dxa" w:w="2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50.0%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50.0%</w:t>
            </w:r>
          </w:p>
        </w:tc>
      </w:tr>
      <w:tr>
        <w:tc>
          <w:tcPr>
            <w:tcW w:type="dxa" w:w="3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K09 Won revenue</w:t>
            </w:r>
          </w:p>
        </w:tc>
        <w:tc>
          <w:tcPr>
            <w:tcW w:type="dxa" w:w="2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58,523,409.29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58.52M</w:t>
            </w:r>
          </w:p>
        </w:tc>
      </w:tr>
      <w:tr>
        <w:tc>
          <w:tcPr>
            <w:tcW w:type="dxa" w:w="3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K06 Open pipeline</w:t>
            </w:r>
          </w:p>
        </w:tc>
        <w:tc>
          <w:tcPr>
            <w:tcW w:type="dxa" w:w="2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209,008,202.45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209.01M</w:t>
            </w:r>
          </w:p>
        </w:tc>
      </w:tr>
      <w:tr>
        <w:tc>
          <w:tcPr>
            <w:tcW w:type="dxa" w:w="3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K03 Customer 360 coverage</w:t>
            </w:r>
          </w:p>
        </w:tc>
        <w:tc>
          <w:tcPr>
            <w:tcW w:type="dxa" w:w="2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99.9%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99.90%</w:t>
            </w:r>
          </w:p>
        </w:tc>
      </w:tr>
      <w:tr>
        <w:tc>
          <w:tcPr>
            <w:tcW w:type="dxa" w:w="3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K19 Support CSAT</w:t>
            </w:r>
          </w:p>
        </w:tc>
        <w:tc>
          <w:tcPr>
            <w:tcW w:type="dxa" w:w="27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3.02</w:t>
            </w:r>
          </w:p>
        </w:tc>
        <w:tc>
          <w:tcPr>
            <w:tcW w:type="dxa" w:w="2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3.02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comparison page is kept in the report file as the hidden page "KPI Test".</w:t>
      </w:r>
    </w:p>
    <w:p>
      <w:pPr>
        <w:pStyle w:val="Heading1"/>
        <w:spacing w:after="120" w:before="300"/>
      </w:pPr>
      <w:r>
        <w:t xml:space="preserve">7. Automated Deployment Validation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.github/workflows/deploy.yml</w:t>
      </w:r>
      <w:r>
        <w:t xml:space="preserve"> runs on GitHub Actions on every push to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: it starts a fresh PostgreSQL 16 database, deploys </w:t>
      </w:r>
      <w:r>
        <w:rPr>
          <w:rFonts w:ascii="Consolas" w:cs="Consolas" w:eastAsia="Consolas" w:hAnsi="Consolas"/>
          <w:sz w:val="20"/>
          <w:szCs w:val="20"/>
        </w:rPr>
        <w:t xml:space="preserve">sql/TableCreation_DA_1_DE.sql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sql/Silver.sql</w:t>
      </w:r>
      <w:r>
        <w:t xml:space="preserve">, and runs </w:t>
      </w:r>
      <w:r>
        <w:rPr>
          <w:rFonts w:ascii="Consolas" w:cs="Consolas" w:eastAsia="Consolas" w:hAnsi="Consolas"/>
          <w:sz w:val="20"/>
          <w:szCs w:val="20"/>
        </w:rPr>
        <w:t xml:space="preserve">sql/gold_validation.sql</w:t>
      </w:r>
      <w:r>
        <w:t xml:space="preserve">. Any SQL error fails the run, so a broken schema change cannot go unnoticed.</w:t>
      </w:r>
    </w:p>
    <w:p>
      <w:pPr>
        <w:pStyle w:val="Heading1"/>
        <w:spacing w:after="120" w:before="300"/>
      </w:pPr>
      <w:r>
        <w:t xml:space="preserve">8. Data Quality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"/>
        <w:gridCol w:w="5855"/>
        <w:gridCol w:w="2439"/>
      </w:tblGrid>
      <w:tr>
        <w:trPr>
          <w:tblHeader/>
        </w:trP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Finding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DQ1</w:t>
            </w:r>
          </w:p>
        </w:tc>
        <w:tc>
          <w:tcPr>
            <w:tcW w:type="dxa" w:w="5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Cleansing turned UK and USA into “Uk” and “Usa”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Fixed: 559 rows corrected</w:t>
            </w:r>
          </w:p>
        </w:tc>
      </w:tr>
      <w:t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DQ2</w:t>
            </w:r>
          </w:p>
        </w:tc>
        <w:tc>
          <w:tcPr>
            <w:tcW w:type="dxa" w:w="5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dictionary lists fields that are not in the delivered data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DQ3</w:t>
            </w:r>
          </w:p>
        </w:tc>
        <w:tc>
          <w:tcPr>
            <w:tcW w:type="dxa" w:w="5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Probability is 0–100; conversion and engagement rates are 0–1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Note: formatted consistently in Power BI</w:t>
            </w:r>
          </w:p>
        </w:tc>
      </w:tr>
      <w:t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DQ4</w:t>
            </w:r>
          </w:p>
        </w:tc>
        <w:tc>
          <w:tcPr>
            <w:tcW w:type="dxa" w:w="5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 caps engagement rate at 0.5 (333 of 2,000 rows)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DQ5</w:t>
            </w:r>
          </w:p>
        </w:tc>
        <w:tc>
          <w:tcPr>
            <w:tcW w:type="dxa" w:w="5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 tickets have no date, so fact_support.date_key is empty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DQ6</w:t>
            </w:r>
          </w:p>
        </w:tc>
        <w:tc>
          <w:tcPr>
            <w:tcW w:type="dxa" w:w="5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currency stated for monetary columns</w:t>
            </w:r>
          </w:p>
        </w:tc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2026-10-16T03:15:12.727Z</dcterms:created>
  <dcterms:modified xsi:type="dcterms:W3CDTF">2026-10-16T03:15:12.727Z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